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lang w:val="en-US" w:eastAsia="zh-CN"/>
        </w:rPr>
      </w:pPr>
      <w:r>
        <w:rPr>
          <w:rFonts w:hint="eastAsia" w:ascii="宋体" w:hAnsi="宋体" w:eastAsia="宋体" w:cs="宋体"/>
          <w:sz w:val="52"/>
          <w:szCs w:val="52"/>
          <w:lang w:val="en-US" w:eastAsia="zh-CN"/>
        </w:rPr>
        <w:t>2021</w:t>
      </w:r>
      <w:r>
        <w:rPr>
          <w:rFonts w:hint="eastAsia" w:ascii="宋体" w:hAnsi="宋体" w:eastAsia="宋体" w:cs="宋体"/>
          <w:sz w:val="52"/>
          <w:szCs w:val="52"/>
        </w:rPr>
        <w:t>年</w:t>
      </w:r>
      <w:r>
        <w:rPr>
          <w:rFonts w:hint="eastAsia" w:ascii="宋体" w:hAnsi="宋体" w:eastAsia="宋体" w:cs="宋体"/>
          <w:sz w:val="52"/>
          <w:szCs w:val="52"/>
          <w:lang w:val="en-US" w:eastAsia="zh-CN"/>
        </w:rPr>
        <w:t>海口江东新区管理局</w:t>
      </w:r>
    </w:p>
    <w:p>
      <w:pPr>
        <w:jc w:val="center"/>
        <w:rPr>
          <w:rFonts w:hint="eastAsia" w:ascii="宋体" w:hAnsi="宋体" w:eastAsia="宋体" w:cs="宋体"/>
          <w:sz w:val="52"/>
          <w:szCs w:val="52"/>
        </w:rPr>
      </w:pPr>
      <w:r>
        <w:rPr>
          <w:rFonts w:hint="eastAsia" w:ascii="宋体" w:hAnsi="宋体" w:cs="宋体"/>
          <w:sz w:val="52"/>
          <w:szCs w:val="52"/>
          <w:lang w:val="en-US" w:eastAsia="zh-CN"/>
        </w:rPr>
        <w:t>单位</w:t>
      </w:r>
      <w:r>
        <w:rPr>
          <w:rFonts w:hint="eastAsia" w:ascii="宋体" w:hAnsi="宋体" w:eastAsia="宋体" w:cs="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海口江东新区管理局（单位）</w:t>
      </w:r>
      <w:r>
        <w:rPr>
          <w:rFonts w:hint="eastAsia" w:ascii="黑体" w:hAnsi="黑体" w:eastAsia="黑体"/>
          <w:sz w:val="32"/>
          <w:szCs w:val="32"/>
        </w:rPr>
        <w:t>概况</w:t>
      </w:r>
    </w:p>
    <w:p>
      <w:pPr>
        <w:pStyle w:val="4"/>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海口江东新区管理局</w:t>
      </w:r>
      <w:r>
        <w:rPr>
          <w:rFonts w:hint="eastAsia" w:ascii="黑体" w:hAnsi="黑体" w:eastAsia="黑体"/>
          <w:sz w:val="32"/>
          <w:szCs w:val="32"/>
          <w:lang w:val="en-US" w:eastAsia="zh-CN"/>
        </w:rPr>
        <w:t>（单位）2021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海口江东新区管理局</w:t>
      </w:r>
      <w:r>
        <w:rPr>
          <w:rFonts w:hint="eastAsia" w:ascii="黑体" w:hAnsi="黑体" w:eastAsia="黑体"/>
          <w:sz w:val="32"/>
          <w:szCs w:val="32"/>
          <w:lang w:val="en-US" w:eastAsia="zh-CN"/>
        </w:rPr>
        <w:t>（单位）2021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预算情</w:t>
      </w:r>
      <w:r>
        <w:rPr>
          <w:rFonts w:hint="eastAsia" w:ascii="黑体" w:hAnsi="黑体" w:eastAsia="黑体"/>
          <w:sz w:val="32"/>
          <w:szCs w:val="32"/>
          <w:lang w:val="en-US" w:eastAsia="zh-CN"/>
        </w:rPr>
        <w:t xml:space="preserve"> </w:t>
      </w:r>
    </w:p>
    <w:p>
      <w:pPr>
        <w:pStyle w:val="4"/>
        <w:numPr>
          <w:ilvl w:val="0"/>
          <w:numId w:val="0"/>
        </w:numPr>
        <w:ind w:leftChars="0" w:firstLine="1600" w:firstLineChars="500"/>
        <w:jc w:val="left"/>
        <w:rPr>
          <w:rFonts w:ascii="仿宋_GB2312" w:hAnsi="仿宋_GB2312" w:eastAsia="仿宋_GB2312" w:cs="仿宋_GB2312"/>
          <w:sz w:val="32"/>
          <w:szCs w:val="32"/>
        </w:rPr>
      </w:pPr>
      <w:r>
        <w:rPr>
          <w:rFonts w:hint="eastAsia" w:ascii="黑体" w:hAnsi="黑体" w:eastAsia="黑体"/>
          <w:sz w:val="32"/>
          <w:szCs w:val="32"/>
        </w:rPr>
        <w:t>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海口江东新区管理局（单位）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主要职能</w:t>
      </w:r>
    </w:p>
    <w:p>
      <w:pPr>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（一）单位职责</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海口江东新区管理局（单位）主要职责包括：</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1.组织拟订本市法规、规章、政策在江东新区的特别适用规定。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2.统筹、编制新区产业发展规划、指标体系、产业发展指导目录、准入条件等；组织实施促进产业发展的有关规则和指引。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3.积极探索职责明晰、决策科学、运作高效的体制机制。</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4.负责统筹规划管理、土地管理工作。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5.承担开发建设投融资任务，参与重大项目战略投资。</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6.负责投资项目动态管理；依法承接除金融类产业项目以外投资项目（含固定资产投资项目）的审批、核准、备案或者转报工作。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7.负责招商引资和宣传推介工作。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8.负责对外交流与合作。 </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9.协调市相关部门和属地政府在江东新区履行各自职责。 </w:t>
      </w:r>
    </w:p>
    <w:p>
      <w:pPr>
        <w:ind w:firstLine="640" w:firstLineChars="200"/>
        <w:jc w:val="both"/>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10.市委、市政府赋予的其他职责。</w:t>
      </w:r>
    </w:p>
    <w:p>
      <w:pPr>
        <w:ind w:firstLine="640" w:firstLineChars="200"/>
        <w:jc w:val="both"/>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（二）机构编制</w:t>
      </w:r>
    </w:p>
    <w:p>
      <w:pPr>
        <w:ind w:firstLine="640" w:firstLineChars="200"/>
        <w:jc w:val="both"/>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海口江东新区管理局（单位）设有办公室、党群工作部、招商引资一部、招商引资二部、规划统筹部、建设统筹部、征拆协调及项目推进部、企业服务部、财务发展部、政务审批中心等10个部门。授薪员额55人，现有49人。</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海口江东新区管理局</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 xml:space="preserve"> </w:t>
      </w:r>
      <w:r>
        <w:rPr>
          <w:rFonts w:hint="eastAsia" w:ascii="黑体" w:hAnsi="黑体" w:eastAsia="黑体"/>
          <w:sz w:val="32"/>
          <w:szCs w:val="32"/>
        </w:rPr>
        <w:t>海口江东新区管理局</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一、关于海口江东新区管理局</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海口江东新区管理局</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单位</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、科学技术支出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、文化旅游体育与传媒支出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、资源勘探工业信息等支出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、商业服务业等支出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、金融支出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、援助其他地区支出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、自然资源海洋气象等支出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、国有资本经营预算支出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、灾害防治及应急管理支出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、预备费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、转移性支出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、债务还本支出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、债务付息支出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、债务发行费用支出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、抗疫特别国债安排的支出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二、关于海口江东新区管理局</w:t>
      </w:r>
      <w:r>
        <w:rPr>
          <w:rFonts w:hint="eastAsia" w:ascii="黑体" w:hAnsi="黑体" w:eastAsia="黑体"/>
          <w:sz w:val="32"/>
          <w:szCs w:val="32"/>
          <w:lang w:eastAsia="zh-CN"/>
        </w:rPr>
        <w:t>（</w:t>
      </w:r>
      <w:r>
        <w:rPr>
          <w:rFonts w:hint="eastAsia" w:ascii="黑体" w:hAnsi="黑体" w:eastAsia="黑体"/>
          <w:sz w:val="32"/>
          <w:szCs w:val="32"/>
          <w:lang w:val="en-US" w:eastAsia="zh-CN"/>
        </w:rPr>
        <w:t>单位</w:t>
      </w:r>
      <w:r>
        <w:rPr>
          <w:rFonts w:hint="eastAsia" w:ascii="黑体" w:hAnsi="黑体" w:eastAsia="黑体"/>
          <w:sz w:val="32"/>
          <w:szCs w:val="32"/>
          <w:lang w:eastAsia="zh-CN"/>
        </w:rPr>
        <w:t>）</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color w:val="FF0000"/>
          <w:sz w:val="32"/>
          <w:szCs w:val="32"/>
          <w:lang w:val="en-US" w:eastAsia="zh-CN"/>
        </w:rPr>
      </w:pPr>
      <w:r>
        <w:rPr>
          <w:rFonts w:hint="eastAsia" w:ascii="仿宋_GB2312" w:hAnsi="黑体" w:eastAsia="仿宋_GB2312"/>
          <w:sz w:val="32"/>
          <w:szCs w:val="32"/>
        </w:rPr>
        <w:t>海口江东新区管理局（</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）2021年一般公共预算当年拨款</w:t>
      </w:r>
      <w:r>
        <w:rPr>
          <w:rFonts w:hint="eastAsia" w:ascii="仿宋_GB2312" w:hAnsi="黑体" w:eastAsia="仿宋_GB2312"/>
          <w:sz w:val="32"/>
          <w:szCs w:val="32"/>
          <w:lang w:val="en-US" w:eastAsia="zh-CN"/>
        </w:rPr>
        <w:t>30,000.00</w:t>
      </w:r>
      <w:r>
        <w:rPr>
          <w:rFonts w:hint="eastAsia" w:ascii="仿宋_GB2312" w:hAnsi="黑体" w:eastAsia="仿宋_GB2312"/>
          <w:sz w:val="32"/>
          <w:szCs w:val="32"/>
        </w:rPr>
        <w:t>万元，比上年预算数增加23</w:t>
      </w:r>
      <w:r>
        <w:rPr>
          <w:rFonts w:hint="eastAsia" w:ascii="仿宋_GB2312" w:hAnsi="黑体" w:eastAsia="仿宋_GB2312"/>
          <w:sz w:val="32"/>
          <w:szCs w:val="32"/>
          <w:lang w:val="en-US" w:eastAsia="zh-CN"/>
        </w:rPr>
        <w:t>,</w:t>
      </w:r>
      <w:r>
        <w:rPr>
          <w:rFonts w:hint="eastAsia" w:ascii="仿宋_GB2312" w:hAnsi="黑体" w:eastAsia="仿宋_GB2312"/>
          <w:sz w:val="32"/>
          <w:szCs w:val="32"/>
        </w:rPr>
        <w:t>438.4</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股权投资业务及向纳税企业兑现奖励需要增加的保障经费。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firstLineChars="20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一般公共服务（类）政府办公厅(室)及相关机构事务（款）一般行政管理事务（项）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30,000.00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olor w:val="auto"/>
          <w:sz w:val="32"/>
          <w:szCs w:val="32"/>
        </w:rPr>
        <w:t>23</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438.4</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股权投资业务及向纳税企业兑现奖励需要增加的保障经费。</w:t>
      </w:r>
    </w:p>
    <w:p>
      <w:pPr>
        <w:ind w:firstLine="640"/>
        <w:rPr>
          <w:rFonts w:ascii="黑体" w:hAnsi="黑体" w:eastAsia="黑体"/>
          <w:sz w:val="32"/>
          <w:szCs w:val="32"/>
        </w:rPr>
      </w:pPr>
      <w:r>
        <w:rPr>
          <w:rFonts w:hint="eastAsia" w:ascii="黑体" w:hAnsi="黑体" w:eastAsia="黑体"/>
          <w:sz w:val="32"/>
          <w:szCs w:val="32"/>
        </w:rPr>
        <w:t>三、关于海口江东新区管理局（</w:t>
      </w:r>
      <w:r>
        <w:rPr>
          <w:rFonts w:hint="eastAsia" w:ascii="黑体" w:hAnsi="黑体" w:eastAsia="黑体"/>
          <w:sz w:val="32"/>
          <w:szCs w:val="32"/>
          <w:lang w:val="en-US" w:eastAsia="zh-CN"/>
        </w:rPr>
        <w:t>单位</w:t>
      </w:r>
      <w:r>
        <w:rPr>
          <w:rFonts w:hint="eastAsia" w:ascii="黑体" w:hAnsi="黑体" w:eastAsia="黑体"/>
          <w:sz w:val="32"/>
          <w:szCs w:val="32"/>
        </w:rPr>
        <w:t>）2021年一般公共预算基本支出情况说明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海口江东新区管理局（</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）2021年一般公共预算基本支出为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四、海口江东新区管理局（</w:t>
      </w:r>
      <w:r>
        <w:rPr>
          <w:rFonts w:hint="eastAsia" w:ascii="黑体" w:hAnsi="黑体" w:eastAsia="黑体" w:cs="Times New Roman"/>
          <w:sz w:val="32"/>
          <w:shd w:val="clear" w:color="auto" w:fill="FFFFFF"/>
          <w:lang w:val="en-US" w:eastAsia="zh-CN"/>
        </w:rPr>
        <w:t>单位</w:t>
      </w:r>
      <w:r>
        <w:rPr>
          <w:rFonts w:hint="eastAsia" w:ascii="黑体" w:hAnsi="黑体" w:eastAsia="黑体" w:cs="Times New Roman"/>
          <w:sz w:val="32"/>
          <w:shd w:val="clear" w:color="auto" w:fill="FFFFFF"/>
        </w:rPr>
        <w:t>）2021年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（一）海口江东新区管理局（</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）2021年一般公共预算“三公”经费预算数为</w:t>
      </w:r>
      <w:r>
        <w:rPr>
          <w:rFonts w:hint="eastAsia" w:ascii="仿宋_GB2312" w:hAnsi="黑体" w:eastAsia="仿宋_GB2312" w:cs="仿宋_GB2312"/>
          <w:sz w:val="32"/>
          <w:szCs w:val="32"/>
          <w:lang w:val="en-US" w:eastAsia="zh-CN"/>
        </w:rPr>
        <w:t>26.00</w:t>
      </w:r>
      <w:r>
        <w:rPr>
          <w:rFonts w:hint="eastAsia" w:ascii="仿宋_GB2312" w:hAnsi="黑体" w:eastAsia="仿宋_GB2312"/>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w:t>
      </w:r>
      <w:r>
        <w:rPr>
          <w:rFonts w:hint="eastAsia" w:ascii="仿宋_GB2312" w:hAnsi="仿宋_GB2312" w:eastAsia="仿宋_GB2312" w:cs="仿宋_GB2312"/>
          <w:sz w:val="32"/>
          <w:shd w:val="clear" w:color="auto" w:fill="FFFFFF"/>
        </w:rPr>
        <w:t>费</w:t>
      </w:r>
      <w:r>
        <w:rPr>
          <w:rFonts w:hint="eastAsia" w:ascii="仿宋_GB2312" w:hAnsi="仿宋_GB2312" w:eastAsia="仿宋_GB2312" w:cs="仿宋_GB2312"/>
          <w:sz w:val="32"/>
          <w:shd w:val="clear" w:color="auto" w:fill="FFFFFF"/>
          <w:lang w:val="en-US" w:eastAsia="zh-CN"/>
        </w:rPr>
        <w:t>11.0</w:t>
      </w:r>
      <w:r>
        <w:rPr>
          <w:rFonts w:hint="eastAsia" w:ascii="仿宋_GB2312" w:hAnsi="仿宋_GB2312" w:eastAsia="仿宋_GB2312" w:cs="仿宋_GB2312"/>
          <w:color w:val="auto"/>
          <w:sz w:val="32"/>
          <w:shd w:val="clear" w:color="auto" w:fill="FFFFFF"/>
          <w:lang w:val="en-US" w:eastAsia="zh-CN"/>
        </w:rPr>
        <w:t>0</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hd w:val="clear" w:color="auto" w:fill="FFFFFF"/>
        </w:rPr>
        <w:t>公务用车购置费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hd w:val="clear" w:color="auto" w:fill="FFFFFF"/>
        </w:rPr>
        <w:t>，公务用车运行费</w:t>
      </w:r>
      <w:r>
        <w:rPr>
          <w:rFonts w:hint="eastAsia" w:ascii="仿宋_GB2312" w:hAnsi="仿宋_GB2312" w:eastAsia="仿宋_GB2312" w:cs="仿宋_GB2312"/>
          <w:color w:val="auto"/>
          <w:sz w:val="32"/>
          <w:szCs w:val="32"/>
          <w:lang w:val="en-US" w:eastAsia="zh-CN"/>
        </w:rPr>
        <w:t>11.00</w:t>
      </w:r>
      <w:r>
        <w:rPr>
          <w:rFonts w:hint="eastAsia" w:ascii="仿宋_GB2312" w:hAnsi="仿宋_GB2312" w:eastAsia="仿宋_GB2312" w:cs="仿宋_GB2312"/>
          <w:color w:val="auto"/>
          <w:sz w:val="32"/>
          <w:szCs w:val="32"/>
        </w:rPr>
        <w:t>万</w:t>
      </w:r>
      <w:r>
        <w:rPr>
          <w:rFonts w:hint="eastAsia" w:ascii="仿宋_GB2312" w:hAnsi="黑体" w:eastAsia="仿宋_GB2312"/>
          <w:color w:val="auto"/>
          <w:sz w:val="32"/>
          <w:szCs w:val="32"/>
        </w:rPr>
        <w:t>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lang w:val="en-US" w:eastAsia="zh-CN"/>
        </w:rPr>
        <w:t>比</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val="en-US" w:eastAsia="zh-CN"/>
        </w:rPr>
        <w:t>增加11万元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lang w:val="en-US" w:eastAsia="zh-CN"/>
        </w:rPr>
        <w:t>增加</w:t>
      </w:r>
      <w:r>
        <w:rPr>
          <w:rFonts w:ascii="Times New Roman" w:hAnsi="Times New Roman" w:eastAsia="仿宋_GB2312" w:cs="Times New Roman"/>
          <w:color w:val="auto"/>
          <w:sz w:val="32"/>
        </w:rPr>
        <w:t>的</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val="en-US" w:eastAsia="zh-CN"/>
        </w:rPr>
        <w:t>海口江东新区管理局于2020年3月成立，2020年市财政仅下达预算总额，未具体到公务用车购置及运行费</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15.00</w:t>
      </w:r>
      <w:r>
        <w:rPr>
          <w:rFonts w:ascii="Times New Roman" w:hAnsi="Times New Roman" w:eastAsia="仿宋_GB2312" w:cs="Times New Roman"/>
          <w:color w:val="auto"/>
          <w:sz w:val="32"/>
          <w:shd w:val="clear" w:color="auto" w:fill="FFFFFF"/>
        </w:rPr>
        <w:t>万元，</w:t>
      </w:r>
      <w:r>
        <w:rPr>
          <w:rFonts w:hint="eastAsia" w:ascii="Times New Roman" w:hAnsi="Times New Roman" w:eastAsia="仿宋_GB2312" w:cs="Times New Roman"/>
          <w:color w:val="auto"/>
          <w:sz w:val="32"/>
          <w:shd w:val="clear" w:color="auto" w:fill="FFFFFF"/>
          <w:lang w:val="en-US" w:eastAsia="zh-CN"/>
        </w:rPr>
        <w:t>比</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val="en-US" w:eastAsia="zh-CN"/>
        </w:rPr>
        <w:t>增加15万元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lang w:val="en-US" w:eastAsia="zh-CN"/>
        </w:rPr>
        <w:t>增加</w:t>
      </w:r>
      <w:r>
        <w:rPr>
          <w:rFonts w:ascii="Times New Roman" w:hAnsi="Times New Roman" w:eastAsia="仿宋_GB2312" w:cs="Times New Roman"/>
          <w:color w:val="auto"/>
          <w:sz w:val="32"/>
        </w:rPr>
        <w:t>的</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val="en-US" w:eastAsia="zh-CN"/>
        </w:rPr>
        <w:t>2020年市财政仅下达预算总额，未具体到</w:t>
      </w:r>
      <w:r>
        <w:rPr>
          <w:rFonts w:ascii="仿宋_GB2312" w:hAnsi="黑体" w:eastAsia="仿宋_GB2312" w:cs="Times New Roman"/>
          <w:color w:val="auto"/>
          <w:sz w:val="32"/>
          <w:szCs w:val="32"/>
        </w:rPr>
        <w:t>公务接待费</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shd w:val="clear" w:color="auto" w:fill="FFFFFF"/>
        </w:rPr>
        <w:t>计划接待</w:t>
      </w:r>
      <w:r>
        <w:rPr>
          <w:rFonts w:hint="eastAsia" w:ascii="Times New Roman" w:hAnsi="Times New Roman" w:eastAsia="仿宋_GB2312" w:cs="Times New Roman"/>
          <w:color w:val="auto"/>
          <w:sz w:val="32"/>
          <w:shd w:val="clear" w:color="auto" w:fill="FFFFFF"/>
          <w:lang w:val="en-US" w:eastAsia="zh-CN"/>
        </w:rPr>
        <w:t>410批1230</w:t>
      </w:r>
      <w:r>
        <w:rPr>
          <w:rFonts w:hint="eastAsia" w:ascii="Times New Roman" w:hAnsi="Times New Roman" w:eastAsia="仿宋_GB2312" w:cs="Times New Roman"/>
          <w:color w:val="auto"/>
          <w:sz w:val="32"/>
          <w:shd w:val="clear" w:color="auto" w:fill="FFFFFF"/>
        </w:rPr>
        <w:t>人。</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（二）海口江东新区管理局（</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）2021年政府性基金预算“三公”经费预算数为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五、关于海口江东新区管理局（</w:t>
      </w:r>
      <w:r>
        <w:rPr>
          <w:rFonts w:hint="eastAsia" w:ascii="黑体" w:hAnsi="黑体" w:eastAsia="黑体" w:cs="Times New Roman"/>
          <w:sz w:val="32"/>
          <w:shd w:val="clear" w:color="auto" w:fill="FFFFFF"/>
          <w:lang w:val="en-US" w:eastAsia="zh-CN"/>
        </w:rPr>
        <w:t>单位</w:t>
      </w:r>
      <w:r>
        <w:rPr>
          <w:rFonts w:hint="eastAsia" w:ascii="黑体" w:hAnsi="黑体" w:eastAsia="黑体" w:cs="Times New Roman"/>
          <w:sz w:val="32"/>
          <w:shd w:val="clear" w:color="auto" w:fill="FFFFFF"/>
        </w:rPr>
        <w:t>）2021年政府性基金预算当年拨款情况说明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海口江东新区管理局（</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）2021年政府性基金预算当年拨款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六、关于海口江东新区管理局（</w:t>
      </w:r>
      <w:r>
        <w:rPr>
          <w:rFonts w:hint="eastAsia" w:ascii="黑体" w:hAnsi="黑体" w:eastAsia="黑体" w:cs="Times New Roman"/>
          <w:sz w:val="32"/>
          <w:shd w:val="clear" w:color="auto" w:fill="FFFFFF"/>
          <w:lang w:val="en-US" w:eastAsia="zh-CN"/>
        </w:rPr>
        <w:t>单位</w:t>
      </w:r>
      <w:r>
        <w:rPr>
          <w:rFonts w:hint="eastAsia" w:ascii="黑体" w:hAnsi="黑体" w:eastAsia="黑体" w:cs="Times New Roman"/>
          <w:sz w:val="32"/>
          <w:shd w:val="clear" w:color="auto" w:fill="FFFFFF"/>
        </w:rPr>
        <w:t>）2021年收支预算情况的总体说明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按照综合预算原则，海口江东新区管理局（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cs="仿宋_GB2312"/>
          <w:sz w:val="32"/>
          <w:szCs w:val="32"/>
        </w:rPr>
        <w:t>海口江东新区管理局（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七、关于海口江东新区管理局（</w:t>
      </w:r>
      <w:r>
        <w:rPr>
          <w:rFonts w:hint="eastAsia" w:ascii="黑体" w:hAnsi="黑体" w:eastAsia="黑体" w:cs="Times New Roman"/>
          <w:sz w:val="32"/>
          <w:shd w:val="clear" w:color="auto" w:fill="FFFFFF"/>
          <w:lang w:val="en-US" w:eastAsia="zh-CN"/>
        </w:rPr>
        <w:t>单位</w:t>
      </w:r>
      <w:r>
        <w:rPr>
          <w:rFonts w:hint="eastAsia" w:ascii="黑体" w:hAnsi="黑体" w:eastAsia="黑体" w:cs="Times New Roman"/>
          <w:sz w:val="32"/>
          <w:shd w:val="clear" w:color="auto" w:fill="FFFFFF"/>
        </w:rPr>
        <w:t>）2021年收入预算情况说明</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海口江东新区管理局（单位）2021年收入预算30,000.00万元，其中：经费拨款收入30,000.00万元，占100%。比上年预算数增加23,438.40万元，主要是增加股权投资业务资金及向纳税企业兑现奖励资金。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八、关于海口江东新区管理局（</w:t>
      </w:r>
      <w:r>
        <w:rPr>
          <w:rFonts w:hint="eastAsia" w:ascii="黑体" w:hAnsi="黑体" w:eastAsia="黑体" w:cs="Times New Roman"/>
          <w:sz w:val="32"/>
          <w:shd w:val="clear" w:color="auto" w:fill="FFFFFF"/>
          <w:lang w:val="en-US" w:eastAsia="zh-CN"/>
        </w:rPr>
        <w:t>单位</w:t>
      </w:r>
      <w:r>
        <w:rPr>
          <w:rFonts w:hint="eastAsia" w:ascii="黑体" w:hAnsi="黑体" w:eastAsia="黑体" w:cs="Times New Roman"/>
          <w:sz w:val="32"/>
          <w:shd w:val="clear" w:color="auto" w:fill="FFFFFF"/>
        </w:rPr>
        <w:t>）2021</w:t>
      </w:r>
      <w:r>
        <w:rPr>
          <w:rFonts w:hint="eastAsia" w:ascii="黑体" w:hAnsi="黑体" w:eastAsia="黑体" w:cs="Times New Roman"/>
          <w:sz w:val="32"/>
          <w:shd w:val="clear" w:color="auto" w:fill="FFFFFF"/>
          <w:lang w:val="en-US" w:eastAsia="zh-CN"/>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海口江东新区管理局（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万元，其中：项目支出</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olor w:val="auto"/>
          <w:sz w:val="32"/>
          <w:szCs w:val="32"/>
        </w:rPr>
        <w:t>23</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438.4</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股权投资业务及向纳税企业兑现奖励需要增加的保障经费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2021年海口江</w:t>
      </w:r>
      <w:bookmarkStart w:id="0" w:name="_GoBack"/>
      <w:bookmarkEnd w:id="0"/>
      <w:r>
        <w:rPr>
          <w:rFonts w:hint="eastAsia" w:ascii="仿宋_GB2312" w:hAnsi="黑体" w:eastAsia="仿宋_GB2312"/>
          <w:color w:val="auto"/>
          <w:sz w:val="32"/>
          <w:szCs w:val="32"/>
          <w:lang w:val="en-US" w:eastAsia="zh-CN"/>
        </w:rPr>
        <w:t>东新区管理局（单位）的机关运行经费预算4,802.87万元。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海口江东新区管理局（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810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810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海口江东新区管理局（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2021年海口江东新区管理局（</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30,000.00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32B2D"/>
    <w:rsid w:val="002A27E6"/>
    <w:rsid w:val="012F308F"/>
    <w:rsid w:val="01556A9E"/>
    <w:rsid w:val="01DE37AF"/>
    <w:rsid w:val="02E21FB3"/>
    <w:rsid w:val="02E766CB"/>
    <w:rsid w:val="0311016A"/>
    <w:rsid w:val="041E4B91"/>
    <w:rsid w:val="04871936"/>
    <w:rsid w:val="052802AC"/>
    <w:rsid w:val="05417EDE"/>
    <w:rsid w:val="0545372B"/>
    <w:rsid w:val="057C26D8"/>
    <w:rsid w:val="08BF1EF3"/>
    <w:rsid w:val="08E864A1"/>
    <w:rsid w:val="093844C4"/>
    <w:rsid w:val="0950615C"/>
    <w:rsid w:val="095B233C"/>
    <w:rsid w:val="096A2C66"/>
    <w:rsid w:val="09917B3D"/>
    <w:rsid w:val="0AE44BB4"/>
    <w:rsid w:val="0AE95749"/>
    <w:rsid w:val="0B0C3E6B"/>
    <w:rsid w:val="0CF96C9A"/>
    <w:rsid w:val="0D7B67BE"/>
    <w:rsid w:val="0DAE35FF"/>
    <w:rsid w:val="0E1978DF"/>
    <w:rsid w:val="0E885397"/>
    <w:rsid w:val="0E8B5D75"/>
    <w:rsid w:val="0F45627C"/>
    <w:rsid w:val="0F5B02BC"/>
    <w:rsid w:val="0F7642C0"/>
    <w:rsid w:val="0FA96FD0"/>
    <w:rsid w:val="0FC35376"/>
    <w:rsid w:val="108C4F18"/>
    <w:rsid w:val="121F68F4"/>
    <w:rsid w:val="12664D41"/>
    <w:rsid w:val="12A23BC4"/>
    <w:rsid w:val="132D52F9"/>
    <w:rsid w:val="134558F2"/>
    <w:rsid w:val="13535033"/>
    <w:rsid w:val="138501AB"/>
    <w:rsid w:val="13DD27DD"/>
    <w:rsid w:val="14086B25"/>
    <w:rsid w:val="14827A4E"/>
    <w:rsid w:val="14B452CA"/>
    <w:rsid w:val="1536056D"/>
    <w:rsid w:val="15B9374D"/>
    <w:rsid w:val="16737996"/>
    <w:rsid w:val="16FB50BD"/>
    <w:rsid w:val="178F05B3"/>
    <w:rsid w:val="182E1CBA"/>
    <w:rsid w:val="19D07327"/>
    <w:rsid w:val="1A64292F"/>
    <w:rsid w:val="1A735863"/>
    <w:rsid w:val="1AA36BB4"/>
    <w:rsid w:val="1ACF00C1"/>
    <w:rsid w:val="1B193440"/>
    <w:rsid w:val="1B384B5B"/>
    <w:rsid w:val="1B87433C"/>
    <w:rsid w:val="1B8F7C5E"/>
    <w:rsid w:val="1C7D66AC"/>
    <w:rsid w:val="1D1F682E"/>
    <w:rsid w:val="1D2966DC"/>
    <w:rsid w:val="1DBE2245"/>
    <w:rsid w:val="1DFB0941"/>
    <w:rsid w:val="1EA64174"/>
    <w:rsid w:val="1EF008CF"/>
    <w:rsid w:val="1F1B6F5E"/>
    <w:rsid w:val="1F3961B6"/>
    <w:rsid w:val="1F581A4B"/>
    <w:rsid w:val="21145C45"/>
    <w:rsid w:val="21FF2C8F"/>
    <w:rsid w:val="2223467C"/>
    <w:rsid w:val="22B21853"/>
    <w:rsid w:val="22C77E2D"/>
    <w:rsid w:val="22EA7877"/>
    <w:rsid w:val="23EF054E"/>
    <w:rsid w:val="240031B9"/>
    <w:rsid w:val="24305416"/>
    <w:rsid w:val="25721DB7"/>
    <w:rsid w:val="25BE7C4F"/>
    <w:rsid w:val="25F223B4"/>
    <w:rsid w:val="26162DE6"/>
    <w:rsid w:val="26311091"/>
    <w:rsid w:val="26B92B90"/>
    <w:rsid w:val="26F36053"/>
    <w:rsid w:val="27A37FEA"/>
    <w:rsid w:val="28086EBB"/>
    <w:rsid w:val="283D4CDE"/>
    <w:rsid w:val="28462B72"/>
    <w:rsid w:val="28B17C81"/>
    <w:rsid w:val="291D1D15"/>
    <w:rsid w:val="29B43FC0"/>
    <w:rsid w:val="29DF08BF"/>
    <w:rsid w:val="29F44F9B"/>
    <w:rsid w:val="2A4660F8"/>
    <w:rsid w:val="2AA2423D"/>
    <w:rsid w:val="2B5D5784"/>
    <w:rsid w:val="2B915DB7"/>
    <w:rsid w:val="2C192E1C"/>
    <w:rsid w:val="2D376584"/>
    <w:rsid w:val="2D903CB5"/>
    <w:rsid w:val="2E820C89"/>
    <w:rsid w:val="2EBB0E98"/>
    <w:rsid w:val="2F1A1623"/>
    <w:rsid w:val="30D378CB"/>
    <w:rsid w:val="30D76E18"/>
    <w:rsid w:val="335460CC"/>
    <w:rsid w:val="3362320E"/>
    <w:rsid w:val="3395501B"/>
    <w:rsid w:val="33A60DC4"/>
    <w:rsid w:val="33C716F0"/>
    <w:rsid w:val="33FE07F1"/>
    <w:rsid w:val="34F84470"/>
    <w:rsid w:val="35142B79"/>
    <w:rsid w:val="35C208AC"/>
    <w:rsid w:val="35F42642"/>
    <w:rsid w:val="36616EA7"/>
    <w:rsid w:val="375321FD"/>
    <w:rsid w:val="37543655"/>
    <w:rsid w:val="382E25C2"/>
    <w:rsid w:val="385E0532"/>
    <w:rsid w:val="388E2A42"/>
    <w:rsid w:val="3908722D"/>
    <w:rsid w:val="395E58F8"/>
    <w:rsid w:val="3A0E2EB3"/>
    <w:rsid w:val="3A165711"/>
    <w:rsid w:val="3A924378"/>
    <w:rsid w:val="3B035974"/>
    <w:rsid w:val="3B8E3D6C"/>
    <w:rsid w:val="3BAC1407"/>
    <w:rsid w:val="3BB50DC3"/>
    <w:rsid w:val="3D5F58FE"/>
    <w:rsid w:val="3DAC314B"/>
    <w:rsid w:val="3E156D02"/>
    <w:rsid w:val="3EA458FE"/>
    <w:rsid w:val="3EB45794"/>
    <w:rsid w:val="3EE74C42"/>
    <w:rsid w:val="3EEC2D87"/>
    <w:rsid w:val="3F2F5239"/>
    <w:rsid w:val="3F31526F"/>
    <w:rsid w:val="3FCA5B99"/>
    <w:rsid w:val="3FE8527F"/>
    <w:rsid w:val="414167EA"/>
    <w:rsid w:val="41450516"/>
    <w:rsid w:val="419477A1"/>
    <w:rsid w:val="41D661C9"/>
    <w:rsid w:val="41E438D7"/>
    <w:rsid w:val="422E433F"/>
    <w:rsid w:val="425E0F72"/>
    <w:rsid w:val="42960B9D"/>
    <w:rsid w:val="436B5CB5"/>
    <w:rsid w:val="436E563B"/>
    <w:rsid w:val="43E9114A"/>
    <w:rsid w:val="441A7467"/>
    <w:rsid w:val="44477A63"/>
    <w:rsid w:val="448255A8"/>
    <w:rsid w:val="44C72D27"/>
    <w:rsid w:val="44ED65D0"/>
    <w:rsid w:val="45AE6C4D"/>
    <w:rsid w:val="46A91C4D"/>
    <w:rsid w:val="47095F57"/>
    <w:rsid w:val="47224857"/>
    <w:rsid w:val="4726693C"/>
    <w:rsid w:val="473C4726"/>
    <w:rsid w:val="4765582E"/>
    <w:rsid w:val="47832B2D"/>
    <w:rsid w:val="47B637D2"/>
    <w:rsid w:val="47DD5B85"/>
    <w:rsid w:val="488E0161"/>
    <w:rsid w:val="490E77E3"/>
    <w:rsid w:val="49980CD3"/>
    <w:rsid w:val="49A638C9"/>
    <w:rsid w:val="49B917A4"/>
    <w:rsid w:val="49E521BC"/>
    <w:rsid w:val="4A8D1ECD"/>
    <w:rsid w:val="4B6073AB"/>
    <w:rsid w:val="4B8D72FF"/>
    <w:rsid w:val="4CE2240A"/>
    <w:rsid w:val="4E06600F"/>
    <w:rsid w:val="4E326026"/>
    <w:rsid w:val="4E7D3951"/>
    <w:rsid w:val="4F2F644A"/>
    <w:rsid w:val="4F585B1E"/>
    <w:rsid w:val="4F920124"/>
    <w:rsid w:val="4FDD7DD1"/>
    <w:rsid w:val="50AA3412"/>
    <w:rsid w:val="514D71CE"/>
    <w:rsid w:val="51901776"/>
    <w:rsid w:val="51D55320"/>
    <w:rsid w:val="52536470"/>
    <w:rsid w:val="54C51910"/>
    <w:rsid w:val="558315CC"/>
    <w:rsid w:val="558D1275"/>
    <w:rsid w:val="56B36758"/>
    <w:rsid w:val="56D4446F"/>
    <w:rsid w:val="571048C6"/>
    <w:rsid w:val="58336C6B"/>
    <w:rsid w:val="588912FE"/>
    <w:rsid w:val="589A70BE"/>
    <w:rsid w:val="58BD2BF2"/>
    <w:rsid w:val="5B0E0761"/>
    <w:rsid w:val="5B4B32B7"/>
    <w:rsid w:val="5B8D68CF"/>
    <w:rsid w:val="5CFC2797"/>
    <w:rsid w:val="5D014FE0"/>
    <w:rsid w:val="5D06472A"/>
    <w:rsid w:val="5DB00385"/>
    <w:rsid w:val="5DF50EEB"/>
    <w:rsid w:val="5E881C99"/>
    <w:rsid w:val="5EF96149"/>
    <w:rsid w:val="5F135068"/>
    <w:rsid w:val="5FAC46C3"/>
    <w:rsid w:val="5FD1193E"/>
    <w:rsid w:val="5FF00B21"/>
    <w:rsid w:val="60FE461E"/>
    <w:rsid w:val="612F58C8"/>
    <w:rsid w:val="61756BA3"/>
    <w:rsid w:val="61F233A9"/>
    <w:rsid w:val="620516AE"/>
    <w:rsid w:val="62E77C69"/>
    <w:rsid w:val="63A0380A"/>
    <w:rsid w:val="63F76E21"/>
    <w:rsid w:val="64F7640D"/>
    <w:rsid w:val="65C4516A"/>
    <w:rsid w:val="662B45FC"/>
    <w:rsid w:val="66382324"/>
    <w:rsid w:val="678A0DC5"/>
    <w:rsid w:val="679660C0"/>
    <w:rsid w:val="67E5032F"/>
    <w:rsid w:val="68752E1D"/>
    <w:rsid w:val="68F14EAB"/>
    <w:rsid w:val="691D04C5"/>
    <w:rsid w:val="69855B4A"/>
    <w:rsid w:val="69A311B6"/>
    <w:rsid w:val="6AF53857"/>
    <w:rsid w:val="6B7B3C82"/>
    <w:rsid w:val="6BD31593"/>
    <w:rsid w:val="6CDA39F4"/>
    <w:rsid w:val="6CE07C45"/>
    <w:rsid w:val="6E396807"/>
    <w:rsid w:val="6E5A42B9"/>
    <w:rsid w:val="6FE44F64"/>
    <w:rsid w:val="6FFC09E7"/>
    <w:rsid w:val="702C1888"/>
    <w:rsid w:val="70715F38"/>
    <w:rsid w:val="715C5779"/>
    <w:rsid w:val="71DA19FB"/>
    <w:rsid w:val="71E86562"/>
    <w:rsid w:val="73544161"/>
    <w:rsid w:val="73750F5C"/>
    <w:rsid w:val="74404F2C"/>
    <w:rsid w:val="74A6260F"/>
    <w:rsid w:val="75121850"/>
    <w:rsid w:val="75290CEF"/>
    <w:rsid w:val="75AC2478"/>
    <w:rsid w:val="75BB1577"/>
    <w:rsid w:val="76316974"/>
    <w:rsid w:val="76E23A79"/>
    <w:rsid w:val="770E106A"/>
    <w:rsid w:val="775F168C"/>
    <w:rsid w:val="77726845"/>
    <w:rsid w:val="79AD5DB6"/>
    <w:rsid w:val="79B80996"/>
    <w:rsid w:val="79BF3338"/>
    <w:rsid w:val="79C469B4"/>
    <w:rsid w:val="7A6069FE"/>
    <w:rsid w:val="7AAA1936"/>
    <w:rsid w:val="7B67745C"/>
    <w:rsid w:val="7B760D45"/>
    <w:rsid w:val="7B963AC8"/>
    <w:rsid w:val="7C795125"/>
    <w:rsid w:val="7D66623D"/>
    <w:rsid w:val="7D8E55E4"/>
    <w:rsid w:val="7F4D5C69"/>
    <w:rsid w:val="7F91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2021-03-08T02:57:00Z</dcterms:created>
  <dc:creator>恋</dc:creator>
  <cp:lastModifiedBy>恋</cp:lastModifiedBy>
  <dcterms:modified xsi:type="dcterms:W3CDTF">2021-06-07T11:06:29Z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1C8C292AC706446F9EECD61A9476791C</vt:lpwstr>
  </property>
</Properties>
</file>