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2020年项目支</w:t>
      </w:r>
      <w:r>
        <w:rPr>
          <w:rFonts w:hint="eastAsia"/>
          <w:b/>
          <w:bCs/>
          <w:sz w:val="44"/>
          <w:szCs w:val="44"/>
          <w:lang w:val="en-US" w:eastAsia="zh-CN"/>
        </w:rPr>
        <w:t>出绩效评价报告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委省政府印发的《关于完善十一个重点园区管理体制的实施方案》（琼办发〔2020〕9号）及《海南自由贸易港海口江东新区条例》，海口江东新区采取“领导小组+法定机构+平台公司”管理体制，海口江东新区管理局作为法定机构，具体负责江东新区的综合协调、开发建设、运营管理、招商引资、产业发展、制度创新、投资促进、企业服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海口江东新区管理局内部设有办公室、党群工作部、招商引资一部、招商引资二部、规划统筹部、建设统筹部、征拆协调及项目推进部、企业服务部、财务发展部、政务审批中心等10个部门。授薪员额55人，截至2020年底共有47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该项目为“综合事务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—一般事务”，主要用于单位日常运转的保障性综合事务支出，包括正式聘用人员工资及社保费用、政务服务中心劳务派遣人员聘用费用、日常水电及物业等办公经费、其他商品和服务支出等支出。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3.资金投入和使用情况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2020年经费预算5,930.70万元，其中240.90万元为江东办转入我局的预算。当年实际到位5,930.70万元，资金到位率100%。项目资金为财政拨款资金，其中4,930.70万元列入一般公共预算、1,000.00万元列入政府性基金。截至2020年底，该项目使用资金4,236.66万元，剩余1,694.04万元，完成预算的71.44%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该项目属于非跨年度经常性项目，年度绩效目标如下：</w:t>
      </w:r>
    </w:p>
    <w:tbl>
      <w:tblPr>
        <w:tblStyle w:val="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29"/>
        <w:gridCol w:w="1857"/>
        <w:gridCol w:w="1204"/>
        <w:gridCol w:w="813"/>
        <w:gridCol w:w="75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指标类型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指标名称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绩效目标</w:t>
            </w:r>
          </w:p>
        </w:tc>
        <w:tc>
          <w:tcPr>
            <w:tcW w:w="3742" w:type="dxa"/>
            <w:gridSpan w:val="4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优</w:t>
            </w:r>
          </w:p>
        </w:tc>
        <w:tc>
          <w:tcPr>
            <w:tcW w:w="813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良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中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费用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率</w:t>
            </w:r>
          </w:p>
        </w:tc>
        <w:tc>
          <w:tcPr>
            <w:tcW w:w="1857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100%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95%-100%</w:t>
            </w:r>
          </w:p>
        </w:tc>
        <w:tc>
          <w:tcPr>
            <w:tcW w:w="813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90%-94%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85%-89%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85%以下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成效指标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  <w:t>单位稳定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  <w:t>运行率</w:t>
            </w:r>
          </w:p>
        </w:tc>
        <w:tc>
          <w:tcPr>
            <w:tcW w:w="1857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100%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13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成效指标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  <w:t>整体满意度</w:t>
            </w:r>
          </w:p>
        </w:tc>
        <w:tc>
          <w:tcPr>
            <w:tcW w:w="1857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≥95%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95%-100%</w:t>
            </w:r>
          </w:p>
        </w:tc>
        <w:tc>
          <w:tcPr>
            <w:tcW w:w="813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90%-94%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85%-89%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对“综合事务—一般事务”项目开展单位评价，促进单位提升预算绩效管理工作水平，强化单位支出责任，规范资金管理行为，提高财政资金使用效益，保障单位更好地履行职责。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本次单位评价坚持运用科学合理的方法，按照规范的程序，对项目绩效进行客观、公正的反映。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从项目决策、项目管理、项目绩效等三大指标开展单位评价。</w:t>
      </w:r>
    </w:p>
    <w:tbl>
      <w:tblPr>
        <w:tblStyle w:val="3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项目绩效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项目产出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 w:eastAsia="宋体"/>
          <w:color w:val="auto"/>
          <w:sz w:val="21"/>
          <w:szCs w:val="21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8" w:charSpace="0"/>
        </w:sectPr>
      </w:pPr>
    </w:p>
    <w:tbl>
      <w:tblPr>
        <w:tblStyle w:val="3"/>
        <w:tblW w:w="7430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203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产出质量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产出时效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产出成本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经济效益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社会效益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环境效益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可持续影响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服务对象满意度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本次单位评价采用比较法，将项目实施情况与绩效目标情况进行比较。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本次单位评价以年初的目标、计划、预算、定额等作为评价标准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1.对《项目支出绩效评价管理办法》（财预〔2020〕10号）进行研读，对单位评价有基本的把握和了解，归纳出进一步评价所需的信息。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97分，评价等次为优，达到了预期设定的项目绩效目标。</w:t>
      </w:r>
    </w:p>
    <w:tbl>
      <w:tblPr>
        <w:tblStyle w:val="3"/>
        <w:tblW w:w="878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791"/>
        <w:gridCol w:w="173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项目绩效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项目产出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 w:eastAsia="宋体"/>
          <w:color w:val="auto"/>
          <w:sz w:val="21"/>
          <w:szCs w:val="21"/>
        </w:rPr>
        <w:sectPr>
          <w:footerReference r:id="rId4" w:type="default"/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8" w:charSpace="0"/>
        </w:sectPr>
      </w:pPr>
    </w:p>
    <w:tbl>
      <w:tblPr>
        <w:tblStyle w:val="3"/>
        <w:tblW w:w="875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791"/>
        <w:gridCol w:w="173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评价等次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该项目经海口江东新区管理局局党委会审批同意实施，与单位职责范围相符，属于单位履职所需。项目设定了绩效目标，绩效目标与实际工作内容具有相关性。项目预算编制科学合理，预算资金分配依据充分。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制定并印发了《财务管理办法（试行）》《账户管理办法》，建立了有效的财务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该项目2020年经费预算5,930.70万元，当年实际到位5,930.70万元，资金到位率100%。当年实际使用资金4,236.66万元，完成预算的71.44%。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该项目资金到位及时，项目顺利实施，使得单位的基本运行得到保障，职能作用得到充分发挥，高质量推动了江东新区建设发展。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保障了单位工作人员薪酬、办公经费等资金的拨付，为本单位工作职能的顺利完成提供了后勤保证。2020年全年我局安全有效运行，多项年度任务超额完成，江东新区建设取得了阶段性成效；企业信心及园区吸引力成倍增加，在2020年海口市营商环境考核中，我局连续在三、四季度蝉联第一名，两个季度的主动创新得分、市场主体反馈、营商环境总体排名均为第一的好成绩。总体来看，项目产出与成效目标完成度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财务管理相关制度，加强经费审核，全年未发生超标准报账情况。但资金支付进度不均衡，需在年初预算编制时，提前合理规划年度预算支出计划；定期做好预算执行分析，进一步加强资金管理，合理安排资金的支付，掌握预算执行进度，提高年度预算执行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1F18"/>
    <w:rsid w:val="01EF3335"/>
    <w:rsid w:val="02233DF4"/>
    <w:rsid w:val="023A5912"/>
    <w:rsid w:val="04621786"/>
    <w:rsid w:val="0626600A"/>
    <w:rsid w:val="06F95DEE"/>
    <w:rsid w:val="0A787E3B"/>
    <w:rsid w:val="0AC273C6"/>
    <w:rsid w:val="0BDE5F87"/>
    <w:rsid w:val="0DE47EA0"/>
    <w:rsid w:val="0E9A79D6"/>
    <w:rsid w:val="126332E8"/>
    <w:rsid w:val="135734FF"/>
    <w:rsid w:val="14B51D19"/>
    <w:rsid w:val="14FA1115"/>
    <w:rsid w:val="15481788"/>
    <w:rsid w:val="16630DA5"/>
    <w:rsid w:val="1682257B"/>
    <w:rsid w:val="180C39B2"/>
    <w:rsid w:val="190A44B1"/>
    <w:rsid w:val="19263C3A"/>
    <w:rsid w:val="19316574"/>
    <w:rsid w:val="19AA72EE"/>
    <w:rsid w:val="1AC1553C"/>
    <w:rsid w:val="1B007691"/>
    <w:rsid w:val="1CB1400C"/>
    <w:rsid w:val="1DBB2B25"/>
    <w:rsid w:val="1E122B23"/>
    <w:rsid w:val="1E312225"/>
    <w:rsid w:val="1E5510E3"/>
    <w:rsid w:val="20281024"/>
    <w:rsid w:val="20B5758E"/>
    <w:rsid w:val="23EF1B0E"/>
    <w:rsid w:val="247A1B51"/>
    <w:rsid w:val="27E81586"/>
    <w:rsid w:val="29B57C78"/>
    <w:rsid w:val="2B336677"/>
    <w:rsid w:val="2D7160E8"/>
    <w:rsid w:val="2DA417DD"/>
    <w:rsid w:val="30483FA0"/>
    <w:rsid w:val="31437427"/>
    <w:rsid w:val="326C58E4"/>
    <w:rsid w:val="340F7934"/>
    <w:rsid w:val="34C8661B"/>
    <w:rsid w:val="35F728BC"/>
    <w:rsid w:val="3714005C"/>
    <w:rsid w:val="38042CB3"/>
    <w:rsid w:val="3ABA6910"/>
    <w:rsid w:val="3B0A2EB0"/>
    <w:rsid w:val="3B500164"/>
    <w:rsid w:val="3E4B066F"/>
    <w:rsid w:val="3FBB4BCB"/>
    <w:rsid w:val="41253788"/>
    <w:rsid w:val="41B37671"/>
    <w:rsid w:val="435E1F18"/>
    <w:rsid w:val="44B278BB"/>
    <w:rsid w:val="44B939E4"/>
    <w:rsid w:val="461E0D18"/>
    <w:rsid w:val="464F2DD5"/>
    <w:rsid w:val="467C5C77"/>
    <w:rsid w:val="47C55320"/>
    <w:rsid w:val="49B72F9D"/>
    <w:rsid w:val="4AA6125F"/>
    <w:rsid w:val="4B820499"/>
    <w:rsid w:val="4C625BDA"/>
    <w:rsid w:val="4D650FE4"/>
    <w:rsid w:val="4DE4272E"/>
    <w:rsid w:val="4E414DDC"/>
    <w:rsid w:val="4E583744"/>
    <w:rsid w:val="4FB54242"/>
    <w:rsid w:val="54D85B6D"/>
    <w:rsid w:val="54E47B8F"/>
    <w:rsid w:val="54FE4F3A"/>
    <w:rsid w:val="55A57892"/>
    <w:rsid w:val="578A390E"/>
    <w:rsid w:val="59D74C62"/>
    <w:rsid w:val="5A3B0856"/>
    <w:rsid w:val="5A6A79F7"/>
    <w:rsid w:val="5E4F40A2"/>
    <w:rsid w:val="5F367622"/>
    <w:rsid w:val="5F3F3404"/>
    <w:rsid w:val="5F905550"/>
    <w:rsid w:val="617F6B7B"/>
    <w:rsid w:val="63636628"/>
    <w:rsid w:val="6A893A8D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704672F"/>
    <w:rsid w:val="77175582"/>
    <w:rsid w:val="791F742A"/>
    <w:rsid w:val="7B2F66D1"/>
    <w:rsid w:val="7B76655D"/>
    <w:rsid w:val="7CE205E6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恋</cp:lastModifiedBy>
  <dcterms:modified xsi:type="dcterms:W3CDTF">2021-10-20T02:28:37Z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4CD67CD0F64D4D05B6ED6865F4D49A7C</vt:lpwstr>
  </property>
</Properties>
</file>