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ind w:firstLine="640"/>
        <w:jc w:val="right"/>
        <w:rPr>
          <w:rFonts w:hint="eastAsia" w:ascii="宋体" w:hAnsi="宋体" w:eastAsia="宋体" w:cs="Times New Roman"/>
          <w:bCs/>
          <w:color w:val="auto"/>
          <w:spacing w:val="26"/>
          <w:sz w:val="110"/>
          <w:szCs w:val="110"/>
          <w:lang w:eastAsia="zh-CN"/>
        </w:rPr>
      </w:pPr>
      <w:r>
        <w:rPr>
          <w:rFonts w:hint="eastAsia" w:ascii="宋体" w:hAnsi="宋体" w:eastAsia="宋体" w:cs="Times New Roman"/>
          <w:bCs/>
          <w:color w:val="auto"/>
          <w:szCs w:val="32"/>
        </w:rPr>
        <w:t xml:space="preserve">                     项目编号：</w:t>
      </w:r>
      <w:r>
        <w:rPr>
          <w:rFonts w:hint="eastAsia" w:ascii="宋体" w:hAnsi="宋体" w:eastAsia="宋体" w:cs="Times New Roman"/>
          <w:bCs/>
          <w:color w:val="auto"/>
          <w:szCs w:val="32"/>
          <w:lang w:eastAsia="zh-CN"/>
        </w:rPr>
        <w:t>zfcg-fw-20220413-001</w:t>
      </w:r>
    </w:p>
    <w:p>
      <w:pPr>
        <w:widowControl w:val="0"/>
        <w:ind w:firstLine="0" w:firstLineChars="0"/>
        <w:jc w:val="center"/>
        <w:rPr>
          <w:rFonts w:ascii="宋体" w:hAnsi="宋体" w:eastAsia="宋体" w:cs="宋体"/>
          <w:color w:val="auto"/>
          <w:szCs w:val="32"/>
        </w:rPr>
      </w:pPr>
    </w:p>
    <w:p>
      <w:pPr>
        <w:widowControl w:val="0"/>
        <w:ind w:firstLine="0" w:firstLineChars="0"/>
        <w:jc w:val="center"/>
        <w:rPr>
          <w:rFonts w:ascii="宋体" w:hAnsi="宋体" w:eastAsia="宋体" w:cs="宋体"/>
          <w:color w:val="auto"/>
          <w:szCs w:val="32"/>
        </w:rPr>
      </w:pPr>
    </w:p>
    <w:p>
      <w:pPr>
        <w:widowControl w:val="0"/>
        <w:ind w:firstLine="0" w:firstLineChars="0"/>
        <w:jc w:val="center"/>
        <w:rPr>
          <w:rFonts w:ascii="宋体" w:hAnsi="宋体" w:eastAsia="宋体" w:cs="宋体"/>
          <w:b/>
          <w:bCs/>
          <w:color w:val="auto"/>
          <w:sz w:val="36"/>
          <w:szCs w:val="36"/>
        </w:rPr>
      </w:pPr>
    </w:p>
    <w:p>
      <w:pPr>
        <w:widowControl w:val="0"/>
        <w:spacing w:line="560" w:lineRule="exact"/>
        <w:ind w:firstLine="0" w:firstLineChars="0"/>
        <w:jc w:val="center"/>
        <w:rPr>
          <w:rFonts w:hint="eastAsia" w:ascii="宋体" w:hAnsi="宋体" w:eastAsia="宋体" w:cs="宋体"/>
          <w:b/>
          <w:bCs/>
          <w:color w:val="auto"/>
          <w:sz w:val="44"/>
          <w:szCs w:val="44"/>
          <w:lang w:eastAsia="zh-CN"/>
        </w:rPr>
      </w:pPr>
      <w:r>
        <w:rPr>
          <w:rFonts w:hint="eastAsia" w:ascii="宋体" w:hAnsi="宋体" w:eastAsia="宋体" w:cs="宋体"/>
          <w:bCs/>
          <w:color w:val="auto"/>
          <w:sz w:val="44"/>
          <w:szCs w:val="44"/>
          <w:lang w:eastAsia="zh-CN"/>
        </w:rPr>
        <w:t>海口江东新区CBD起步区南片区概念设计方案</w:t>
      </w:r>
    </w:p>
    <w:p>
      <w:pPr>
        <w:widowControl w:val="0"/>
        <w:ind w:firstLine="0" w:firstLineChars="0"/>
        <w:jc w:val="center"/>
        <w:rPr>
          <w:rFonts w:ascii="宋体" w:hAnsi="宋体" w:eastAsia="宋体" w:cs="Times New Roman"/>
          <w:bCs/>
          <w:color w:val="auto"/>
          <w:spacing w:val="26"/>
          <w:sz w:val="50"/>
          <w:szCs w:val="50"/>
          <w:u w:val="single"/>
        </w:rPr>
      </w:pPr>
    </w:p>
    <w:p>
      <w:pPr>
        <w:widowControl w:val="0"/>
        <w:ind w:firstLine="0" w:firstLineChars="0"/>
        <w:jc w:val="center"/>
        <w:rPr>
          <w:rFonts w:ascii="宋体" w:hAnsi="宋体" w:eastAsia="宋体" w:cs="Times New Roman"/>
          <w:b/>
          <w:bCs/>
          <w:color w:val="auto"/>
          <w:spacing w:val="26"/>
          <w:sz w:val="84"/>
          <w:szCs w:val="84"/>
        </w:rPr>
      </w:pPr>
      <w:r>
        <w:rPr>
          <w:rFonts w:hint="eastAsia" w:ascii="宋体" w:hAnsi="宋体" w:eastAsia="宋体" w:cs="Times New Roman"/>
          <w:b/>
          <w:bCs/>
          <w:color w:val="auto"/>
          <w:spacing w:val="26"/>
          <w:sz w:val="84"/>
          <w:szCs w:val="84"/>
        </w:rPr>
        <w:t>采购比选文件</w:t>
      </w:r>
    </w:p>
    <w:p>
      <w:pPr>
        <w:widowControl w:val="0"/>
        <w:ind w:firstLine="0" w:firstLineChars="0"/>
        <w:jc w:val="center"/>
        <w:rPr>
          <w:rFonts w:ascii="宋体" w:hAnsi="宋体" w:eastAsia="宋体" w:cs="Times New Roman"/>
          <w:b/>
          <w:color w:val="auto"/>
          <w:szCs w:val="32"/>
        </w:rPr>
      </w:pPr>
    </w:p>
    <w:p>
      <w:pPr>
        <w:widowControl w:val="0"/>
        <w:ind w:firstLine="0" w:firstLineChars="0"/>
        <w:jc w:val="center"/>
        <w:rPr>
          <w:rFonts w:ascii="宋体" w:hAnsi="宋体" w:eastAsia="宋体" w:cs="Times New Roman"/>
          <w:b/>
          <w:bCs/>
          <w:color w:val="auto"/>
          <w:spacing w:val="26"/>
          <w:sz w:val="48"/>
          <w:szCs w:val="48"/>
        </w:rPr>
      </w:pPr>
    </w:p>
    <w:p>
      <w:pPr>
        <w:widowControl w:val="0"/>
        <w:ind w:firstLine="0" w:firstLineChars="0"/>
        <w:jc w:val="center"/>
        <w:rPr>
          <w:rFonts w:ascii="宋体" w:hAnsi="宋体" w:eastAsia="宋体" w:cs="Times New Roman"/>
          <w:b/>
          <w:bCs/>
          <w:color w:val="auto"/>
          <w:spacing w:val="26"/>
          <w:sz w:val="48"/>
          <w:szCs w:val="48"/>
        </w:rPr>
      </w:pPr>
    </w:p>
    <w:p>
      <w:pPr>
        <w:widowControl w:val="0"/>
        <w:ind w:firstLine="0" w:firstLineChars="0"/>
        <w:jc w:val="center"/>
        <w:rPr>
          <w:rFonts w:ascii="宋体" w:hAnsi="宋体" w:eastAsia="宋体" w:cs="Times New Roman"/>
          <w:b/>
          <w:bCs/>
          <w:color w:val="auto"/>
          <w:spacing w:val="26"/>
          <w:sz w:val="48"/>
          <w:szCs w:val="48"/>
        </w:rPr>
      </w:pPr>
    </w:p>
    <w:p>
      <w:pPr>
        <w:widowControl w:val="0"/>
        <w:ind w:firstLine="0" w:firstLineChars="0"/>
        <w:jc w:val="center"/>
        <w:rPr>
          <w:rFonts w:ascii="宋体" w:hAnsi="宋体" w:eastAsia="宋体" w:cs="Times New Roman"/>
          <w:b/>
          <w:bCs/>
          <w:color w:val="auto"/>
          <w:spacing w:val="26"/>
          <w:sz w:val="15"/>
          <w:szCs w:val="15"/>
        </w:rPr>
      </w:pPr>
    </w:p>
    <w:p>
      <w:pPr>
        <w:widowControl w:val="0"/>
        <w:ind w:firstLine="0" w:firstLineChars="0"/>
        <w:jc w:val="center"/>
        <w:rPr>
          <w:rFonts w:ascii="宋体" w:hAnsi="宋体" w:eastAsia="宋体" w:cs="Times New Roman"/>
          <w:color w:val="auto"/>
          <w:szCs w:val="32"/>
        </w:rPr>
      </w:pPr>
      <w:r>
        <w:rPr>
          <w:rFonts w:hint="eastAsia" w:ascii="宋体" w:hAnsi="宋体" w:eastAsia="宋体" w:cs="Times New Roman"/>
          <w:color w:val="auto"/>
          <w:szCs w:val="32"/>
        </w:rPr>
        <w:t>采购单位：海口江东新区管理局</w:t>
      </w:r>
    </w:p>
    <w:p>
      <w:pPr>
        <w:widowControl w:val="0"/>
        <w:ind w:firstLine="0" w:firstLineChars="0"/>
        <w:rPr>
          <w:rFonts w:ascii="宋体" w:hAnsi="宋体" w:eastAsia="宋体" w:cs="Times New Roman"/>
          <w:color w:val="auto"/>
          <w:sz w:val="30"/>
          <w:szCs w:val="30"/>
          <w:u w:val="single"/>
        </w:rPr>
      </w:pPr>
    </w:p>
    <w:p>
      <w:pPr>
        <w:widowControl w:val="0"/>
        <w:ind w:firstLine="0" w:firstLineChars="0"/>
        <w:jc w:val="center"/>
        <w:rPr>
          <w:rFonts w:ascii="宋体" w:hAnsi="宋体" w:eastAsia="宋体" w:cs="Times New Roman"/>
          <w:color w:val="auto"/>
          <w:szCs w:val="24"/>
        </w:rPr>
      </w:pPr>
    </w:p>
    <w:p>
      <w:pPr>
        <w:widowControl w:val="0"/>
        <w:ind w:firstLine="0" w:firstLineChars="0"/>
        <w:jc w:val="center"/>
        <w:rPr>
          <w:rFonts w:ascii="宋体" w:hAnsi="宋体" w:eastAsia="宋体" w:cs="Times New Roman"/>
          <w:color w:val="auto"/>
          <w:szCs w:val="24"/>
        </w:rPr>
      </w:pPr>
      <w:r>
        <w:rPr>
          <w:rFonts w:hint="eastAsia" w:ascii="宋体" w:hAnsi="宋体" w:eastAsia="宋体" w:cs="Times New Roman"/>
          <w:color w:val="auto"/>
          <w:szCs w:val="24"/>
        </w:rPr>
        <w:t>日   期：</w:t>
      </w:r>
      <w:r>
        <w:rPr>
          <w:rFonts w:hint="eastAsia" w:ascii="宋体" w:hAnsi="宋体" w:eastAsia="宋体" w:cs="Times New Roman"/>
          <w:color w:val="auto"/>
          <w:szCs w:val="24"/>
          <w:u w:val="single"/>
        </w:rPr>
        <w:t xml:space="preserve"> 202</w:t>
      </w:r>
      <w:r>
        <w:rPr>
          <w:rFonts w:hint="eastAsia" w:ascii="宋体" w:hAnsi="宋体" w:eastAsia="宋体" w:cs="Times New Roman"/>
          <w:color w:val="auto"/>
          <w:szCs w:val="24"/>
          <w:u w:val="single"/>
          <w:lang w:val="en-US" w:eastAsia="zh-CN"/>
        </w:rPr>
        <w:t>2</w:t>
      </w:r>
      <w:r>
        <w:rPr>
          <w:rFonts w:hint="eastAsia" w:ascii="宋体" w:hAnsi="宋体" w:eastAsia="宋体" w:cs="Times New Roman"/>
          <w:color w:val="auto"/>
          <w:szCs w:val="24"/>
        </w:rPr>
        <w:t>年</w:t>
      </w:r>
      <w:r>
        <w:rPr>
          <w:rFonts w:ascii="宋体" w:hAnsi="宋体" w:eastAsia="宋体" w:cs="Times New Roman"/>
          <w:color w:val="auto"/>
          <w:szCs w:val="24"/>
          <w:u w:val="single"/>
        </w:rPr>
        <w:t xml:space="preserve"> </w:t>
      </w:r>
      <w:r>
        <w:rPr>
          <w:rFonts w:hint="eastAsia" w:ascii="宋体" w:hAnsi="宋体" w:eastAsia="宋体" w:cs="Times New Roman"/>
          <w:color w:val="auto"/>
          <w:szCs w:val="24"/>
          <w:u w:val="single"/>
          <w:lang w:val="en-US" w:eastAsia="zh-CN"/>
        </w:rPr>
        <w:t>4</w:t>
      </w:r>
      <w:r>
        <w:rPr>
          <w:rFonts w:ascii="宋体" w:hAnsi="宋体" w:eastAsia="宋体" w:cs="Times New Roman"/>
          <w:color w:val="auto"/>
          <w:szCs w:val="24"/>
          <w:u w:val="single"/>
        </w:rPr>
        <w:t xml:space="preserve"> </w:t>
      </w:r>
      <w:r>
        <w:rPr>
          <w:rFonts w:hint="eastAsia" w:ascii="宋体" w:hAnsi="宋体" w:eastAsia="宋体" w:cs="Times New Roman"/>
          <w:color w:val="auto"/>
          <w:szCs w:val="24"/>
        </w:rPr>
        <w:t>月</w:t>
      </w:r>
    </w:p>
    <w:p>
      <w:pPr>
        <w:widowControl w:val="0"/>
        <w:ind w:firstLine="0" w:firstLineChars="0"/>
        <w:jc w:val="center"/>
        <w:rPr>
          <w:rFonts w:ascii="宋体" w:hAnsi="宋体" w:eastAsia="宋体" w:cs="Times New Roman"/>
          <w:b/>
          <w:color w:val="auto"/>
          <w:sz w:val="40"/>
          <w:szCs w:val="40"/>
        </w:rPr>
      </w:pPr>
    </w:p>
    <w:p>
      <w:pPr>
        <w:widowControl w:val="0"/>
        <w:ind w:firstLine="0" w:firstLineChars="0"/>
        <w:jc w:val="center"/>
        <w:rPr>
          <w:rFonts w:ascii="宋体" w:hAnsi="宋体" w:eastAsia="宋体" w:cs="Times New Roman"/>
          <w:b/>
          <w:color w:val="auto"/>
          <w:sz w:val="40"/>
          <w:szCs w:val="40"/>
        </w:rPr>
      </w:pPr>
    </w:p>
    <w:p>
      <w:pPr>
        <w:widowControl w:val="0"/>
        <w:ind w:firstLine="803"/>
        <w:jc w:val="center"/>
        <w:rPr>
          <w:rFonts w:ascii="宋体" w:hAnsi="宋体" w:eastAsia="宋体" w:cs="Times New Roman"/>
          <w:b/>
          <w:color w:val="auto"/>
          <w:sz w:val="40"/>
          <w:szCs w:val="40"/>
        </w:rPr>
      </w:pPr>
      <w:r>
        <w:rPr>
          <w:rFonts w:hint="eastAsia" w:ascii="宋体" w:hAnsi="宋体" w:eastAsia="宋体" w:cs="Times New Roman"/>
          <w:b/>
          <w:color w:val="auto"/>
          <w:sz w:val="40"/>
          <w:szCs w:val="40"/>
        </w:rPr>
        <w:t>目   录</w:t>
      </w:r>
    </w:p>
    <w:p>
      <w:pPr>
        <w:widowControl w:val="0"/>
        <w:ind w:firstLine="803"/>
        <w:rPr>
          <w:rFonts w:ascii="宋体" w:hAnsi="宋体" w:eastAsia="宋体" w:cs="Times New Roman"/>
          <w:b/>
          <w:color w:val="auto"/>
          <w:sz w:val="40"/>
          <w:szCs w:val="40"/>
        </w:rPr>
      </w:pPr>
    </w:p>
    <w:p>
      <w:pPr>
        <w:widowControl w:val="0"/>
        <w:autoSpaceDE w:val="0"/>
        <w:autoSpaceDN w:val="0"/>
        <w:adjustRightInd w:val="0"/>
        <w:ind w:firstLine="643"/>
        <w:rPr>
          <w:rFonts w:ascii="宋体" w:hAnsi="宋体" w:eastAsia="宋体" w:cs="Times New Roman"/>
          <w:b/>
          <w:bCs/>
          <w:color w:val="auto"/>
          <w:szCs w:val="32"/>
        </w:rPr>
      </w:pPr>
      <w:r>
        <w:rPr>
          <w:rFonts w:hint="eastAsia" w:ascii="宋体" w:hAnsi="宋体" w:eastAsia="宋体" w:cs="Times New Roman"/>
          <w:b/>
          <w:bCs/>
          <w:color w:val="auto"/>
          <w:szCs w:val="32"/>
        </w:rPr>
        <w:t>第一章  比选公告</w:t>
      </w:r>
    </w:p>
    <w:p>
      <w:pPr>
        <w:widowControl w:val="0"/>
        <w:autoSpaceDE w:val="0"/>
        <w:autoSpaceDN w:val="0"/>
        <w:adjustRightInd w:val="0"/>
        <w:ind w:firstLine="643"/>
        <w:rPr>
          <w:rFonts w:ascii="宋体" w:hAnsi="宋体" w:eastAsia="宋体" w:cs="Times New Roman"/>
          <w:b/>
          <w:bCs/>
          <w:color w:val="auto"/>
          <w:szCs w:val="32"/>
        </w:rPr>
      </w:pPr>
    </w:p>
    <w:p>
      <w:pPr>
        <w:widowControl w:val="0"/>
        <w:autoSpaceDE w:val="0"/>
        <w:autoSpaceDN w:val="0"/>
        <w:adjustRightInd w:val="0"/>
        <w:ind w:firstLine="643"/>
        <w:rPr>
          <w:rFonts w:ascii="宋体" w:hAnsi="宋体" w:eastAsia="宋体" w:cs="Times New Roman"/>
          <w:b/>
          <w:bCs/>
          <w:color w:val="auto"/>
          <w:szCs w:val="32"/>
        </w:rPr>
      </w:pPr>
      <w:r>
        <w:rPr>
          <w:rFonts w:hint="eastAsia" w:ascii="宋体" w:hAnsi="宋体" w:eastAsia="宋体" w:cs="Times New Roman"/>
          <w:b/>
          <w:bCs/>
          <w:color w:val="auto"/>
          <w:szCs w:val="32"/>
        </w:rPr>
        <w:t>第二章  比选单位须知</w:t>
      </w:r>
    </w:p>
    <w:p>
      <w:pPr>
        <w:widowControl w:val="0"/>
        <w:autoSpaceDE w:val="0"/>
        <w:autoSpaceDN w:val="0"/>
        <w:adjustRightInd w:val="0"/>
        <w:ind w:firstLine="643"/>
        <w:rPr>
          <w:rFonts w:ascii="宋体" w:hAnsi="宋体" w:eastAsia="宋体" w:cs="Times New Roman"/>
          <w:b/>
          <w:bCs/>
          <w:color w:val="auto"/>
          <w:szCs w:val="32"/>
        </w:rPr>
      </w:pPr>
      <w:r>
        <w:rPr>
          <w:rFonts w:ascii="宋体" w:hAnsi="宋体" w:eastAsia="宋体" w:cs="Times New Roman"/>
          <w:b/>
          <w:bCs/>
          <w:color w:val="auto"/>
          <w:szCs w:val="32"/>
        </w:rPr>
        <w:tab/>
      </w:r>
    </w:p>
    <w:p>
      <w:pPr>
        <w:widowControl w:val="0"/>
        <w:autoSpaceDE w:val="0"/>
        <w:autoSpaceDN w:val="0"/>
        <w:adjustRightInd w:val="0"/>
        <w:ind w:firstLine="643"/>
        <w:rPr>
          <w:rFonts w:ascii="宋体" w:hAnsi="宋体" w:eastAsia="宋体" w:cs="Times New Roman"/>
          <w:b/>
          <w:bCs/>
          <w:color w:val="auto"/>
          <w:szCs w:val="32"/>
        </w:rPr>
      </w:pPr>
      <w:r>
        <w:rPr>
          <w:rFonts w:hint="eastAsia" w:ascii="宋体" w:hAnsi="宋体" w:eastAsia="宋体" w:cs="Times New Roman"/>
          <w:b/>
          <w:bCs/>
          <w:color w:val="auto"/>
          <w:szCs w:val="32"/>
        </w:rPr>
        <w:t>第三章  服务内容及要求</w:t>
      </w:r>
    </w:p>
    <w:p>
      <w:pPr>
        <w:widowControl w:val="0"/>
        <w:autoSpaceDE w:val="0"/>
        <w:autoSpaceDN w:val="0"/>
        <w:adjustRightInd w:val="0"/>
        <w:ind w:firstLine="643"/>
        <w:rPr>
          <w:rFonts w:ascii="宋体" w:hAnsi="宋体" w:eastAsia="宋体" w:cs="Times New Roman"/>
          <w:b/>
          <w:bCs/>
          <w:color w:val="auto"/>
          <w:szCs w:val="32"/>
        </w:rPr>
      </w:pPr>
    </w:p>
    <w:p>
      <w:pPr>
        <w:widowControl w:val="0"/>
        <w:autoSpaceDE w:val="0"/>
        <w:autoSpaceDN w:val="0"/>
        <w:adjustRightInd w:val="0"/>
        <w:ind w:firstLine="643"/>
        <w:rPr>
          <w:rFonts w:ascii="宋体" w:hAnsi="宋体" w:eastAsia="宋体" w:cs="Times New Roman"/>
          <w:b/>
          <w:bCs/>
          <w:color w:val="auto"/>
          <w:szCs w:val="32"/>
        </w:rPr>
      </w:pPr>
      <w:r>
        <w:rPr>
          <w:rFonts w:hint="eastAsia" w:ascii="宋体" w:hAnsi="宋体" w:eastAsia="宋体" w:cs="Times New Roman"/>
          <w:b/>
          <w:bCs/>
          <w:color w:val="auto"/>
          <w:szCs w:val="32"/>
        </w:rPr>
        <w:t>第四章  项目评审说明</w:t>
      </w:r>
    </w:p>
    <w:p>
      <w:pPr>
        <w:widowControl w:val="0"/>
        <w:autoSpaceDE w:val="0"/>
        <w:autoSpaceDN w:val="0"/>
        <w:adjustRightInd w:val="0"/>
        <w:ind w:firstLine="643"/>
        <w:rPr>
          <w:rFonts w:ascii="宋体" w:hAnsi="宋体" w:eastAsia="宋体" w:cs="Times New Roman"/>
          <w:b/>
          <w:bCs/>
          <w:color w:val="auto"/>
          <w:szCs w:val="32"/>
        </w:rPr>
      </w:pPr>
    </w:p>
    <w:p>
      <w:pPr>
        <w:widowControl w:val="0"/>
        <w:autoSpaceDE w:val="0"/>
        <w:autoSpaceDN w:val="0"/>
        <w:adjustRightInd w:val="0"/>
        <w:ind w:firstLine="643"/>
        <w:rPr>
          <w:rFonts w:ascii="宋体" w:hAnsi="宋体" w:eastAsia="宋体" w:cs="Times New Roman"/>
          <w:b/>
          <w:bCs/>
          <w:color w:val="auto"/>
          <w:szCs w:val="32"/>
        </w:rPr>
      </w:pPr>
      <w:r>
        <w:rPr>
          <w:rFonts w:hint="eastAsia" w:ascii="宋体" w:hAnsi="宋体" w:eastAsia="宋体" w:cs="Times New Roman"/>
          <w:b/>
          <w:bCs/>
          <w:color w:val="auto"/>
          <w:szCs w:val="32"/>
        </w:rPr>
        <w:t>第五章  比选响应文件格式</w:t>
      </w:r>
    </w:p>
    <w:p>
      <w:pPr>
        <w:widowControl w:val="0"/>
        <w:autoSpaceDE w:val="0"/>
        <w:autoSpaceDN w:val="0"/>
        <w:adjustRightInd w:val="0"/>
        <w:ind w:firstLine="643"/>
        <w:rPr>
          <w:rFonts w:ascii="宋体" w:hAnsi="宋体" w:eastAsia="宋体" w:cs="Times New Roman"/>
          <w:b/>
          <w:bCs/>
          <w:color w:val="auto"/>
          <w:szCs w:val="32"/>
        </w:rPr>
      </w:pPr>
    </w:p>
    <w:p>
      <w:pPr>
        <w:widowControl w:val="0"/>
        <w:autoSpaceDE w:val="0"/>
        <w:autoSpaceDN w:val="0"/>
        <w:adjustRightInd w:val="0"/>
        <w:ind w:firstLine="643"/>
        <w:rPr>
          <w:rFonts w:ascii="宋体" w:hAnsi="宋体" w:eastAsia="宋体" w:cs="Times New Roman"/>
          <w:b/>
          <w:bCs/>
          <w:color w:val="auto"/>
          <w:szCs w:val="32"/>
        </w:rPr>
      </w:pPr>
      <w:r>
        <w:rPr>
          <w:rFonts w:hint="eastAsia" w:ascii="宋体" w:hAnsi="宋体" w:eastAsia="宋体" w:cs="Times New Roman"/>
          <w:b/>
          <w:bCs/>
          <w:color w:val="auto"/>
          <w:szCs w:val="32"/>
        </w:rPr>
        <w:t>第六章  项目合同模板</w:t>
      </w:r>
    </w:p>
    <w:p>
      <w:pPr>
        <w:widowControl w:val="0"/>
        <w:ind w:firstLine="420"/>
        <w:rPr>
          <w:rFonts w:ascii="Times New Roman" w:hAnsi="Times New Roman" w:eastAsia="宋体" w:cs="Times New Roman"/>
          <w:color w:val="auto"/>
          <w:sz w:val="21"/>
          <w:szCs w:val="24"/>
        </w:rPr>
        <w:sectPr>
          <w:headerReference r:id="rId7" w:type="first"/>
          <w:footerReference r:id="rId10" w:type="first"/>
          <w:headerReference r:id="rId5" w:type="default"/>
          <w:footerReference r:id="rId8" w:type="default"/>
          <w:headerReference r:id="rId6" w:type="even"/>
          <w:footerReference r:id="rId9" w:type="even"/>
          <w:pgSz w:w="11906" w:h="16838"/>
          <w:pgMar w:top="1440" w:right="1080" w:bottom="1440" w:left="1080" w:header="851" w:footer="992" w:gutter="0"/>
          <w:pgNumType w:start="1"/>
          <w:cols w:space="720" w:num="1"/>
          <w:titlePg/>
          <w:docGrid w:linePitch="312" w:charSpace="0"/>
        </w:sectPr>
      </w:pPr>
    </w:p>
    <w:p>
      <w:pPr>
        <w:pStyle w:val="2"/>
        <w:adjustRightInd w:val="0"/>
        <w:snapToGrid w:val="0"/>
        <w:spacing w:before="0" w:after="0" w:line="560" w:lineRule="exact"/>
        <w:ind w:firstLine="0" w:firstLineChars="0"/>
        <w:jc w:val="center"/>
        <w:rPr>
          <w:color w:val="auto"/>
        </w:rPr>
      </w:pPr>
      <w:r>
        <w:rPr>
          <w:rFonts w:hint="eastAsia" w:ascii="Times New Roman" w:hAnsi="Times New Roman" w:eastAsia="宋体" w:cs="Times New Roman"/>
          <w:bCs w:val="0"/>
          <w:color w:val="auto"/>
          <w:sz w:val="36"/>
          <w:szCs w:val="36"/>
        </w:rPr>
        <w:t>第一章比选公告</w:t>
      </w:r>
    </w:p>
    <w:p>
      <w:pPr>
        <w:pStyle w:val="2"/>
        <w:adjustRightInd w:val="0"/>
        <w:snapToGrid w:val="0"/>
        <w:spacing w:before="0" w:after="0" w:line="560" w:lineRule="exact"/>
        <w:ind w:firstLine="482"/>
        <w:rPr>
          <w:rFonts w:ascii="宋体" w:hAnsi="宋体" w:eastAsia="宋体" w:cs="宋体"/>
          <w:color w:val="auto"/>
          <w:sz w:val="24"/>
          <w:szCs w:val="24"/>
        </w:rPr>
      </w:pPr>
    </w:p>
    <w:p>
      <w:pPr>
        <w:pStyle w:val="2"/>
        <w:adjustRightInd w:val="0"/>
        <w:snapToGrid w:val="0"/>
        <w:spacing w:before="0" w:after="0" w:line="560" w:lineRule="exact"/>
        <w:ind w:firstLine="482"/>
        <w:rPr>
          <w:rFonts w:ascii="宋体" w:hAnsi="宋体" w:eastAsia="宋体" w:cs="宋体"/>
          <w:color w:val="auto"/>
          <w:sz w:val="24"/>
          <w:szCs w:val="24"/>
        </w:rPr>
      </w:pPr>
      <w:bookmarkStart w:id="50" w:name="_GoBack"/>
      <w:r>
        <w:rPr>
          <w:rFonts w:hint="eastAsia" w:ascii="宋体" w:hAnsi="宋体" w:eastAsia="宋体" w:cs="宋体"/>
          <w:color w:val="auto"/>
          <w:sz w:val="24"/>
          <w:szCs w:val="24"/>
        </w:rPr>
        <w:t>一 项目情况</w:t>
      </w:r>
    </w:p>
    <w:p>
      <w:pPr>
        <w:pStyle w:val="2"/>
        <w:numPr>
          <w:ilvl w:val="0"/>
          <w:numId w:val="1"/>
        </w:numPr>
        <w:adjustRightInd w:val="0"/>
        <w:snapToGrid w:val="0"/>
        <w:spacing w:before="0" w:after="0" w:line="560" w:lineRule="exact"/>
        <w:ind w:firstLine="480"/>
        <w:rPr>
          <w:rFonts w:ascii="宋体" w:hAnsi="宋体" w:eastAsia="宋体" w:cs="宋体"/>
          <w:b w:val="0"/>
          <w:bCs w:val="0"/>
          <w:color w:val="auto"/>
          <w:sz w:val="24"/>
          <w:szCs w:val="24"/>
        </w:rPr>
      </w:pPr>
      <w:r>
        <w:rPr>
          <w:rFonts w:hint="eastAsia" w:ascii="宋体" w:hAnsi="宋体" w:eastAsia="宋体" w:cs="宋体"/>
          <w:b w:val="0"/>
          <w:bCs w:val="0"/>
          <w:color w:val="auto"/>
          <w:sz w:val="24"/>
          <w:szCs w:val="24"/>
        </w:rPr>
        <w:t>采购单位：海口江东新区管理局；</w:t>
      </w:r>
    </w:p>
    <w:p>
      <w:pPr>
        <w:pStyle w:val="2"/>
        <w:numPr>
          <w:ilvl w:val="0"/>
          <w:numId w:val="1"/>
        </w:numPr>
        <w:adjustRightInd w:val="0"/>
        <w:snapToGrid w:val="0"/>
        <w:spacing w:before="0" w:after="0" w:line="560" w:lineRule="exact"/>
        <w:ind w:firstLine="480"/>
        <w:rPr>
          <w:rFonts w:ascii="宋体" w:hAnsi="宋体" w:eastAsia="宋体" w:cs="宋体"/>
          <w:b w:val="0"/>
          <w:bCs w:val="0"/>
          <w:color w:val="auto"/>
          <w:sz w:val="24"/>
          <w:szCs w:val="24"/>
        </w:rPr>
      </w:pPr>
      <w:r>
        <w:rPr>
          <w:rFonts w:hint="eastAsia" w:ascii="宋体" w:hAnsi="宋体" w:eastAsia="宋体" w:cs="宋体"/>
          <w:b w:val="0"/>
          <w:bCs w:val="0"/>
          <w:color w:val="auto"/>
          <w:sz w:val="24"/>
          <w:szCs w:val="24"/>
        </w:rPr>
        <w:t>项目名称：</w:t>
      </w:r>
      <w:r>
        <w:rPr>
          <w:rFonts w:hint="eastAsia" w:ascii="宋体" w:hAnsi="宋体" w:eastAsia="宋体" w:cs="宋体"/>
          <w:b w:val="0"/>
          <w:bCs w:val="0"/>
          <w:color w:val="auto"/>
          <w:sz w:val="24"/>
          <w:szCs w:val="24"/>
          <w:lang w:eastAsia="zh-CN"/>
        </w:rPr>
        <w:t>海口江东新区CBD起步区南片区概念设计方案</w:t>
      </w:r>
      <w:r>
        <w:rPr>
          <w:rFonts w:hint="eastAsia" w:ascii="宋体" w:hAnsi="宋体" w:eastAsia="宋体" w:cs="宋体"/>
          <w:b w:val="0"/>
          <w:bCs w:val="0"/>
          <w:color w:val="auto"/>
          <w:sz w:val="24"/>
          <w:szCs w:val="24"/>
        </w:rPr>
        <w:t>；</w:t>
      </w:r>
    </w:p>
    <w:p>
      <w:pPr>
        <w:pStyle w:val="2"/>
        <w:numPr>
          <w:ilvl w:val="0"/>
          <w:numId w:val="1"/>
        </w:numPr>
        <w:adjustRightInd w:val="0"/>
        <w:snapToGrid w:val="0"/>
        <w:spacing w:before="0" w:after="0" w:line="560" w:lineRule="exact"/>
        <w:ind w:firstLine="480"/>
        <w:rPr>
          <w:rFonts w:ascii="宋体" w:hAnsi="宋体" w:eastAsia="宋体" w:cs="宋体"/>
          <w:b w:val="0"/>
          <w:bCs w:val="0"/>
          <w:color w:val="auto"/>
          <w:sz w:val="24"/>
          <w:szCs w:val="24"/>
        </w:rPr>
      </w:pPr>
      <w:r>
        <w:rPr>
          <w:rFonts w:hint="eastAsia" w:ascii="宋体" w:hAnsi="宋体" w:eastAsia="宋体" w:cs="宋体"/>
          <w:b w:val="0"/>
          <w:bCs w:val="0"/>
          <w:color w:val="auto"/>
          <w:sz w:val="24"/>
          <w:szCs w:val="24"/>
        </w:rPr>
        <w:t>比选编号：</w:t>
      </w:r>
      <w:r>
        <w:rPr>
          <w:rFonts w:hint="eastAsia" w:ascii="宋体" w:hAnsi="宋体" w:eastAsia="宋体" w:cs="宋体"/>
          <w:b w:val="0"/>
          <w:bCs w:val="0"/>
          <w:color w:val="auto"/>
          <w:sz w:val="24"/>
          <w:szCs w:val="24"/>
          <w:lang w:eastAsia="zh-CN"/>
        </w:rPr>
        <w:t>zfcg-fw-20220413-001</w:t>
      </w:r>
      <w:r>
        <w:rPr>
          <w:rFonts w:hint="eastAsia" w:ascii="宋体" w:hAnsi="宋体" w:eastAsia="宋体" w:cs="宋体"/>
          <w:b w:val="0"/>
          <w:bCs w:val="0"/>
          <w:color w:val="auto"/>
          <w:sz w:val="24"/>
          <w:szCs w:val="24"/>
        </w:rPr>
        <w:t>；</w:t>
      </w:r>
    </w:p>
    <w:p>
      <w:pPr>
        <w:pStyle w:val="2"/>
        <w:numPr>
          <w:ilvl w:val="0"/>
          <w:numId w:val="1"/>
        </w:numPr>
        <w:adjustRightInd w:val="0"/>
        <w:snapToGrid w:val="0"/>
        <w:spacing w:before="0" w:after="0" w:line="560" w:lineRule="exact"/>
        <w:ind w:firstLine="480"/>
        <w:rPr>
          <w:rFonts w:ascii="宋体" w:hAnsi="宋体" w:eastAsia="宋体" w:cs="宋体"/>
          <w:b w:val="0"/>
          <w:bCs w:val="0"/>
          <w:color w:val="auto"/>
          <w:sz w:val="24"/>
          <w:szCs w:val="24"/>
        </w:rPr>
      </w:pPr>
      <w:r>
        <w:rPr>
          <w:rFonts w:hint="eastAsia" w:ascii="宋体" w:hAnsi="宋体" w:eastAsia="宋体" w:cs="宋体"/>
          <w:b w:val="0"/>
          <w:bCs w:val="0"/>
          <w:color w:val="auto"/>
          <w:sz w:val="24"/>
          <w:szCs w:val="24"/>
        </w:rPr>
        <w:t>项目资金来源：预算资金；</w:t>
      </w:r>
    </w:p>
    <w:p>
      <w:pPr>
        <w:pStyle w:val="2"/>
        <w:numPr>
          <w:ilvl w:val="0"/>
          <w:numId w:val="1"/>
        </w:numPr>
        <w:adjustRightInd w:val="0"/>
        <w:snapToGrid w:val="0"/>
        <w:spacing w:before="0" w:after="0" w:line="560" w:lineRule="exact"/>
        <w:ind w:firstLine="480"/>
        <w:rPr>
          <w:rFonts w:ascii="宋体" w:hAnsi="宋体" w:eastAsia="宋体" w:cs="宋体"/>
          <w:b w:val="0"/>
          <w:bCs w:val="0"/>
          <w:color w:val="auto"/>
          <w:sz w:val="24"/>
          <w:szCs w:val="24"/>
        </w:rPr>
      </w:pPr>
      <w:r>
        <w:rPr>
          <w:rFonts w:hint="eastAsia" w:ascii="宋体" w:hAnsi="宋体" w:eastAsia="宋体" w:cs="宋体"/>
          <w:b w:val="0"/>
          <w:bCs w:val="0"/>
          <w:color w:val="auto"/>
          <w:sz w:val="24"/>
          <w:szCs w:val="24"/>
        </w:rPr>
        <w:t>项目地点：海口江东新区；</w:t>
      </w:r>
    </w:p>
    <w:p>
      <w:pPr>
        <w:pStyle w:val="2"/>
        <w:numPr>
          <w:ilvl w:val="0"/>
          <w:numId w:val="1"/>
        </w:numPr>
        <w:adjustRightInd w:val="0"/>
        <w:snapToGrid w:val="0"/>
        <w:spacing w:before="0" w:after="0" w:line="560" w:lineRule="exact"/>
        <w:ind w:firstLine="480"/>
        <w:rPr>
          <w:rFonts w:ascii="宋体" w:hAnsi="宋体" w:eastAsia="宋体" w:cs="宋体"/>
          <w:b w:val="0"/>
          <w:bCs w:val="0"/>
          <w:color w:val="auto"/>
          <w:sz w:val="24"/>
          <w:szCs w:val="24"/>
        </w:rPr>
      </w:pPr>
      <w:r>
        <w:rPr>
          <w:rFonts w:hint="eastAsia" w:ascii="宋体" w:hAnsi="宋体" w:eastAsia="宋体" w:cs="宋体"/>
          <w:b w:val="0"/>
          <w:bCs w:val="0"/>
          <w:color w:val="auto"/>
          <w:sz w:val="24"/>
          <w:szCs w:val="24"/>
        </w:rPr>
        <w:t>项目比选内容：本次比选项目通过对比选单位综合实力的评审以及比选响应文件的质量评审，选择高水平的专业服务团队；</w:t>
      </w:r>
    </w:p>
    <w:p>
      <w:pPr>
        <w:pStyle w:val="2"/>
        <w:numPr>
          <w:ilvl w:val="0"/>
          <w:numId w:val="1"/>
        </w:numPr>
        <w:adjustRightInd w:val="0"/>
        <w:snapToGrid w:val="0"/>
        <w:spacing w:before="0" w:after="0" w:line="560" w:lineRule="exact"/>
        <w:ind w:firstLine="480"/>
        <w:rPr>
          <w:rFonts w:ascii="宋体" w:hAnsi="宋体" w:eastAsia="宋体" w:cs="宋体"/>
          <w:b w:val="0"/>
          <w:bCs w:val="0"/>
          <w:color w:val="auto"/>
          <w:sz w:val="24"/>
          <w:szCs w:val="24"/>
        </w:rPr>
      </w:pPr>
      <w:r>
        <w:rPr>
          <w:rFonts w:hint="eastAsia" w:ascii="宋体" w:hAnsi="宋体" w:eastAsia="宋体" w:cs="宋体"/>
          <w:b w:val="0"/>
          <w:bCs w:val="0"/>
          <w:color w:val="auto"/>
          <w:sz w:val="24"/>
          <w:szCs w:val="24"/>
        </w:rPr>
        <w:t>最高限价：人民币</w:t>
      </w:r>
      <w:r>
        <w:rPr>
          <w:rFonts w:hint="eastAsia" w:ascii="宋体" w:hAnsi="宋体" w:eastAsia="宋体" w:cs="宋体"/>
          <w:b w:val="0"/>
          <w:bCs w:val="0"/>
          <w:color w:val="auto"/>
          <w:sz w:val="24"/>
          <w:szCs w:val="24"/>
          <w:lang w:val="en-US" w:eastAsia="zh-CN"/>
        </w:rPr>
        <w:t>65</w:t>
      </w:r>
      <w:r>
        <w:rPr>
          <w:rFonts w:hint="eastAsia" w:ascii="宋体" w:hAnsi="宋体" w:eastAsia="宋体" w:cs="宋体"/>
          <w:b w:val="0"/>
          <w:bCs w:val="0"/>
          <w:color w:val="auto"/>
          <w:sz w:val="24"/>
          <w:szCs w:val="24"/>
        </w:rPr>
        <w:t>万元（不含</w:t>
      </w:r>
      <w:r>
        <w:rPr>
          <w:rFonts w:hint="eastAsia" w:ascii="宋体" w:hAnsi="宋体" w:eastAsia="宋体" w:cs="宋体"/>
          <w:b w:val="0"/>
          <w:bCs w:val="0"/>
          <w:color w:val="auto"/>
          <w:sz w:val="24"/>
          <w:szCs w:val="24"/>
          <w:lang w:val="en-US" w:eastAsia="zh-CN"/>
        </w:rPr>
        <w:t>65</w:t>
      </w:r>
      <w:r>
        <w:rPr>
          <w:rFonts w:hint="eastAsia" w:ascii="宋体" w:hAnsi="宋体" w:eastAsia="宋体" w:cs="宋体"/>
          <w:b w:val="0"/>
          <w:bCs w:val="0"/>
          <w:color w:val="auto"/>
          <w:sz w:val="24"/>
          <w:szCs w:val="24"/>
        </w:rPr>
        <w:t>万）；</w:t>
      </w:r>
    </w:p>
    <w:p>
      <w:pPr>
        <w:pStyle w:val="2"/>
        <w:numPr>
          <w:ilvl w:val="0"/>
          <w:numId w:val="1"/>
        </w:numPr>
        <w:adjustRightInd w:val="0"/>
        <w:snapToGrid w:val="0"/>
        <w:spacing w:before="0" w:after="0" w:line="560" w:lineRule="exact"/>
        <w:ind w:firstLine="480"/>
        <w:rPr>
          <w:rFonts w:ascii="宋体" w:hAnsi="宋体" w:eastAsia="宋体" w:cs="宋体"/>
          <w:b w:val="0"/>
          <w:bCs w:val="0"/>
          <w:color w:val="auto"/>
          <w:sz w:val="24"/>
          <w:szCs w:val="24"/>
        </w:rPr>
      </w:pPr>
      <w:r>
        <w:rPr>
          <w:rFonts w:hint="eastAsia" w:ascii="宋体" w:hAnsi="宋体" w:eastAsia="宋体" w:cs="宋体"/>
          <w:b w:val="0"/>
          <w:bCs w:val="0"/>
          <w:color w:val="auto"/>
          <w:sz w:val="24"/>
          <w:szCs w:val="24"/>
        </w:rPr>
        <w:t>质量要求：符合采购单位的要求；</w:t>
      </w:r>
    </w:p>
    <w:p>
      <w:pPr>
        <w:pStyle w:val="2"/>
        <w:numPr>
          <w:ilvl w:val="0"/>
          <w:numId w:val="1"/>
        </w:numPr>
        <w:adjustRightInd w:val="0"/>
        <w:snapToGrid w:val="0"/>
        <w:spacing w:before="0" w:after="0" w:line="560" w:lineRule="exact"/>
        <w:ind w:firstLine="480"/>
        <w:rPr>
          <w:rFonts w:ascii="宋体" w:hAnsi="宋体" w:eastAsia="宋体" w:cs="宋体"/>
          <w:b w:val="0"/>
          <w:bCs w:val="0"/>
          <w:color w:val="auto"/>
          <w:sz w:val="24"/>
          <w:szCs w:val="24"/>
        </w:rPr>
      </w:pPr>
      <w:r>
        <w:rPr>
          <w:rFonts w:hint="eastAsia" w:ascii="宋体" w:hAnsi="宋体" w:eastAsia="宋体" w:cs="宋体"/>
          <w:b w:val="0"/>
          <w:bCs w:val="0"/>
          <w:color w:val="auto"/>
          <w:sz w:val="24"/>
          <w:szCs w:val="24"/>
        </w:rPr>
        <w:t>服务期限：2022年</w:t>
      </w:r>
      <w:r>
        <w:rPr>
          <w:rFonts w:hint="eastAsia" w:ascii="宋体" w:hAnsi="宋体" w:eastAsia="宋体" w:cs="宋体"/>
          <w:b w:val="0"/>
          <w:bCs w:val="0"/>
          <w:color w:val="auto"/>
          <w:sz w:val="24"/>
          <w:szCs w:val="24"/>
          <w:lang w:val="en-US" w:eastAsia="zh-CN"/>
        </w:rPr>
        <w:t>5</w:t>
      </w:r>
      <w:r>
        <w:rPr>
          <w:rFonts w:hint="eastAsia" w:ascii="宋体" w:hAnsi="宋体" w:eastAsia="宋体" w:cs="宋体"/>
          <w:b w:val="0"/>
          <w:bCs w:val="0"/>
          <w:color w:val="auto"/>
          <w:sz w:val="24"/>
          <w:szCs w:val="24"/>
        </w:rPr>
        <w:t>月</w:t>
      </w:r>
      <w:r>
        <w:rPr>
          <w:rFonts w:hint="eastAsia" w:ascii="宋体" w:hAnsi="宋体" w:eastAsia="宋体" w:cs="宋体"/>
          <w:b w:val="0"/>
          <w:bCs w:val="0"/>
          <w:color w:val="auto"/>
          <w:sz w:val="24"/>
          <w:szCs w:val="24"/>
          <w:lang w:val="en-US" w:eastAsia="zh-CN"/>
        </w:rPr>
        <w:t>31</w:t>
      </w:r>
      <w:r>
        <w:rPr>
          <w:rFonts w:hint="eastAsia" w:ascii="宋体" w:hAnsi="宋体" w:eastAsia="宋体" w:cs="宋体"/>
          <w:b w:val="0"/>
          <w:bCs w:val="0"/>
          <w:color w:val="auto"/>
          <w:sz w:val="24"/>
          <w:szCs w:val="24"/>
        </w:rPr>
        <w:t>日前完成。</w:t>
      </w:r>
    </w:p>
    <w:p>
      <w:pPr>
        <w:pStyle w:val="2"/>
        <w:adjustRightInd w:val="0"/>
        <w:snapToGrid w:val="0"/>
        <w:spacing w:before="0" w:after="0" w:line="560" w:lineRule="exact"/>
        <w:ind w:firstLine="482"/>
        <w:rPr>
          <w:rFonts w:ascii="宋体" w:hAnsi="宋体" w:eastAsia="宋体" w:cs="宋体"/>
          <w:color w:val="auto"/>
          <w:sz w:val="24"/>
          <w:szCs w:val="24"/>
        </w:rPr>
      </w:pPr>
      <w:r>
        <w:rPr>
          <w:rFonts w:hint="eastAsia" w:ascii="宋体" w:hAnsi="宋体" w:eastAsia="宋体" w:cs="宋体"/>
          <w:color w:val="auto"/>
          <w:sz w:val="24"/>
          <w:szCs w:val="24"/>
        </w:rPr>
        <w:t>二 报名单位资质要求</w:t>
      </w:r>
    </w:p>
    <w:p>
      <w:pPr>
        <w:pStyle w:val="2"/>
        <w:adjustRightInd w:val="0"/>
        <w:snapToGrid w:val="0"/>
        <w:spacing w:before="0" w:after="0" w:line="560" w:lineRule="exact"/>
        <w:ind w:firstLine="480"/>
        <w:rPr>
          <w:rFonts w:ascii="宋体" w:hAnsi="宋体" w:eastAsia="宋体" w:cs="宋体"/>
          <w:b w:val="0"/>
          <w:bCs w:val="0"/>
          <w:color w:val="auto"/>
          <w:sz w:val="24"/>
          <w:szCs w:val="24"/>
        </w:rPr>
      </w:pPr>
      <w:r>
        <w:rPr>
          <w:rFonts w:hint="eastAsia" w:ascii="宋体" w:hAnsi="宋体" w:eastAsia="宋体" w:cs="宋体"/>
          <w:b w:val="0"/>
          <w:bCs w:val="0"/>
          <w:color w:val="auto"/>
          <w:sz w:val="24"/>
          <w:szCs w:val="24"/>
        </w:rPr>
        <w:t>（一）必须是在中华人民共和国境内合法注册的独立法人，具有法定履行合同的资格与能力，遵守国家有关法律、法规，具有良好的商业信誉和健全的财务会计制度。</w:t>
      </w:r>
    </w:p>
    <w:p>
      <w:pPr>
        <w:pStyle w:val="2"/>
        <w:adjustRightInd w:val="0"/>
        <w:snapToGrid w:val="0"/>
        <w:spacing w:before="0" w:after="0" w:line="560" w:lineRule="exact"/>
        <w:ind w:firstLine="480"/>
        <w:rPr>
          <w:rFonts w:ascii="宋体" w:hAnsi="宋体" w:eastAsia="宋体" w:cs="宋体"/>
          <w:b w:val="0"/>
          <w:bCs w:val="0"/>
          <w:color w:val="auto"/>
          <w:sz w:val="24"/>
          <w:szCs w:val="24"/>
        </w:rPr>
      </w:pPr>
      <w:r>
        <w:rPr>
          <w:rFonts w:hint="eastAsia" w:ascii="宋体" w:hAnsi="宋体" w:eastAsia="宋体" w:cs="宋体"/>
          <w:b w:val="0"/>
          <w:bCs w:val="0"/>
          <w:color w:val="auto"/>
          <w:sz w:val="24"/>
          <w:szCs w:val="24"/>
        </w:rPr>
        <w:t>（二）未被“信用中国”列入失信被执行人和重大税收违法案件当事人名单、未被中国政府采购网列入政府采购严重违法失信行为记录名单。</w:t>
      </w:r>
    </w:p>
    <w:p>
      <w:pPr>
        <w:pStyle w:val="2"/>
        <w:adjustRightInd w:val="0"/>
        <w:snapToGrid w:val="0"/>
        <w:spacing w:before="0" w:after="0" w:line="560" w:lineRule="exact"/>
        <w:ind w:firstLine="480"/>
        <w:rPr>
          <w:rFonts w:ascii="宋体" w:hAnsi="宋体" w:eastAsia="宋体" w:cs="宋体"/>
          <w:b w:val="0"/>
          <w:bCs w:val="0"/>
          <w:color w:val="auto"/>
          <w:sz w:val="24"/>
          <w:szCs w:val="24"/>
        </w:rPr>
      </w:pPr>
      <w:r>
        <w:rPr>
          <w:rFonts w:hint="eastAsia" w:ascii="宋体" w:hAnsi="宋体" w:eastAsia="宋体" w:cs="宋体"/>
          <w:b w:val="0"/>
          <w:bCs w:val="0"/>
          <w:color w:val="auto"/>
          <w:sz w:val="24"/>
          <w:szCs w:val="24"/>
        </w:rPr>
        <w:t>（三）本项目不接受联合体参加比选。</w:t>
      </w:r>
    </w:p>
    <w:p>
      <w:pPr>
        <w:pStyle w:val="2"/>
        <w:adjustRightInd w:val="0"/>
        <w:snapToGrid w:val="0"/>
        <w:spacing w:before="0" w:after="0" w:line="560" w:lineRule="exact"/>
        <w:ind w:firstLine="482"/>
        <w:rPr>
          <w:rFonts w:ascii="宋体" w:hAnsi="宋体" w:eastAsia="宋体" w:cs="宋体"/>
          <w:color w:val="auto"/>
          <w:sz w:val="24"/>
          <w:szCs w:val="24"/>
        </w:rPr>
      </w:pPr>
      <w:r>
        <w:rPr>
          <w:rFonts w:hint="eastAsia" w:ascii="宋体" w:hAnsi="宋体" w:eastAsia="宋体" w:cs="宋体"/>
          <w:color w:val="auto"/>
          <w:sz w:val="24"/>
          <w:szCs w:val="24"/>
        </w:rPr>
        <w:t>三 比选文件获取时间及方式</w:t>
      </w:r>
    </w:p>
    <w:p>
      <w:pPr>
        <w:pStyle w:val="2"/>
        <w:adjustRightInd w:val="0"/>
        <w:snapToGrid w:val="0"/>
        <w:spacing w:before="0" w:after="0" w:line="560" w:lineRule="exact"/>
        <w:ind w:firstLine="480"/>
        <w:rPr>
          <w:rFonts w:ascii="宋体" w:hAnsi="宋体" w:eastAsia="宋体" w:cs="宋体"/>
          <w:color w:val="auto"/>
          <w:sz w:val="24"/>
        </w:rPr>
      </w:pPr>
      <w:r>
        <w:rPr>
          <w:rFonts w:hint="eastAsia" w:ascii="宋体" w:hAnsi="宋体" w:eastAsia="宋体" w:cs="宋体"/>
          <w:b w:val="0"/>
          <w:bCs w:val="0"/>
          <w:color w:val="auto"/>
          <w:sz w:val="24"/>
          <w:szCs w:val="24"/>
        </w:rPr>
        <w:t>（一）比选文件获取时间： 202</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年</w:t>
      </w: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rPr>
        <w:t>月</w:t>
      </w:r>
      <w:r>
        <w:rPr>
          <w:rFonts w:hint="eastAsia" w:ascii="宋体" w:hAnsi="宋体" w:eastAsia="宋体" w:cs="宋体"/>
          <w:b w:val="0"/>
          <w:bCs w:val="0"/>
          <w:color w:val="auto"/>
          <w:sz w:val="24"/>
          <w:szCs w:val="24"/>
          <w:lang w:val="en-US" w:eastAsia="zh-CN"/>
        </w:rPr>
        <w:t>15</w:t>
      </w:r>
      <w:r>
        <w:rPr>
          <w:rFonts w:hint="eastAsia" w:ascii="宋体" w:hAnsi="宋体" w:eastAsia="宋体" w:cs="宋体"/>
          <w:b w:val="0"/>
          <w:bCs w:val="0"/>
          <w:color w:val="auto"/>
          <w:sz w:val="24"/>
          <w:szCs w:val="24"/>
        </w:rPr>
        <w:t>日00时00分至202</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年</w:t>
      </w: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rPr>
        <w:t>月</w:t>
      </w:r>
      <w:r>
        <w:rPr>
          <w:rFonts w:hint="eastAsia" w:ascii="宋体" w:hAnsi="宋体" w:eastAsia="宋体" w:cs="宋体"/>
          <w:b w:val="0"/>
          <w:bCs w:val="0"/>
          <w:color w:val="auto"/>
          <w:sz w:val="24"/>
          <w:szCs w:val="24"/>
          <w:lang w:val="en-US" w:eastAsia="zh-CN"/>
        </w:rPr>
        <w:t>18</w:t>
      </w:r>
      <w:r>
        <w:rPr>
          <w:rFonts w:hint="eastAsia" w:ascii="宋体" w:hAnsi="宋体" w:eastAsia="宋体" w:cs="宋体"/>
          <w:b w:val="0"/>
          <w:bCs w:val="0"/>
          <w:color w:val="auto"/>
          <w:sz w:val="24"/>
          <w:szCs w:val="24"/>
        </w:rPr>
        <w:t>日23点59分（北京时间）；</w:t>
      </w:r>
    </w:p>
    <w:p>
      <w:pPr>
        <w:pStyle w:val="2"/>
        <w:adjustRightInd w:val="0"/>
        <w:snapToGrid w:val="0"/>
        <w:spacing w:before="0" w:after="0" w:line="560" w:lineRule="exact"/>
        <w:ind w:firstLine="480"/>
        <w:rPr>
          <w:rFonts w:ascii="宋体" w:hAnsi="宋体" w:eastAsia="宋体" w:cs="宋体"/>
          <w:b w:val="0"/>
          <w:bCs w:val="0"/>
          <w:color w:val="auto"/>
          <w:sz w:val="24"/>
          <w:szCs w:val="24"/>
        </w:rPr>
      </w:pPr>
      <w:r>
        <w:rPr>
          <w:rFonts w:hint="eastAsia" w:ascii="宋体" w:hAnsi="宋体" w:eastAsia="宋体" w:cs="宋体"/>
          <w:b w:val="0"/>
          <w:bCs w:val="0"/>
          <w:color w:val="auto"/>
          <w:sz w:val="24"/>
          <w:szCs w:val="24"/>
        </w:rPr>
        <w:t>（二）比选文件获取方式：请有意向参与本项目采购活动的单位在比选公告界面自行下载比选文件。</w:t>
      </w:r>
    </w:p>
    <w:p>
      <w:pPr>
        <w:pStyle w:val="2"/>
        <w:adjustRightInd w:val="0"/>
        <w:snapToGrid w:val="0"/>
        <w:spacing w:before="0" w:after="0" w:line="560" w:lineRule="exact"/>
        <w:ind w:firstLine="482"/>
        <w:rPr>
          <w:rFonts w:ascii="宋体" w:hAnsi="宋体" w:eastAsia="宋体" w:cs="宋体"/>
          <w:color w:val="auto"/>
          <w:sz w:val="24"/>
          <w:szCs w:val="24"/>
        </w:rPr>
      </w:pPr>
      <w:r>
        <w:rPr>
          <w:rFonts w:hint="eastAsia" w:ascii="宋体" w:hAnsi="宋体" w:eastAsia="宋体" w:cs="宋体"/>
          <w:color w:val="auto"/>
          <w:sz w:val="24"/>
          <w:szCs w:val="24"/>
        </w:rPr>
        <w:t>四 比选响应文件的递交及开标时间、地点信息</w:t>
      </w:r>
    </w:p>
    <w:p>
      <w:pPr>
        <w:pStyle w:val="2"/>
        <w:adjustRightInd w:val="0"/>
        <w:snapToGrid w:val="0"/>
        <w:spacing w:before="0" w:after="0" w:line="560" w:lineRule="exact"/>
        <w:ind w:firstLine="480"/>
        <w:rPr>
          <w:rFonts w:ascii="宋体" w:hAnsi="宋体" w:eastAsia="宋体" w:cs="宋体"/>
          <w:b w:val="0"/>
          <w:bCs w:val="0"/>
          <w:color w:val="auto"/>
          <w:sz w:val="24"/>
          <w:szCs w:val="24"/>
        </w:rPr>
      </w:pPr>
      <w:r>
        <w:rPr>
          <w:rFonts w:hint="eastAsia" w:ascii="宋体" w:hAnsi="宋体" w:eastAsia="宋体" w:cs="宋体"/>
          <w:b w:val="0"/>
          <w:bCs w:val="0"/>
          <w:color w:val="auto"/>
          <w:sz w:val="24"/>
          <w:szCs w:val="24"/>
        </w:rPr>
        <w:t>（一）响应文件递交截止时间：202</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年</w:t>
      </w: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rPr>
        <w:t>月</w:t>
      </w:r>
      <w:r>
        <w:rPr>
          <w:rFonts w:hint="eastAsia" w:ascii="宋体" w:hAnsi="宋体" w:eastAsia="宋体" w:cs="宋体"/>
          <w:b w:val="0"/>
          <w:bCs w:val="0"/>
          <w:color w:val="auto"/>
          <w:sz w:val="24"/>
          <w:szCs w:val="24"/>
          <w:lang w:val="en-US" w:eastAsia="zh-CN"/>
        </w:rPr>
        <w:t>19</w:t>
      </w:r>
      <w:r>
        <w:rPr>
          <w:rFonts w:hint="eastAsia" w:ascii="宋体" w:hAnsi="宋体" w:eastAsia="宋体" w:cs="宋体"/>
          <w:b w:val="0"/>
          <w:bCs w:val="0"/>
          <w:color w:val="auto"/>
          <w:sz w:val="24"/>
          <w:szCs w:val="24"/>
        </w:rPr>
        <w:t>日15时整；</w:t>
      </w:r>
    </w:p>
    <w:p>
      <w:pPr>
        <w:pStyle w:val="2"/>
        <w:adjustRightInd w:val="0"/>
        <w:snapToGrid w:val="0"/>
        <w:spacing w:before="0" w:after="0" w:line="560" w:lineRule="exact"/>
        <w:ind w:firstLine="480"/>
        <w:rPr>
          <w:rFonts w:ascii="宋体" w:hAnsi="宋体" w:eastAsia="宋体" w:cs="宋体"/>
          <w:b w:val="0"/>
          <w:bCs w:val="0"/>
          <w:color w:val="auto"/>
          <w:sz w:val="24"/>
          <w:szCs w:val="24"/>
        </w:rPr>
      </w:pPr>
      <w:r>
        <w:rPr>
          <w:rFonts w:hint="eastAsia" w:ascii="宋体" w:hAnsi="宋体" w:eastAsia="宋体" w:cs="宋体"/>
          <w:b w:val="0"/>
          <w:bCs w:val="0"/>
          <w:color w:val="auto"/>
          <w:sz w:val="24"/>
          <w:szCs w:val="24"/>
        </w:rPr>
        <w:t>（二）开标时间：202</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年</w:t>
      </w: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rPr>
        <w:t>月</w:t>
      </w:r>
      <w:r>
        <w:rPr>
          <w:rFonts w:hint="eastAsia" w:ascii="宋体" w:hAnsi="宋体" w:eastAsia="宋体" w:cs="宋体"/>
          <w:b w:val="0"/>
          <w:bCs w:val="0"/>
          <w:color w:val="auto"/>
          <w:sz w:val="24"/>
          <w:szCs w:val="24"/>
          <w:lang w:val="en-US" w:eastAsia="zh-CN"/>
        </w:rPr>
        <w:t>19</w:t>
      </w:r>
      <w:r>
        <w:rPr>
          <w:rFonts w:hint="eastAsia" w:ascii="宋体" w:hAnsi="宋体" w:eastAsia="宋体" w:cs="宋体"/>
          <w:b w:val="0"/>
          <w:bCs w:val="0"/>
          <w:color w:val="auto"/>
          <w:sz w:val="24"/>
          <w:szCs w:val="24"/>
        </w:rPr>
        <w:t>日15时整；</w:t>
      </w:r>
    </w:p>
    <w:p>
      <w:pPr>
        <w:pStyle w:val="2"/>
        <w:adjustRightInd w:val="0"/>
        <w:snapToGrid w:val="0"/>
        <w:spacing w:before="0" w:after="0" w:line="560" w:lineRule="exact"/>
        <w:ind w:firstLine="480"/>
        <w:rPr>
          <w:rFonts w:ascii="宋体" w:hAnsi="宋体" w:eastAsia="宋体" w:cs="宋体"/>
          <w:b w:val="0"/>
          <w:bCs w:val="0"/>
          <w:color w:val="auto"/>
          <w:sz w:val="24"/>
          <w:szCs w:val="24"/>
        </w:rPr>
      </w:pPr>
      <w:r>
        <w:rPr>
          <w:rFonts w:hint="eastAsia" w:ascii="宋体" w:hAnsi="宋体" w:eastAsia="宋体" w:cs="宋体"/>
          <w:b w:val="0"/>
          <w:bCs w:val="0"/>
          <w:color w:val="auto"/>
          <w:sz w:val="24"/>
          <w:szCs w:val="24"/>
        </w:rPr>
        <w:t>（三）响应文件递交地点：海口市美兰区兴洋大道181号江东新区政务服务中心208室；</w:t>
      </w:r>
    </w:p>
    <w:p>
      <w:pPr>
        <w:pStyle w:val="2"/>
        <w:adjustRightInd w:val="0"/>
        <w:snapToGrid w:val="0"/>
        <w:spacing w:before="0" w:after="0" w:line="560" w:lineRule="exact"/>
        <w:ind w:firstLine="480"/>
        <w:rPr>
          <w:rFonts w:ascii="宋体" w:hAnsi="宋体" w:eastAsia="宋体" w:cs="宋体"/>
          <w:b w:val="0"/>
          <w:bCs w:val="0"/>
          <w:color w:val="auto"/>
          <w:sz w:val="24"/>
          <w:szCs w:val="24"/>
        </w:rPr>
      </w:pPr>
      <w:r>
        <w:rPr>
          <w:rFonts w:hint="eastAsia" w:ascii="宋体" w:hAnsi="宋体" w:eastAsia="宋体" w:cs="宋体"/>
          <w:b w:val="0"/>
          <w:bCs w:val="0"/>
          <w:color w:val="auto"/>
          <w:sz w:val="24"/>
          <w:szCs w:val="24"/>
        </w:rPr>
        <w:t>（四）逾期送达或未送达指定地点的响应文件，采购人将不予受理。</w:t>
      </w:r>
    </w:p>
    <w:p>
      <w:pPr>
        <w:pStyle w:val="2"/>
        <w:adjustRightInd w:val="0"/>
        <w:snapToGrid w:val="0"/>
        <w:spacing w:before="0" w:after="0" w:line="560" w:lineRule="exact"/>
        <w:ind w:firstLine="482"/>
        <w:rPr>
          <w:rFonts w:ascii="宋体" w:hAnsi="宋体" w:eastAsia="宋体" w:cs="宋体"/>
          <w:color w:val="auto"/>
          <w:sz w:val="24"/>
          <w:szCs w:val="24"/>
        </w:rPr>
      </w:pPr>
      <w:r>
        <w:rPr>
          <w:rFonts w:hint="eastAsia" w:ascii="宋体" w:hAnsi="宋体" w:eastAsia="宋体" w:cs="宋体"/>
          <w:color w:val="auto"/>
          <w:sz w:val="24"/>
          <w:szCs w:val="24"/>
        </w:rPr>
        <w:t>五 发布公告的媒介</w:t>
      </w:r>
    </w:p>
    <w:p>
      <w:pPr>
        <w:adjustRightInd w:val="0"/>
        <w:snapToGrid w:val="0"/>
        <w:spacing w:line="560" w:lineRule="exact"/>
        <w:ind w:firstLine="480"/>
        <w:rPr>
          <w:rFonts w:ascii="宋体" w:hAnsi="宋体" w:eastAsia="宋体" w:cs="宋体"/>
          <w:color w:val="auto"/>
          <w:sz w:val="24"/>
        </w:rPr>
      </w:pPr>
      <w:r>
        <w:rPr>
          <w:rFonts w:hint="eastAsia" w:ascii="宋体" w:hAnsi="宋体" w:eastAsia="宋体" w:cs="宋体"/>
          <w:color w:val="auto"/>
          <w:sz w:val="24"/>
        </w:rPr>
        <w:t>本项目比选公告仅在江东新区管理局官网发布。</w:t>
      </w:r>
    </w:p>
    <w:p>
      <w:pPr>
        <w:pStyle w:val="2"/>
        <w:adjustRightInd w:val="0"/>
        <w:snapToGrid w:val="0"/>
        <w:spacing w:before="0" w:after="0" w:line="560" w:lineRule="exact"/>
        <w:ind w:firstLine="482"/>
        <w:rPr>
          <w:rFonts w:ascii="宋体" w:hAnsi="宋体" w:eastAsia="宋体" w:cs="宋体"/>
          <w:color w:val="auto"/>
          <w:sz w:val="24"/>
          <w:szCs w:val="24"/>
        </w:rPr>
      </w:pPr>
      <w:r>
        <w:rPr>
          <w:rFonts w:hint="eastAsia" w:ascii="宋体" w:hAnsi="宋体" w:eastAsia="宋体" w:cs="宋体"/>
          <w:color w:val="auto"/>
          <w:sz w:val="24"/>
          <w:szCs w:val="24"/>
        </w:rPr>
        <w:t>六 联系方式</w:t>
      </w:r>
    </w:p>
    <w:p>
      <w:pPr>
        <w:adjustRightInd w:val="0"/>
        <w:snapToGrid w:val="0"/>
        <w:spacing w:line="560" w:lineRule="exact"/>
        <w:ind w:firstLine="480"/>
        <w:rPr>
          <w:rFonts w:ascii="宋体" w:hAnsi="宋体" w:eastAsia="宋体" w:cs="宋体"/>
          <w:color w:val="auto"/>
          <w:sz w:val="24"/>
        </w:rPr>
      </w:pPr>
      <w:r>
        <w:rPr>
          <w:rFonts w:hint="eastAsia" w:ascii="宋体" w:hAnsi="宋体" w:eastAsia="宋体" w:cs="宋体"/>
          <w:color w:val="auto"/>
          <w:sz w:val="24"/>
        </w:rPr>
        <w:t>采购人：海口江东新区管理局</w:t>
      </w:r>
    </w:p>
    <w:p>
      <w:pPr>
        <w:adjustRightInd w:val="0"/>
        <w:snapToGrid w:val="0"/>
        <w:spacing w:line="560" w:lineRule="exact"/>
        <w:ind w:firstLine="480"/>
        <w:rPr>
          <w:rFonts w:ascii="宋体" w:hAnsi="宋体" w:eastAsia="宋体" w:cs="宋体"/>
          <w:color w:val="auto"/>
          <w:sz w:val="24"/>
        </w:rPr>
      </w:pPr>
      <w:r>
        <w:rPr>
          <w:rFonts w:hint="eastAsia" w:ascii="宋体" w:hAnsi="宋体" w:eastAsia="宋体" w:cs="宋体"/>
          <w:color w:val="auto"/>
          <w:sz w:val="24"/>
        </w:rPr>
        <w:t>地址：海口市江东新区兴洋大道181号江东新区政务服务中心</w:t>
      </w:r>
    </w:p>
    <w:p>
      <w:pPr>
        <w:adjustRightInd w:val="0"/>
        <w:snapToGrid w:val="0"/>
        <w:spacing w:line="560" w:lineRule="exact"/>
        <w:ind w:firstLine="480"/>
        <w:rPr>
          <w:rFonts w:ascii="宋体" w:hAnsi="宋体" w:eastAsia="宋体" w:cs="宋体"/>
          <w:color w:val="auto"/>
          <w:sz w:val="24"/>
        </w:rPr>
      </w:pPr>
      <w:r>
        <w:rPr>
          <w:rFonts w:hint="eastAsia" w:ascii="宋体" w:hAnsi="宋体" w:eastAsia="宋体" w:cs="宋体"/>
          <w:color w:val="auto"/>
          <w:sz w:val="24"/>
        </w:rPr>
        <w:t>联系人：程女士</w:t>
      </w:r>
    </w:p>
    <w:p>
      <w:pPr>
        <w:adjustRightInd w:val="0"/>
        <w:snapToGrid w:val="0"/>
        <w:spacing w:line="560" w:lineRule="exact"/>
        <w:ind w:firstLine="480"/>
        <w:rPr>
          <w:rFonts w:ascii="宋体" w:hAnsi="宋体" w:eastAsia="宋体" w:cs="宋体"/>
          <w:color w:val="auto"/>
          <w:sz w:val="24"/>
        </w:rPr>
      </w:pPr>
      <w:r>
        <w:rPr>
          <w:rFonts w:hint="eastAsia" w:ascii="宋体" w:hAnsi="宋体" w:eastAsia="宋体" w:cs="宋体"/>
          <w:color w:val="auto"/>
          <w:sz w:val="24"/>
        </w:rPr>
        <w:t>联系电话：(0898)65686320</w:t>
      </w:r>
    </w:p>
    <w:p>
      <w:pPr>
        <w:adjustRightInd w:val="0"/>
        <w:snapToGrid w:val="0"/>
        <w:spacing w:line="560" w:lineRule="exact"/>
        <w:ind w:firstLine="480"/>
        <w:rPr>
          <w:rFonts w:ascii="宋体" w:hAnsi="宋体" w:eastAsia="宋体" w:cs="宋体"/>
          <w:color w:val="auto"/>
          <w:sz w:val="24"/>
        </w:rPr>
      </w:pPr>
    </w:p>
    <w:p>
      <w:pPr>
        <w:ind w:firstLine="480"/>
        <w:rPr>
          <w:rFonts w:ascii="宋体" w:hAnsi="宋体" w:eastAsia="宋体" w:cs="宋体"/>
          <w:color w:val="auto"/>
          <w:sz w:val="24"/>
        </w:rPr>
      </w:pPr>
    </w:p>
    <w:p>
      <w:pPr>
        <w:ind w:firstLine="480"/>
        <w:rPr>
          <w:rFonts w:ascii="宋体" w:hAnsi="宋体" w:eastAsia="宋体" w:cs="宋体"/>
          <w:color w:val="auto"/>
          <w:sz w:val="24"/>
        </w:rPr>
      </w:pPr>
    </w:p>
    <w:p>
      <w:pPr>
        <w:ind w:firstLine="480"/>
        <w:jc w:val="right"/>
        <w:rPr>
          <w:rFonts w:ascii="宋体" w:hAnsi="宋体" w:eastAsia="宋体" w:cs="宋体"/>
          <w:color w:val="auto"/>
          <w:sz w:val="24"/>
        </w:rPr>
      </w:pPr>
      <w:r>
        <w:rPr>
          <w:rFonts w:hint="eastAsia" w:ascii="宋体" w:hAnsi="宋体" w:eastAsia="宋体" w:cs="宋体"/>
          <w:color w:val="auto"/>
          <w:sz w:val="24"/>
        </w:rPr>
        <w:t>海口江东新区管理局</w:t>
      </w:r>
    </w:p>
    <w:p>
      <w:pPr>
        <w:ind w:firstLine="480"/>
        <w:jc w:val="right"/>
        <w:rPr>
          <w:rFonts w:ascii="宋体" w:hAnsi="宋体" w:eastAsia="宋体" w:cs="宋体"/>
          <w:color w:val="auto"/>
        </w:rPr>
      </w:pPr>
      <w:r>
        <w:rPr>
          <w:rFonts w:hint="eastAsia" w:ascii="宋体" w:hAnsi="宋体" w:eastAsia="宋体" w:cs="宋体"/>
          <w:color w:val="auto"/>
          <w:sz w:val="24"/>
        </w:rPr>
        <w:t>20</w:t>
      </w:r>
      <w:r>
        <w:rPr>
          <w:rFonts w:hint="eastAsia" w:ascii="宋体" w:hAnsi="宋体" w:eastAsia="宋体" w:cs="宋体"/>
          <w:color w:val="auto"/>
          <w:sz w:val="24"/>
          <w:lang w:val="en-US" w:eastAsia="zh-CN"/>
        </w:rPr>
        <w:t>22</w:t>
      </w:r>
      <w:r>
        <w:rPr>
          <w:rFonts w:hint="eastAsia" w:ascii="宋体" w:hAnsi="宋体" w:eastAsia="宋体" w:cs="宋体"/>
          <w:color w:val="auto"/>
          <w:sz w:val="24"/>
        </w:rPr>
        <w:t>年</w:t>
      </w:r>
      <w:r>
        <w:rPr>
          <w:rFonts w:hint="eastAsia" w:ascii="宋体" w:hAnsi="宋体" w:eastAsia="宋体" w:cs="宋体"/>
          <w:color w:val="auto"/>
          <w:sz w:val="24"/>
          <w:lang w:val="en-US" w:eastAsia="zh-CN"/>
        </w:rPr>
        <w:t>4</w:t>
      </w:r>
      <w:r>
        <w:rPr>
          <w:rFonts w:hint="eastAsia" w:ascii="宋体" w:hAnsi="宋体" w:eastAsia="宋体" w:cs="宋体"/>
          <w:color w:val="auto"/>
          <w:sz w:val="24"/>
        </w:rPr>
        <w:t>月</w:t>
      </w:r>
      <w:r>
        <w:rPr>
          <w:rFonts w:hint="eastAsia" w:ascii="宋体" w:hAnsi="宋体" w:eastAsia="宋体" w:cs="宋体"/>
          <w:color w:val="auto"/>
          <w:sz w:val="24"/>
          <w:lang w:val="en-US" w:eastAsia="zh-CN"/>
        </w:rPr>
        <w:t>14</w:t>
      </w:r>
      <w:r>
        <w:rPr>
          <w:rFonts w:hint="eastAsia" w:ascii="宋体" w:hAnsi="宋体" w:eastAsia="宋体" w:cs="宋体"/>
          <w:color w:val="auto"/>
          <w:sz w:val="24"/>
        </w:rPr>
        <w:t>日</w:t>
      </w:r>
    </w:p>
    <w:p>
      <w:pPr>
        <w:widowControl w:val="0"/>
        <w:wordWrap w:val="0"/>
        <w:ind w:firstLine="480"/>
        <w:jc w:val="right"/>
        <w:rPr>
          <w:rFonts w:ascii="宋体" w:hAnsi="宋体" w:eastAsia="宋体" w:cs="Times New Roman"/>
          <w:color w:val="auto"/>
          <w:sz w:val="24"/>
          <w:szCs w:val="24"/>
        </w:rPr>
      </w:pPr>
      <w:r>
        <w:rPr>
          <w:rFonts w:hint="eastAsia" w:ascii="宋体" w:hAnsi="宋体" w:eastAsia="宋体" w:cs="Times New Roman"/>
          <w:color w:val="auto"/>
          <w:sz w:val="24"/>
          <w:szCs w:val="24"/>
        </w:rPr>
        <w:t>　</w:t>
      </w:r>
    </w:p>
    <w:bookmarkEnd w:id="50"/>
    <w:p>
      <w:pPr>
        <w:widowControl w:val="0"/>
        <w:adjustRightInd w:val="0"/>
        <w:snapToGrid w:val="0"/>
        <w:ind w:firstLine="0" w:firstLineChars="0"/>
        <w:jc w:val="center"/>
        <w:rPr>
          <w:rFonts w:ascii="Times New Roman" w:hAnsi="Times New Roman" w:eastAsia="宋体" w:cs="Times New Roman"/>
          <w:color w:val="auto"/>
          <w:sz w:val="36"/>
          <w:szCs w:val="36"/>
        </w:rPr>
      </w:pPr>
      <w:r>
        <w:rPr>
          <w:rFonts w:ascii="Times New Roman" w:hAnsi="Times New Roman" w:eastAsia="宋体" w:cs="Times New Roman"/>
          <w:color w:val="auto"/>
          <w:sz w:val="36"/>
          <w:szCs w:val="36"/>
        </w:rPr>
        <w:br w:type="page"/>
      </w:r>
      <w:r>
        <w:rPr>
          <w:rFonts w:hint="eastAsia" w:ascii="Times New Roman" w:hAnsi="Times New Roman" w:eastAsia="宋体" w:cs="Times New Roman"/>
          <w:b/>
          <w:color w:val="auto"/>
          <w:sz w:val="36"/>
          <w:szCs w:val="36"/>
        </w:rPr>
        <w:t>第二章比选单位须知</w:t>
      </w:r>
    </w:p>
    <w:p>
      <w:pPr>
        <w:widowControl w:val="0"/>
        <w:adjustRightInd w:val="0"/>
        <w:snapToGrid w:val="0"/>
        <w:ind w:firstLine="482"/>
        <w:rPr>
          <w:rFonts w:ascii="宋体" w:hAnsi="宋体" w:eastAsia="宋体" w:cs="Times New Roman"/>
          <w:b/>
          <w:color w:val="auto"/>
          <w:sz w:val="24"/>
          <w:szCs w:val="24"/>
        </w:rPr>
      </w:pPr>
      <w:r>
        <w:rPr>
          <w:rFonts w:hint="eastAsia" w:ascii="宋体" w:hAnsi="宋体" w:eastAsia="宋体" w:cs="Times New Roman"/>
          <w:b/>
          <w:color w:val="auto"/>
          <w:sz w:val="24"/>
          <w:szCs w:val="24"/>
        </w:rPr>
        <w:t>一、说明</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（一）适用范围</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本采购比选文件仅适用于本次服务采购中所叙述的项目内容。</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（二）合格的比选单位</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1.必须是在中华人民共和国境内合法注册的独立法人，具有法定履行合同的资格与能力，遵守国家有关法律、法规，具有良好的商业信誉和健全的财务会计制度。</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2.未被“信用中国”列入失信被执行人和重大税收违法案件当事人名单、</w:t>
      </w:r>
      <w:r>
        <w:rPr>
          <w:rFonts w:hint="eastAsia" w:ascii="宋体" w:hAnsi="宋体" w:eastAsia="宋体" w:cs="宋体"/>
          <w:color w:val="auto"/>
          <w:sz w:val="24"/>
          <w:szCs w:val="24"/>
        </w:rPr>
        <w:t>未被中国政府采购网列入政府采购严重违法失信行为记录名单</w:t>
      </w:r>
      <w:r>
        <w:rPr>
          <w:rFonts w:hint="eastAsia" w:ascii="宋体" w:hAnsi="宋体" w:eastAsia="宋体" w:cs="Times New Roman"/>
          <w:color w:val="auto"/>
          <w:sz w:val="24"/>
          <w:szCs w:val="24"/>
        </w:rPr>
        <w:t>。</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3</w:t>
      </w:r>
      <w:r>
        <w:rPr>
          <w:rFonts w:ascii="宋体" w:hAnsi="宋体" w:eastAsia="宋体" w:cs="Times New Roman"/>
          <w:color w:val="auto"/>
          <w:sz w:val="24"/>
          <w:szCs w:val="24"/>
        </w:rPr>
        <w:t>.</w:t>
      </w:r>
      <w:r>
        <w:rPr>
          <w:rFonts w:hint="eastAsia" w:ascii="宋体" w:hAnsi="宋体" w:eastAsia="宋体" w:cs="Times New Roman"/>
          <w:color w:val="auto"/>
          <w:sz w:val="24"/>
          <w:szCs w:val="24"/>
        </w:rPr>
        <w:t>本项目不接受联合体参加比选。</w:t>
      </w:r>
    </w:p>
    <w:p>
      <w:pPr>
        <w:widowControl w:val="0"/>
        <w:adjustRightInd w:val="0"/>
        <w:snapToGrid w:val="0"/>
        <w:ind w:firstLine="482"/>
        <w:rPr>
          <w:rFonts w:ascii="宋体" w:hAnsi="宋体" w:eastAsia="宋体" w:cs="Times New Roman"/>
          <w:b/>
          <w:color w:val="auto"/>
          <w:sz w:val="24"/>
          <w:szCs w:val="24"/>
        </w:rPr>
      </w:pPr>
      <w:r>
        <w:rPr>
          <w:rFonts w:hint="eastAsia" w:ascii="宋体" w:hAnsi="宋体" w:eastAsia="宋体" w:cs="Times New Roman"/>
          <w:b/>
          <w:color w:val="auto"/>
          <w:sz w:val="24"/>
          <w:szCs w:val="24"/>
        </w:rPr>
        <w:t>二、采购比选文件组成</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（一）比选公告；</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（二）比选单位须知；</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（三）服务内容及要求；</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（四）项目评审说明；</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（五）比选响应文件格式；</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（六）项目合同模版。</w:t>
      </w:r>
    </w:p>
    <w:p>
      <w:pPr>
        <w:widowControl w:val="0"/>
        <w:adjustRightInd w:val="0"/>
        <w:snapToGrid w:val="0"/>
        <w:ind w:firstLine="482"/>
        <w:rPr>
          <w:rFonts w:ascii="宋体" w:hAnsi="宋体" w:eastAsia="宋体" w:cs="Times New Roman"/>
          <w:b/>
          <w:color w:val="auto"/>
          <w:sz w:val="24"/>
          <w:szCs w:val="24"/>
        </w:rPr>
      </w:pPr>
      <w:r>
        <w:rPr>
          <w:rFonts w:hint="eastAsia" w:ascii="宋体" w:hAnsi="宋体" w:eastAsia="宋体" w:cs="Times New Roman"/>
          <w:b/>
          <w:color w:val="auto"/>
          <w:sz w:val="24"/>
          <w:szCs w:val="24"/>
        </w:rPr>
        <w:t>三、比选响应文件编写</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（一）参与比选的单位应仔细阅读采购文件的所有内容，并按采购文件的规定及附件要求的内容和格式，提交完整的响应文件。</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（二）响应文件语言和计量单位：响应文件和来往函件应用中文书写，计量单位应使用国家法定计量单位。</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（三</w:t>
      </w:r>
      <w:r>
        <w:rPr>
          <w:rFonts w:ascii="宋体" w:hAnsi="宋体" w:eastAsia="宋体" w:cs="Times New Roman"/>
          <w:color w:val="auto"/>
          <w:sz w:val="24"/>
          <w:szCs w:val="24"/>
        </w:rPr>
        <w:t>）</w:t>
      </w:r>
      <w:r>
        <w:rPr>
          <w:rFonts w:hint="eastAsia" w:ascii="宋体" w:hAnsi="宋体" w:eastAsia="宋体" w:cs="Times New Roman"/>
          <w:color w:val="auto"/>
          <w:sz w:val="24"/>
          <w:szCs w:val="24"/>
        </w:rPr>
        <w:t>所有报价应用人民币报价。</w:t>
      </w:r>
    </w:p>
    <w:p>
      <w:pPr>
        <w:widowControl w:val="0"/>
        <w:adjustRightInd w:val="0"/>
        <w:snapToGrid w:val="0"/>
        <w:ind w:firstLine="482"/>
        <w:rPr>
          <w:rFonts w:ascii="宋体" w:hAnsi="宋体" w:eastAsia="宋体" w:cs="Times New Roman"/>
          <w:b/>
          <w:bCs/>
          <w:color w:val="auto"/>
          <w:sz w:val="24"/>
          <w:szCs w:val="24"/>
        </w:rPr>
      </w:pPr>
      <w:r>
        <w:rPr>
          <w:rFonts w:hint="eastAsia" w:ascii="宋体" w:hAnsi="宋体" w:eastAsia="宋体" w:cs="Times New Roman"/>
          <w:b/>
          <w:bCs/>
          <w:color w:val="auto"/>
          <w:sz w:val="24"/>
          <w:szCs w:val="24"/>
        </w:rPr>
        <w:t>四、比选限价及说明</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（一）比选限价：人民币</w:t>
      </w:r>
      <w:r>
        <w:rPr>
          <w:rFonts w:hint="eastAsia" w:ascii="宋体" w:hAnsi="宋体" w:eastAsia="宋体" w:cs="Times New Roman"/>
          <w:color w:val="auto"/>
          <w:sz w:val="24"/>
          <w:szCs w:val="24"/>
          <w:lang w:val="en-US" w:eastAsia="zh-CN"/>
        </w:rPr>
        <w:t>65</w:t>
      </w:r>
      <w:r>
        <w:rPr>
          <w:rFonts w:hint="eastAsia" w:ascii="宋体" w:hAnsi="宋体" w:eastAsia="宋体" w:cs="Times New Roman"/>
          <w:color w:val="auto"/>
          <w:sz w:val="24"/>
          <w:szCs w:val="24"/>
        </w:rPr>
        <w:t>万元（不含</w:t>
      </w:r>
      <w:r>
        <w:rPr>
          <w:rFonts w:hint="eastAsia" w:ascii="宋体" w:hAnsi="宋体" w:eastAsia="宋体" w:cs="Times New Roman"/>
          <w:color w:val="auto"/>
          <w:sz w:val="24"/>
          <w:szCs w:val="24"/>
          <w:lang w:val="en-US" w:eastAsia="zh-CN"/>
        </w:rPr>
        <w:t>65</w:t>
      </w:r>
      <w:r>
        <w:rPr>
          <w:rFonts w:hint="eastAsia" w:ascii="宋体" w:hAnsi="宋体" w:eastAsia="宋体" w:cs="Times New Roman"/>
          <w:color w:val="auto"/>
          <w:sz w:val="24"/>
          <w:szCs w:val="24"/>
        </w:rPr>
        <w:t>万元），任何比选单位的总体报价超出限价均当废标处理。</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（二）报价应包含：总报价须含税费、人工费、服务费等费用。</w:t>
      </w:r>
    </w:p>
    <w:p>
      <w:pPr>
        <w:widowControl w:val="0"/>
        <w:adjustRightInd w:val="0"/>
        <w:snapToGrid w:val="0"/>
        <w:ind w:firstLine="482"/>
        <w:rPr>
          <w:rFonts w:ascii="宋体" w:hAnsi="宋体" w:eastAsia="宋体" w:cs="Times New Roman"/>
          <w:b/>
          <w:color w:val="auto"/>
          <w:sz w:val="24"/>
          <w:szCs w:val="24"/>
        </w:rPr>
      </w:pPr>
      <w:r>
        <w:rPr>
          <w:rFonts w:hint="eastAsia" w:ascii="宋体" w:hAnsi="宋体" w:eastAsia="宋体" w:cs="Times New Roman"/>
          <w:b/>
          <w:color w:val="auto"/>
          <w:sz w:val="24"/>
          <w:szCs w:val="24"/>
        </w:rPr>
        <w:t>五、比选响应文件组成及要求</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（一）响应文件组成</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1.响应函；</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2.报价表；</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3.法定代表人身份证明书；</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4.法定代表人授权书；</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5.委托人及受托人身份证复印件；</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6.资质文件：</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宋体"/>
          <w:color w:val="auto"/>
          <w:sz w:val="24"/>
          <w:szCs w:val="24"/>
        </w:rPr>
        <w:t>（1）营业执照（复印件）；</w:t>
      </w:r>
    </w:p>
    <w:p>
      <w:pPr>
        <w:widowControl w:val="0"/>
        <w:snapToGrid w:val="0"/>
        <w:ind w:firstLine="480"/>
        <w:rPr>
          <w:rFonts w:ascii="宋体" w:hAnsi="宋体" w:eastAsia="宋体" w:cs="宋体"/>
          <w:color w:val="auto"/>
          <w:sz w:val="24"/>
          <w:szCs w:val="24"/>
        </w:rPr>
      </w:pPr>
      <w:r>
        <w:rPr>
          <w:rFonts w:hint="eastAsia" w:ascii="宋体" w:hAnsi="宋体" w:eastAsia="宋体" w:cs="宋体"/>
          <w:color w:val="auto"/>
          <w:sz w:val="24"/>
          <w:szCs w:val="24"/>
        </w:rPr>
        <w:t>（</w:t>
      </w:r>
      <w:r>
        <w:rPr>
          <w:rFonts w:ascii="宋体" w:hAnsi="宋体" w:eastAsia="宋体" w:cs="宋体"/>
          <w:color w:val="auto"/>
          <w:sz w:val="24"/>
          <w:szCs w:val="24"/>
        </w:rPr>
        <w:t>2</w:t>
      </w:r>
      <w:r>
        <w:rPr>
          <w:rFonts w:hint="eastAsia" w:ascii="宋体" w:hAnsi="宋体" w:eastAsia="宋体" w:cs="宋体"/>
          <w:color w:val="auto"/>
          <w:sz w:val="24"/>
          <w:szCs w:val="24"/>
        </w:rPr>
        <w:t>）提供202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年至响应文件接受截止日任意1个月的纳税凭证（银行出具的纳税凭证或税务机关出具的证明的复印件）或免税证明（复印件）；</w:t>
      </w:r>
    </w:p>
    <w:p>
      <w:pPr>
        <w:widowControl w:val="0"/>
        <w:snapToGrid w:val="0"/>
        <w:ind w:firstLine="480"/>
        <w:rPr>
          <w:rFonts w:ascii="宋体" w:hAnsi="宋体" w:eastAsia="宋体" w:cs="宋体"/>
          <w:color w:val="auto"/>
          <w:sz w:val="24"/>
          <w:szCs w:val="24"/>
        </w:rPr>
      </w:pPr>
      <w:r>
        <w:rPr>
          <w:rFonts w:hint="eastAsia" w:ascii="宋体" w:hAnsi="宋体" w:eastAsia="宋体" w:cs="宋体"/>
          <w:color w:val="auto"/>
          <w:sz w:val="24"/>
          <w:szCs w:val="24"/>
        </w:rPr>
        <w:t>（</w:t>
      </w:r>
      <w:r>
        <w:rPr>
          <w:rFonts w:ascii="宋体" w:hAnsi="宋体" w:eastAsia="宋体" w:cs="宋体"/>
          <w:color w:val="auto"/>
          <w:sz w:val="24"/>
          <w:szCs w:val="24"/>
        </w:rPr>
        <w:t>3</w:t>
      </w:r>
      <w:r>
        <w:rPr>
          <w:rFonts w:hint="eastAsia" w:ascii="宋体" w:hAnsi="宋体" w:eastAsia="宋体" w:cs="宋体"/>
          <w:color w:val="auto"/>
          <w:sz w:val="24"/>
          <w:szCs w:val="24"/>
        </w:rPr>
        <w:t>）提供202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年至响应文件接受截止日任意1个月的社会保障资金缴纳记录（专用收据或社会保险缴纳清单）或免缴纳证明（复印件）；</w:t>
      </w:r>
    </w:p>
    <w:p>
      <w:pPr>
        <w:widowControl w:val="0"/>
        <w:snapToGrid w:val="0"/>
        <w:ind w:firstLine="480"/>
        <w:rPr>
          <w:rFonts w:ascii="宋体" w:hAnsi="宋体" w:eastAsia="宋体" w:cs="宋体"/>
          <w:color w:val="auto"/>
          <w:sz w:val="24"/>
          <w:szCs w:val="24"/>
        </w:rPr>
      </w:pPr>
      <w:r>
        <w:rPr>
          <w:rFonts w:hint="eastAsia" w:ascii="宋体" w:hAnsi="宋体" w:eastAsia="宋体" w:cs="宋体"/>
          <w:color w:val="auto"/>
          <w:sz w:val="24"/>
          <w:szCs w:val="24"/>
        </w:rPr>
        <w:t>（4）提供</w:t>
      </w:r>
      <w:r>
        <w:rPr>
          <w:rFonts w:ascii="宋体" w:hAnsi="宋体" w:eastAsia="宋体" w:cs="宋体"/>
          <w:color w:val="auto"/>
          <w:sz w:val="24"/>
          <w:szCs w:val="24"/>
        </w:rPr>
        <w:t>202</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年度经审计的财务审计报告或</w:t>
      </w:r>
      <w:r>
        <w:rPr>
          <w:rFonts w:ascii="宋体" w:hAnsi="宋体" w:eastAsia="宋体" w:cs="宋体"/>
          <w:color w:val="auto"/>
          <w:sz w:val="24"/>
          <w:szCs w:val="24"/>
        </w:rPr>
        <w:t>202</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年度财务报表（含资产负债表、利润表、现金流量表）；</w:t>
      </w:r>
    </w:p>
    <w:p>
      <w:pPr>
        <w:widowControl w:val="0"/>
        <w:snapToGrid w:val="0"/>
        <w:ind w:firstLine="480"/>
        <w:rPr>
          <w:rFonts w:ascii="宋体" w:hAnsi="宋体" w:eastAsia="宋体" w:cs="宋体"/>
          <w:color w:val="auto"/>
          <w:sz w:val="24"/>
          <w:szCs w:val="24"/>
        </w:rPr>
      </w:pPr>
      <w:r>
        <w:rPr>
          <w:rFonts w:hint="eastAsia" w:ascii="宋体" w:hAnsi="宋体" w:eastAsia="宋体" w:cs="宋体"/>
          <w:color w:val="auto"/>
          <w:sz w:val="24"/>
          <w:szCs w:val="24"/>
        </w:rPr>
        <w:t>（5）提供有效的参加政府采购活动前3年内在经营活动中没有重大违法记录的书面声明；</w:t>
      </w:r>
    </w:p>
    <w:p>
      <w:pPr>
        <w:widowControl w:val="0"/>
        <w:snapToGrid w:val="0"/>
        <w:ind w:firstLine="480"/>
        <w:rPr>
          <w:rFonts w:ascii="宋体" w:hAnsi="宋体" w:eastAsia="宋体" w:cs="宋体"/>
          <w:color w:val="auto"/>
          <w:sz w:val="24"/>
          <w:szCs w:val="24"/>
        </w:rPr>
      </w:pPr>
      <w:r>
        <w:rPr>
          <w:rFonts w:hint="eastAsia" w:ascii="宋体" w:hAnsi="宋体" w:eastAsia="宋体" w:cs="宋体"/>
          <w:color w:val="auto"/>
          <w:sz w:val="24"/>
          <w:szCs w:val="24"/>
        </w:rPr>
        <w:t>（6）未被“信用中国”网站（</w:t>
      </w:r>
      <w:r>
        <w:rPr>
          <w:color w:val="auto"/>
        </w:rPr>
        <w:fldChar w:fldCharType="begin"/>
      </w:r>
      <w:r>
        <w:rPr>
          <w:color w:val="auto"/>
        </w:rPr>
        <w:instrText xml:space="preserve"> HYPERLINK "http://www.creditchina.gov.cn）中列入失信被执行人和/" </w:instrText>
      </w:r>
      <w:r>
        <w:rPr>
          <w:color w:val="auto"/>
        </w:rPr>
        <w:fldChar w:fldCharType="separate"/>
      </w:r>
      <w:r>
        <w:rPr>
          <w:rFonts w:hint="eastAsia" w:ascii="宋体" w:hAnsi="宋体" w:eastAsia="宋体" w:cs="宋体"/>
          <w:color w:val="auto"/>
          <w:sz w:val="24"/>
          <w:szCs w:val="24"/>
        </w:rPr>
        <w:t>www.creditchina.gov.cn）中列入失信被执行人和</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重大税收违法案件当事人名单、未被中国政府采购网（www.ccgp.gov.cn）列入政府采购严重违法失信行为记录名单（提供网站查询截图）；</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7.承诺函；</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8.商务评审所需材料；</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9.服务方案；</w:t>
      </w:r>
    </w:p>
    <w:p>
      <w:pPr>
        <w:widowControl w:val="0"/>
        <w:adjustRightInd w:val="0"/>
        <w:snapToGrid w:val="0"/>
        <w:ind w:firstLine="480"/>
        <w:rPr>
          <w:rFonts w:ascii="宋体" w:hAnsi="宋体" w:eastAsia="宋体" w:cs="宋体"/>
          <w:color w:val="auto"/>
          <w:sz w:val="24"/>
          <w:szCs w:val="24"/>
        </w:rPr>
      </w:pPr>
      <w:r>
        <w:rPr>
          <w:rFonts w:hint="eastAsia" w:ascii="宋体" w:hAnsi="宋体" w:eastAsia="宋体" w:cs="宋体"/>
          <w:color w:val="auto"/>
          <w:sz w:val="24"/>
          <w:szCs w:val="24"/>
        </w:rPr>
        <w:t>10.符合本比选项目要求的其他材料。</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（二）比选响应文件格式上的要求</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1.比选单位向采购单位提交的以上纸质资料，应以“A4”纸张规格按上述先后顺序依次装订成册及标注页码，在规定要求盖章处加盖公章，并加盖骑缝章；</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2.响应文件须于20</w:t>
      </w:r>
      <w:r>
        <w:rPr>
          <w:rFonts w:hint="eastAsia" w:ascii="宋体" w:hAnsi="宋体" w:eastAsia="宋体" w:cs="Times New Roman"/>
          <w:color w:val="auto"/>
          <w:sz w:val="24"/>
          <w:szCs w:val="24"/>
          <w:lang w:val="en-US" w:eastAsia="zh-CN"/>
        </w:rPr>
        <w:t>22</w:t>
      </w:r>
      <w:r>
        <w:rPr>
          <w:rFonts w:hint="eastAsia" w:ascii="宋体" w:hAnsi="宋体" w:eastAsia="宋体" w:cs="Times New Roman"/>
          <w:color w:val="auto"/>
          <w:sz w:val="24"/>
          <w:szCs w:val="24"/>
        </w:rPr>
        <w:t>年</w:t>
      </w:r>
      <w:r>
        <w:rPr>
          <w:rFonts w:hint="eastAsia" w:ascii="宋体" w:hAnsi="宋体" w:eastAsia="宋体" w:cs="Times New Roman"/>
          <w:color w:val="auto"/>
          <w:sz w:val="24"/>
          <w:szCs w:val="24"/>
          <w:lang w:val="en-US" w:eastAsia="zh-CN"/>
        </w:rPr>
        <w:t>4</w:t>
      </w:r>
      <w:r>
        <w:rPr>
          <w:rFonts w:hint="eastAsia" w:ascii="宋体" w:hAnsi="宋体" w:eastAsia="宋体" w:cs="Times New Roman"/>
          <w:color w:val="auto"/>
          <w:sz w:val="24"/>
          <w:szCs w:val="24"/>
        </w:rPr>
        <w:t>月</w:t>
      </w:r>
      <w:r>
        <w:rPr>
          <w:rFonts w:hint="eastAsia" w:ascii="宋体" w:hAnsi="宋体" w:eastAsia="宋体" w:cs="Times New Roman"/>
          <w:color w:val="auto"/>
          <w:sz w:val="24"/>
          <w:szCs w:val="24"/>
          <w:u w:val="single"/>
          <w:lang w:val="en-US" w:eastAsia="zh-CN"/>
        </w:rPr>
        <w:t>19</w:t>
      </w:r>
      <w:r>
        <w:rPr>
          <w:rFonts w:hint="eastAsia" w:ascii="宋体" w:hAnsi="宋体" w:eastAsia="宋体" w:cs="Times New Roman"/>
          <w:color w:val="auto"/>
          <w:sz w:val="24"/>
          <w:szCs w:val="24"/>
        </w:rPr>
        <w:t>日15点前送抵采购单位，交予本项目联系人（程女士，联系电话：0898-65686320）。逾期递交的响应文件，概不受理；</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3.所有提交的响应文件应一式5份，正本1份，副本4份，并注明“正本”和“副本”，如果正本与副本不符，应以正本为准。响应文件应由比选单位的合法授权代表正式签署，任何更改（如果有的话）应由原签署人签字。响应文件必须包装密封，在封口上加盖比选单位的公章，信封或包装的封面上应写明：</w:t>
      </w:r>
    </w:p>
    <w:p>
      <w:pPr>
        <w:widowControl w:val="0"/>
        <w:autoSpaceDE w:val="0"/>
        <w:autoSpaceDN w:val="0"/>
        <w:ind w:firstLine="480"/>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rPr>
        <w:t>名  称：</w:t>
      </w:r>
      <w:r>
        <w:rPr>
          <w:rFonts w:hint="eastAsia" w:ascii="宋体" w:hAnsi="宋体" w:eastAsia="宋体" w:cs="Times New Roman"/>
          <w:color w:val="auto"/>
          <w:sz w:val="24"/>
          <w:szCs w:val="24"/>
          <w:u w:val="single"/>
          <w:lang w:eastAsia="zh-CN"/>
        </w:rPr>
        <w:t>海口江东新区CBD起步区南片区概念设计方案</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联系人：</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比选单位名称、地址：</w:t>
      </w:r>
    </w:p>
    <w:p>
      <w:pPr>
        <w:widowControl w:val="0"/>
        <w:adjustRightInd w:val="0"/>
        <w:snapToGrid w:val="0"/>
        <w:ind w:firstLine="482"/>
        <w:rPr>
          <w:rFonts w:ascii="宋体" w:hAnsi="宋体" w:eastAsia="宋体" w:cs="Times New Roman"/>
          <w:b/>
          <w:color w:val="auto"/>
          <w:sz w:val="24"/>
          <w:szCs w:val="24"/>
        </w:rPr>
      </w:pPr>
      <w:r>
        <w:rPr>
          <w:rFonts w:hint="eastAsia" w:ascii="宋体" w:hAnsi="宋体" w:eastAsia="宋体" w:cs="Times New Roman"/>
          <w:b/>
          <w:color w:val="auto"/>
          <w:sz w:val="24"/>
          <w:szCs w:val="24"/>
        </w:rPr>
        <w:t>六、开标</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（一）无论比选结果如何，采购单位将不予返回比选单位的响应文件。</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（二）成交结果将由采购单位以书面形式通知成交供应商。</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（三）成交供应商自接到成交通知书后按采购单位要求时间到采购单位的办公地点签订项目合同（合同范本见第六章）。</w:t>
      </w:r>
    </w:p>
    <w:p>
      <w:pPr>
        <w:widowControl w:val="0"/>
        <w:adjustRightInd w:val="0"/>
        <w:snapToGrid w:val="0"/>
        <w:ind w:firstLine="482"/>
        <w:rPr>
          <w:rFonts w:ascii="宋体" w:hAnsi="宋体" w:eastAsia="宋体" w:cs="Times New Roman"/>
          <w:b/>
          <w:color w:val="auto"/>
          <w:sz w:val="24"/>
          <w:szCs w:val="24"/>
        </w:rPr>
      </w:pPr>
      <w:r>
        <w:rPr>
          <w:rFonts w:hint="eastAsia" w:ascii="宋体" w:hAnsi="宋体" w:eastAsia="宋体" w:cs="Times New Roman"/>
          <w:b/>
          <w:color w:val="auto"/>
          <w:sz w:val="24"/>
          <w:szCs w:val="24"/>
        </w:rPr>
        <w:t>七、符合性审查</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开标时如出现下列任一种情况，其响应文件将被拒绝：</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（一）响应文件未按要求密封装订；</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（二）未在规定时间内递交响应文件；</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（三）未提交采购文件中所规定的资格证明文件</w:t>
      </w:r>
      <w:r>
        <w:rPr>
          <w:rFonts w:ascii="宋体" w:hAnsi="宋体" w:eastAsia="宋体" w:cs="Times New Roman"/>
          <w:color w:val="auto"/>
          <w:sz w:val="24"/>
          <w:szCs w:val="24"/>
        </w:rPr>
        <w:t>(</w:t>
      </w:r>
      <w:r>
        <w:rPr>
          <w:rFonts w:hint="eastAsia" w:ascii="宋体" w:hAnsi="宋体" w:eastAsia="宋体" w:cs="Times New Roman"/>
          <w:color w:val="auto"/>
          <w:sz w:val="24"/>
          <w:szCs w:val="24"/>
        </w:rPr>
        <w:t>例：</w:t>
      </w:r>
      <w:r>
        <w:rPr>
          <w:rFonts w:ascii="宋体" w:hAnsi="宋体" w:eastAsia="宋体" w:cs="Times New Roman"/>
          <w:color w:val="auto"/>
          <w:sz w:val="24"/>
          <w:szCs w:val="24"/>
        </w:rPr>
        <w:t>营业执照)</w:t>
      </w:r>
      <w:r>
        <w:rPr>
          <w:rFonts w:hint="eastAsia" w:ascii="宋体" w:hAnsi="宋体" w:eastAsia="宋体" w:cs="Times New Roman"/>
          <w:color w:val="auto"/>
          <w:sz w:val="24"/>
          <w:szCs w:val="24"/>
        </w:rPr>
        <w:t>；</w:t>
      </w:r>
    </w:p>
    <w:p>
      <w:pPr>
        <w:widowControl w:val="0"/>
        <w:adjustRightInd w:val="0"/>
        <w:snapToGrid w:val="0"/>
        <w:ind w:firstLine="723"/>
        <w:rPr>
          <w:rFonts w:hint="eastAsia" w:ascii="Times New Roman" w:hAnsi="Times New Roman" w:eastAsia="宋体" w:cs="Times New Roman"/>
          <w:b/>
          <w:color w:val="auto"/>
          <w:sz w:val="36"/>
          <w:szCs w:val="36"/>
          <w:lang w:eastAsia="zh-CN"/>
        </w:rPr>
      </w:pPr>
    </w:p>
    <w:p>
      <w:pPr>
        <w:pStyle w:val="2"/>
        <w:rPr>
          <w:rFonts w:hint="eastAsia"/>
          <w:lang w:eastAsia="zh-CN"/>
        </w:rPr>
        <w:sectPr>
          <w:headerReference r:id="rId11" w:type="default"/>
          <w:footerReference r:id="rId12" w:type="default"/>
          <w:pgSz w:w="11907" w:h="16840"/>
          <w:pgMar w:top="1440" w:right="1026" w:bottom="1440" w:left="1366" w:header="794" w:footer="794" w:gutter="0"/>
          <w:cols w:space="720" w:num="1"/>
          <w:docGrid w:linePitch="286" w:charSpace="0"/>
        </w:sectPr>
      </w:pPr>
    </w:p>
    <w:p>
      <w:pPr>
        <w:widowControl w:val="0"/>
        <w:adjustRightInd w:val="0"/>
        <w:snapToGrid w:val="0"/>
        <w:ind w:firstLine="0" w:firstLineChars="0"/>
        <w:jc w:val="center"/>
        <w:rPr>
          <w:rFonts w:hint="eastAsia" w:ascii="Times New Roman" w:hAnsi="Times New Roman" w:eastAsia="宋体" w:cs="Times New Roman"/>
          <w:b/>
          <w:color w:val="auto"/>
          <w:sz w:val="36"/>
          <w:szCs w:val="36"/>
        </w:rPr>
      </w:pPr>
      <w:r>
        <w:rPr>
          <w:rFonts w:hint="eastAsia" w:ascii="Times New Roman" w:hAnsi="Times New Roman" w:eastAsia="宋体" w:cs="Times New Roman"/>
          <w:b/>
          <w:color w:val="auto"/>
          <w:sz w:val="36"/>
          <w:szCs w:val="36"/>
        </w:rPr>
        <w:t>第三章服务内容及要求</w:t>
      </w:r>
    </w:p>
    <w:p>
      <w:pPr>
        <w:keepNext w:val="0"/>
        <w:keepLines w:val="0"/>
        <w:pageBreakBefore w:val="0"/>
        <w:widowControl w:val="0"/>
        <w:kinsoku/>
        <w:wordWrap/>
        <w:topLinePunct w:val="0"/>
        <w:bidi w:val="0"/>
        <w:adjustRightInd w:val="0"/>
        <w:snapToGrid w:val="0"/>
        <w:spacing w:line="560" w:lineRule="exact"/>
        <w:ind w:firstLine="482"/>
        <w:textAlignment w:val="auto"/>
        <w:rPr>
          <w:rFonts w:ascii="宋体" w:hAnsi="宋体" w:eastAsia="宋体" w:cs="Times New Roman"/>
          <w:b/>
          <w:color w:val="auto"/>
          <w:sz w:val="24"/>
          <w:szCs w:val="24"/>
          <w:highlight w:val="none"/>
        </w:rPr>
      </w:pPr>
      <w:r>
        <w:rPr>
          <w:rFonts w:hint="eastAsia" w:ascii="宋体" w:hAnsi="宋体" w:eastAsia="宋体" w:cs="Times New Roman"/>
          <w:b/>
          <w:bCs/>
          <w:color w:val="auto"/>
          <w:sz w:val="24"/>
          <w:szCs w:val="24"/>
          <w:highlight w:val="none"/>
        </w:rPr>
        <w:t>一</w:t>
      </w:r>
      <w:r>
        <w:rPr>
          <w:rFonts w:hint="eastAsia" w:ascii="宋体" w:hAnsi="宋体" w:eastAsia="宋体" w:cs="Times New Roman"/>
          <w:b/>
          <w:color w:val="auto"/>
          <w:sz w:val="24"/>
          <w:szCs w:val="24"/>
          <w:highlight w:val="none"/>
        </w:rPr>
        <w:t>、项目背景</w:t>
      </w:r>
    </w:p>
    <w:p>
      <w:pPr>
        <w:keepNext w:val="0"/>
        <w:keepLines w:val="0"/>
        <w:pageBreakBefore w:val="0"/>
        <w:widowControl/>
        <w:tabs>
          <w:tab w:val="left" w:pos="6663"/>
          <w:tab w:val="left" w:pos="7088"/>
        </w:tabs>
        <w:kinsoku/>
        <w:wordWrap/>
        <w:topLinePunct w:val="0"/>
        <w:bidi w:val="0"/>
        <w:spacing w:line="560" w:lineRule="exact"/>
        <w:ind w:firstLine="640"/>
        <w:textAlignment w:val="auto"/>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lang w:val="en-US" w:eastAsia="zh-CN"/>
        </w:rPr>
        <w:t>江东新区CBD起步区是江东新区先期启动建设的核心区域，正打造集企业总部、商务办公、创新服务、休闲娱乐功能为一体的生态总部集聚中心。作为独立的组团板块，江东新区CBD起步区需要具备功能复合、职住平衡、产城一体、生态宜居的综合性功能。为推进CBD起步区尽快出形象、出功能，需加快CBD起步区南片区的综合开发</w:t>
      </w:r>
      <w:r>
        <w:rPr>
          <w:rFonts w:hint="eastAsia" w:ascii="宋体" w:hAnsi="宋体" w:eastAsia="宋体" w:cs="Times New Roman"/>
          <w:bCs/>
          <w:color w:val="auto"/>
          <w:sz w:val="24"/>
          <w:szCs w:val="24"/>
          <w:highlight w:val="none"/>
        </w:rPr>
        <w:t>。</w:t>
      </w:r>
    </w:p>
    <w:p>
      <w:pPr>
        <w:keepNext w:val="0"/>
        <w:keepLines w:val="0"/>
        <w:pageBreakBefore w:val="0"/>
        <w:widowControl w:val="0"/>
        <w:kinsoku/>
        <w:wordWrap/>
        <w:topLinePunct w:val="0"/>
        <w:bidi w:val="0"/>
        <w:adjustRightInd w:val="0"/>
        <w:snapToGrid w:val="0"/>
        <w:spacing w:line="560" w:lineRule="exact"/>
        <w:ind w:firstLine="482"/>
        <w:textAlignment w:val="auto"/>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二、服务内容</w:t>
      </w:r>
    </w:p>
    <w:p>
      <w:pPr>
        <w:keepNext w:val="0"/>
        <w:keepLines w:val="0"/>
        <w:pageBreakBefore w:val="0"/>
        <w:widowControl w:val="0"/>
        <w:kinsoku/>
        <w:wordWrap/>
        <w:topLinePunct w:val="0"/>
        <w:bidi w:val="0"/>
        <w:spacing w:line="560" w:lineRule="exact"/>
        <w:ind w:firstLine="480"/>
        <w:textAlignment w:val="auto"/>
        <w:rPr>
          <w:rFonts w:hint="eastAsia" w:ascii="宋体" w:hAnsi="宋体" w:eastAsia="宋体" w:cs="Times New Roman"/>
          <w:bCs/>
          <w:color w:val="auto"/>
          <w:sz w:val="24"/>
          <w:szCs w:val="24"/>
          <w:highlight w:val="none"/>
          <w:lang w:eastAsia="zh-CN"/>
        </w:rPr>
      </w:pPr>
      <w:r>
        <w:rPr>
          <w:rFonts w:hint="eastAsia" w:ascii="宋体" w:hAnsi="宋体" w:eastAsia="宋体" w:cs="Times New Roman"/>
          <w:bCs/>
          <w:color w:val="auto"/>
          <w:sz w:val="24"/>
          <w:szCs w:val="24"/>
          <w:highlight w:val="none"/>
        </w:rPr>
        <w:t>重点关注</w:t>
      </w:r>
      <w:r>
        <w:rPr>
          <w:rFonts w:hint="eastAsia" w:ascii="宋体" w:hAnsi="宋体" w:eastAsia="宋体" w:cs="Times New Roman"/>
          <w:bCs/>
          <w:color w:val="auto"/>
          <w:sz w:val="24"/>
          <w:szCs w:val="24"/>
          <w:highlight w:val="none"/>
          <w:lang w:val="en-US" w:eastAsia="zh-CN"/>
        </w:rPr>
        <w:t>CBD起步区南片区的功能定位、产业定位、空间布局</w:t>
      </w:r>
      <w:r>
        <w:rPr>
          <w:rFonts w:hint="eastAsia" w:ascii="宋体" w:hAnsi="宋体" w:eastAsia="宋体" w:cs="Times New Roman"/>
          <w:bCs/>
          <w:color w:val="auto"/>
          <w:sz w:val="24"/>
          <w:szCs w:val="24"/>
          <w:highlight w:val="none"/>
          <w:lang w:eastAsia="zh-CN"/>
        </w:rPr>
        <w:t>：</w:t>
      </w:r>
    </w:p>
    <w:p>
      <w:pPr>
        <w:pStyle w:val="71"/>
        <w:keepNext w:val="0"/>
        <w:keepLines w:val="0"/>
        <w:pageBreakBefore w:val="0"/>
        <w:kinsoku/>
        <w:wordWrap/>
        <w:topLinePunct w:val="0"/>
        <w:bidi w:val="0"/>
        <w:spacing w:line="560" w:lineRule="exact"/>
        <w:ind w:firstLine="643"/>
        <w:textAlignment w:val="auto"/>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 w:val="0"/>
          <w:bCs/>
          <w:color w:val="auto"/>
          <w:sz w:val="24"/>
          <w:szCs w:val="24"/>
          <w:highlight w:val="none"/>
          <w:lang w:val="en-US" w:eastAsia="zh-CN"/>
        </w:rPr>
        <w:t>明确该区域的功能定位</w:t>
      </w:r>
      <w:r>
        <w:rPr>
          <w:rFonts w:hint="eastAsia" w:ascii="宋体" w:hAnsi="宋体" w:eastAsia="宋体" w:cs="Times New Roman"/>
          <w:b w:val="0"/>
          <w:bCs/>
          <w:color w:val="auto"/>
          <w:sz w:val="24"/>
          <w:szCs w:val="24"/>
          <w:highlight w:val="none"/>
        </w:rPr>
        <w:t>。</w:t>
      </w:r>
      <w:r>
        <w:rPr>
          <w:rFonts w:hint="eastAsia" w:ascii="宋体" w:hAnsi="宋体" w:eastAsia="宋体" w:cs="Times New Roman"/>
          <w:bCs/>
          <w:color w:val="auto"/>
          <w:kern w:val="2"/>
          <w:sz w:val="24"/>
          <w:szCs w:val="24"/>
          <w:highlight w:val="none"/>
          <w:lang w:val="en-US" w:eastAsia="zh-CN" w:bidi="ar-SA"/>
        </w:rPr>
        <w:t>围绕贯彻落实江东新区</w:t>
      </w:r>
      <w:r>
        <w:rPr>
          <w:rFonts w:hint="eastAsia" w:ascii="宋体" w:hAnsi="宋体" w:eastAsia="宋体" w:cs="Times New Roman"/>
          <w:bCs/>
          <w:color w:val="auto"/>
          <w:sz w:val="24"/>
          <w:szCs w:val="24"/>
          <w:highlight w:val="none"/>
          <w:lang w:val="en-US" w:eastAsia="zh-CN"/>
        </w:rPr>
        <w:t>CBD</w:t>
      </w:r>
      <w:r>
        <w:rPr>
          <w:rFonts w:hint="eastAsia" w:ascii="宋体" w:hAnsi="宋体" w:eastAsia="宋体" w:cs="Times New Roman"/>
          <w:bCs/>
          <w:color w:val="auto"/>
          <w:kern w:val="2"/>
          <w:sz w:val="24"/>
          <w:szCs w:val="24"/>
          <w:highlight w:val="none"/>
          <w:lang w:val="en-US" w:eastAsia="zh-CN" w:bidi="ar-SA"/>
        </w:rPr>
        <w:t>起步区南片区的重大战略和整体决策，以“服务协同提升江东新区起步区”为核心，系统梳理片区周边的基础设施和功能服务配套情况，明确CBD起步区南片区的整体功能定位。</w:t>
      </w:r>
    </w:p>
    <w:p>
      <w:pPr>
        <w:pStyle w:val="71"/>
        <w:keepNext w:val="0"/>
        <w:keepLines w:val="0"/>
        <w:pageBreakBefore w:val="0"/>
        <w:kinsoku/>
        <w:wordWrap/>
        <w:topLinePunct w:val="0"/>
        <w:bidi w:val="0"/>
        <w:spacing w:line="560" w:lineRule="exact"/>
        <w:ind w:firstLine="643"/>
        <w:textAlignment w:val="auto"/>
        <w:rPr>
          <w:rFonts w:hint="eastAsia" w:ascii="宋体" w:hAnsi="宋体" w:eastAsia="宋体" w:cs="Times New Roman"/>
          <w:bCs/>
          <w:color w:val="auto"/>
          <w:sz w:val="24"/>
          <w:szCs w:val="24"/>
          <w:highlight w:val="none"/>
        </w:rPr>
      </w:pPr>
      <w:r>
        <w:rPr>
          <w:rFonts w:hint="eastAsia" w:ascii="宋体" w:hAnsi="宋体" w:eastAsia="宋体" w:cs="Times New Roman"/>
          <w:b w:val="0"/>
          <w:bCs/>
          <w:color w:val="auto"/>
          <w:sz w:val="24"/>
          <w:szCs w:val="24"/>
          <w:highlight w:val="none"/>
          <w:lang w:val="en-US" w:eastAsia="zh-CN"/>
        </w:rPr>
        <w:t>确定该区域的产业方向</w:t>
      </w:r>
      <w:r>
        <w:rPr>
          <w:rFonts w:hint="eastAsia" w:ascii="宋体" w:hAnsi="宋体" w:eastAsia="宋体" w:cs="Times New Roman"/>
          <w:b w:val="0"/>
          <w:bCs/>
          <w:color w:val="auto"/>
          <w:sz w:val="24"/>
          <w:szCs w:val="24"/>
          <w:highlight w:val="none"/>
        </w:rPr>
        <w:t>。</w:t>
      </w:r>
      <w:r>
        <w:rPr>
          <w:rFonts w:hint="eastAsia" w:ascii="宋体" w:hAnsi="宋体" w:eastAsia="宋体" w:cs="Times New Roman"/>
          <w:bCs/>
          <w:color w:val="auto"/>
          <w:kern w:val="2"/>
          <w:sz w:val="24"/>
          <w:szCs w:val="24"/>
          <w:highlight w:val="none"/>
          <w:lang w:val="en-US" w:eastAsia="zh-CN" w:bidi="ar-SA"/>
        </w:rPr>
        <w:t>在功能定位的基础上，面向总部商务精英、中小企业办公人群、当地居民三类人群的需求，结合周边产业布局，谋划</w:t>
      </w:r>
      <w:r>
        <w:rPr>
          <w:rFonts w:hint="eastAsia" w:ascii="宋体" w:hAnsi="宋体" w:eastAsia="宋体" w:cs="Times New Roman"/>
          <w:bCs/>
          <w:color w:val="auto"/>
          <w:sz w:val="24"/>
          <w:szCs w:val="24"/>
          <w:highlight w:val="none"/>
          <w:lang w:val="en-US" w:eastAsia="zh-CN"/>
        </w:rPr>
        <w:t>CBD</w:t>
      </w:r>
      <w:r>
        <w:rPr>
          <w:rFonts w:hint="eastAsia" w:ascii="宋体" w:hAnsi="宋体" w:eastAsia="宋体" w:cs="Times New Roman"/>
          <w:bCs/>
          <w:color w:val="auto"/>
          <w:kern w:val="2"/>
          <w:sz w:val="24"/>
          <w:szCs w:val="24"/>
          <w:highlight w:val="none"/>
          <w:lang w:val="en-US" w:eastAsia="zh-CN" w:bidi="ar-SA"/>
        </w:rPr>
        <w:t>起步区南片区的产业方向</w:t>
      </w:r>
      <w:r>
        <w:rPr>
          <w:rFonts w:hint="eastAsia" w:ascii="宋体" w:hAnsi="宋体" w:eastAsia="宋体" w:cs="Times New Roman"/>
          <w:bCs/>
          <w:color w:val="auto"/>
          <w:sz w:val="24"/>
          <w:szCs w:val="24"/>
          <w:highlight w:val="none"/>
        </w:rPr>
        <w:t>。</w:t>
      </w:r>
    </w:p>
    <w:p>
      <w:pPr>
        <w:pStyle w:val="71"/>
        <w:keepNext w:val="0"/>
        <w:keepLines w:val="0"/>
        <w:pageBreakBefore w:val="0"/>
        <w:kinsoku/>
        <w:wordWrap/>
        <w:topLinePunct w:val="0"/>
        <w:bidi w:val="0"/>
        <w:spacing w:line="560" w:lineRule="exact"/>
        <w:ind w:firstLine="643"/>
        <w:textAlignment w:val="auto"/>
        <w:rPr>
          <w:rFonts w:hint="eastAsia" w:ascii="宋体" w:hAnsi="宋体" w:eastAsia="宋体" w:cs="Times New Roman"/>
          <w:bCs/>
          <w:color w:val="auto"/>
          <w:sz w:val="24"/>
          <w:szCs w:val="24"/>
          <w:highlight w:val="none"/>
        </w:rPr>
      </w:pPr>
      <w:r>
        <w:rPr>
          <w:rFonts w:hint="eastAsia" w:ascii="宋体" w:hAnsi="宋体" w:eastAsia="宋体" w:cs="Times New Roman"/>
          <w:b w:val="0"/>
          <w:bCs/>
          <w:color w:val="auto"/>
          <w:sz w:val="24"/>
          <w:szCs w:val="24"/>
          <w:highlight w:val="none"/>
          <w:lang w:val="en-US" w:eastAsia="zh-CN"/>
        </w:rPr>
        <w:t>统筹好该区域的空间布局</w:t>
      </w:r>
      <w:r>
        <w:rPr>
          <w:rFonts w:hint="eastAsia" w:ascii="宋体" w:hAnsi="宋体" w:eastAsia="宋体" w:cs="Times New Roman"/>
          <w:b w:val="0"/>
          <w:bCs/>
          <w:color w:val="auto"/>
          <w:sz w:val="24"/>
          <w:szCs w:val="24"/>
          <w:highlight w:val="none"/>
        </w:rPr>
        <w:t>。</w:t>
      </w:r>
      <w:r>
        <w:rPr>
          <w:rFonts w:hint="eastAsia" w:ascii="宋体" w:hAnsi="宋体" w:eastAsia="宋体" w:cs="Times New Roman"/>
          <w:bCs/>
          <w:color w:val="auto"/>
          <w:sz w:val="24"/>
          <w:szCs w:val="24"/>
          <w:highlight w:val="none"/>
        </w:rPr>
        <w:t>结合产业空间需求、居住空间需求、配套设施空间需求，对片区范围内的用地类型及相应规模进行概念性策划，并制定片区范围内的功能分区。结合政府投资计划和招商计划及用地需求，初步拟定产业项目和配套设施的用地布局，为片区详细规划的编制提供参考。</w:t>
      </w:r>
    </w:p>
    <w:p>
      <w:pPr>
        <w:keepNext w:val="0"/>
        <w:keepLines w:val="0"/>
        <w:pageBreakBefore w:val="0"/>
        <w:widowControl w:val="0"/>
        <w:kinsoku/>
        <w:wordWrap/>
        <w:topLinePunct w:val="0"/>
        <w:bidi w:val="0"/>
        <w:adjustRightInd w:val="0"/>
        <w:snapToGrid w:val="0"/>
        <w:spacing w:line="560" w:lineRule="exact"/>
        <w:ind w:firstLine="482"/>
        <w:textAlignment w:val="auto"/>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三、编制成果</w:t>
      </w:r>
    </w:p>
    <w:p>
      <w:pPr>
        <w:keepNext w:val="0"/>
        <w:keepLines w:val="0"/>
        <w:pageBreakBefore w:val="0"/>
        <w:widowControl w:val="0"/>
        <w:kinsoku/>
        <w:wordWrap/>
        <w:topLinePunct w:val="0"/>
        <w:bidi w:val="0"/>
        <w:spacing w:line="560" w:lineRule="exact"/>
        <w:ind w:firstLine="480"/>
        <w:textAlignment w:val="auto"/>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提交《海口</w:t>
      </w:r>
      <w:r>
        <w:rPr>
          <w:rFonts w:hint="eastAsia" w:ascii="宋体" w:hAnsi="宋体" w:eastAsia="宋体" w:cs="Times New Roman"/>
          <w:bCs/>
          <w:color w:val="auto"/>
          <w:sz w:val="24"/>
          <w:szCs w:val="24"/>
          <w:highlight w:val="none"/>
          <w:lang w:val="en-US" w:eastAsia="zh-CN"/>
        </w:rPr>
        <w:t>江东新区CBD起步区南片区概念设计方案</w:t>
      </w:r>
      <w:r>
        <w:rPr>
          <w:rFonts w:hint="eastAsia" w:ascii="宋体" w:hAnsi="宋体" w:eastAsia="宋体" w:cs="Times New Roman"/>
          <w:bCs/>
          <w:color w:val="auto"/>
          <w:sz w:val="24"/>
          <w:szCs w:val="24"/>
          <w:highlight w:val="none"/>
        </w:rPr>
        <w:t>》、文本word及汇报ppt。</w:t>
      </w:r>
    </w:p>
    <w:p>
      <w:pPr>
        <w:keepNext w:val="0"/>
        <w:keepLines w:val="0"/>
        <w:pageBreakBefore w:val="0"/>
        <w:widowControl w:val="0"/>
        <w:kinsoku/>
        <w:wordWrap/>
        <w:topLinePunct w:val="0"/>
        <w:bidi w:val="0"/>
        <w:adjustRightInd w:val="0"/>
        <w:snapToGrid w:val="0"/>
        <w:spacing w:line="560" w:lineRule="exact"/>
        <w:ind w:firstLine="482"/>
        <w:textAlignment w:val="auto"/>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四、工作时间</w:t>
      </w:r>
    </w:p>
    <w:p>
      <w:pPr>
        <w:keepNext w:val="0"/>
        <w:keepLines w:val="0"/>
        <w:pageBreakBefore w:val="0"/>
        <w:kinsoku/>
        <w:wordWrap/>
        <w:overflowPunct w:val="0"/>
        <w:topLinePunct w:val="0"/>
        <w:autoSpaceDE w:val="0"/>
        <w:autoSpaceDN w:val="0"/>
        <w:bidi w:val="0"/>
        <w:spacing w:line="560" w:lineRule="exact"/>
        <w:ind w:firstLine="464"/>
        <w:jc w:val="left"/>
        <w:textAlignment w:val="auto"/>
        <w:rPr>
          <w:rFonts w:ascii="宋体" w:hAnsi="宋体" w:eastAsia="宋体" w:cs="Times New Roman"/>
          <w:color w:val="auto"/>
          <w:spacing w:val="-4"/>
          <w:kern w:val="0"/>
          <w:sz w:val="24"/>
          <w:szCs w:val="24"/>
          <w:highlight w:val="none"/>
        </w:rPr>
      </w:pPr>
      <w:r>
        <w:rPr>
          <w:rFonts w:hint="eastAsia" w:ascii="宋体" w:hAnsi="宋体" w:eastAsia="宋体" w:cs="Times New Roman"/>
          <w:bCs/>
          <w:color w:val="auto"/>
          <w:sz w:val="24"/>
          <w:szCs w:val="24"/>
          <w:highlight w:val="none"/>
        </w:rPr>
        <w:t>于</w:t>
      </w:r>
      <w:r>
        <w:rPr>
          <w:rFonts w:hint="eastAsia" w:ascii="宋体" w:hAnsi="宋体" w:eastAsia="宋体" w:cs="Times New Roman"/>
          <w:bCs/>
          <w:color w:val="auto"/>
          <w:sz w:val="24"/>
          <w:szCs w:val="24"/>
          <w:highlight w:val="none"/>
          <w:lang w:val="en-US" w:eastAsia="zh-CN"/>
        </w:rPr>
        <w:t>5</w:t>
      </w:r>
      <w:r>
        <w:rPr>
          <w:rFonts w:hint="eastAsia" w:ascii="宋体" w:hAnsi="宋体" w:eastAsia="宋体" w:cs="Times New Roman"/>
          <w:bCs/>
          <w:color w:val="auto"/>
          <w:sz w:val="24"/>
          <w:szCs w:val="24"/>
          <w:highlight w:val="none"/>
        </w:rPr>
        <w:t>月</w:t>
      </w:r>
      <w:r>
        <w:rPr>
          <w:rFonts w:hint="eastAsia" w:ascii="宋体" w:hAnsi="宋体" w:eastAsia="宋体" w:cs="Times New Roman"/>
          <w:bCs/>
          <w:color w:val="auto"/>
          <w:sz w:val="24"/>
          <w:szCs w:val="24"/>
          <w:highlight w:val="none"/>
          <w:lang w:val="en-US" w:eastAsia="zh-CN"/>
        </w:rPr>
        <w:t>31</w:t>
      </w:r>
      <w:r>
        <w:rPr>
          <w:rFonts w:hint="eastAsia" w:ascii="宋体" w:hAnsi="宋体" w:eastAsia="宋体" w:cs="Times New Roman"/>
          <w:bCs/>
          <w:color w:val="auto"/>
          <w:sz w:val="24"/>
          <w:szCs w:val="24"/>
          <w:highlight w:val="none"/>
        </w:rPr>
        <w:t>日前</w:t>
      </w:r>
      <w:r>
        <w:rPr>
          <w:rFonts w:ascii="宋体" w:hAnsi="宋体" w:eastAsia="宋体" w:cs="Times New Roman"/>
          <w:bCs/>
          <w:color w:val="auto"/>
          <w:sz w:val="24"/>
          <w:szCs w:val="24"/>
          <w:highlight w:val="none"/>
        </w:rPr>
        <w:t>完成上述工作的报告提交</w:t>
      </w:r>
      <w:r>
        <w:rPr>
          <w:rFonts w:hint="eastAsia" w:ascii="宋体" w:hAnsi="宋体" w:eastAsia="宋体" w:cs="Times New Roman"/>
          <w:bCs/>
          <w:color w:val="auto"/>
          <w:sz w:val="24"/>
          <w:szCs w:val="24"/>
          <w:highlight w:val="none"/>
        </w:rPr>
        <w:t>，其中自合同签订之日起2周内提交《海口</w:t>
      </w:r>
      <w:r>
        <w:rPr>
          <w:rFonts w:hint="eastAsia" w:ascii="宋体" w:hAnsi="宋体" w:eastAsia="宋体" w:cs="Times New Roman"/>
          <w:bCs/>
          <w:color w:val="auto"/>
          <w:sz w:val="24"/>
          <w:szCs w:val="24"/>
          <w:highlight w:val="none"/>
          <w:lang w:val="en-US" w:eastAsia="zh-CN"/>
        </w:rPr>
        <w:t>江东新区CBD起步区南片区概念设计方案</w:t>
      </w:r>
      <w:r>
        <w:rPr>
          <w:rFonts w:hint="eastAsia" w:ascii="宋体" w:hAnsi="宋体" w:eastAsia="宋体" w:cs="Times New Roman"/>
          <w:bCs/>
          <w:color w:val="auto"/>
          <w:sz w:val="24"/>
          <w:szCs w:val="24"/>
          <w:highlight w:val="none"/>
        </w:rPr>
        <w:t>》初步方案，自合同签订之日起</w:t>
      </w:r>
      <w:r>
        <w:rPr>
          <w:rFonts w:hint="eastAsia" w:ascii="宋体" w:hAnsi="宋体" w:eastAsia="宋体" w:cs="Times New Roman"/>
          <w:bCs/>
          <w:color w:val="auto"/>
          <w:sz w:val="24"/>
          <w:szCs w:val="24"/>
          <w:highlight w:val="none"/>
          <w:lang w:val="en-US" w:eastAsia="zh-CN"/>
        </w:rPr>
        <w:t>4</w:t>
      </w:r>
      <w:r>
        <w:rPr>
          <w:rFonts w:hint="eastAsia" w:ascii="宋体" w:hAnsi="宋体" w:eastAsia="宋体" w:cs="Times New Roman"/>
          <w:bCs/>
          <w:color w:val="auto"/>
          <w:sz w:val="24"/>
          <w:szCs w:val="24"/>
          <w:highlight w:val="none"/>
        </w:rPr>
        <w:t>周内提交《海口</w:t>
      </w:r>
      <w:r>
        <w:rPr>
          <w:rFonts w:hint="eastAsia" w:ascii="宋体" w:hAnsi="宋体" w:eastAsia="宋体" w:cs="Times New Roman"/>
          <w:bCs/>
          <w:color w:val="auto"/>
          <w:sz w:val="24"/>
          <w:szCs w:val="24"/>
          <w:highlight w:val="none"/>
          <w:lang w:val="en-US" w:eastAsia="zh-CN"/>
        </w:rPr>
        <w:t>江东新区CBD起步区南片区概念设计方案</w:t>
      </w:r>
      <w:r>
        <w:rPr>
          <w:rFonts w:hint="eastAsia" w:ascii="宋体" w:hAnsi="宋体" w:eastAsia="宋体" w:cs="Times New Roman"/>
          <w:bCs/>
          <w:color w:val="auto"/>
          <w:sz w:val="24"/>
          <w:szCs w:val="24"/>
          <w:highlight w:val="none"/>
        </w:rPr>
        <w:t>》</w:t>
      </w:r>
      <w:r>
        <w:rPr>
          <w:rFonts w:hint="eastAsia" w:ascii="宋体" w:hAnsi="宋体" w:eastAsia="宋体" w:cs="Times New Roman"/>
          <w:bCs/>
          <w:color w:val="auto"/>
          <w:sz w:val="24"/>
          <w:szCs w:val="24"/>
          <w:highlight w:val="none"/>
          <w:lang w:eastAsia="zh-CN"/>
        </w:rPr>
        <w:t>中期报告</w:t>
      </w:r>
      <w:r>
        <w:rPr>
          <w:rFonts w:hint="eastAsia" w:ascii="宋体" w:hAnsi="宋体" w:eastAsia="宋体" w:cs="Times New Roman"/>
          <w:bCs/>
          <w:color w:val="auto"/>
          <w:sz w:val="24"/>
          <w:szCs w:val="24"/>
          <w:highlight w:val="none"/>
        </w:rPr>
        <w:t>，</w:t>
      </w:r>
      <w:r>
        <w:rPr>
          <w:rFonts w:hint="eastAsia" w:ascii="宋体" w:hAnsi="宋体" w:eastAsia="宋体" w:cs="Times New Roman"/>
          <w:bCs/>
          <w:color w:val="auto"/>
          <w:sz w:val="24"/>
          <w:szCs w:val="24"/>
          <w:highlight w:val="none"/>
          <w:lang w:val="en-US" w:eastAsia="zh-CN"/>
        </w:rPr>
        <w:t>5月31日前</w:t>
      </w:r>
      <w:r>
        <w:rPr>
          <w:rFonts w:hint="eastAsia" w:ascii="宋体" w:hAnsi="宋体" w:eastAsia="宋体" w:cs="Times New Roman"/>
          <w:bCs/>
          <w:color w:val="auto"/>
          <w:sz w:val="24"/>
          <w:szCs w:val="24"/>
          <w:highlight w:val="none"/>
        </w:rPr>
        <w:t>内提交《海口</w:t>
      </w:r>
      <w:r>
        <w:rPr>
          <w:rFonts w:hint="eastAsia" w:ascii="宋体" w:hAnsi="宋体" w:eastAsia="宋体" w:cs="Times New Roman"/>
          <w:bCs/>
          <w:color w:val="auto"/>
          <w:sz w:val="24"/>
          <w:szCs w:val="24"/>
          <w:highlight w:val="none"/>
          <w:lang w:val="en-US" w:eastAsia="zh-CN"/>
        </w:rPr>
        <w:t>江东新区CBD起步区南片区概念设计方案</w:t>
      </w:r>
      <w:r>
        <w:rPr>
          <w:rFonts w:hint="eastAsia" w:ascii="宋体" w:hAnsi="宋体" w:eastAsia="宋体" w:cs="Times New Roman"/>
          <w:bCs/>
          <w:color w:val="auto"/>
          <w:sz w:val="24"/>
          <w:szCs w:val="24"/>
          <w:highlight w:val="none"/>
        </w:rPr>
        <w:t>》最终报告。</w:t>
      </w:r>
    </w:p>
    <w:p>
      <w:pPr>
        <w:keepNext w:val="0"/>
        <w:keepLines w:val="0"/>
        <w:pageBreakBefore w:val="0"/>
        <w:widowControl w:val="0"/>
        <w:kinsoku/>
        <w:wordWrap/>
        <w:topLinePunct w:val="0"/>
        <w:bidi w:val="0"/>
        <w:spacing w:line="560" w:lineRule="exact"/>
        <w:ind w:firstLine="420"/>
        <w:textAlignment w:val="auto"/>
        <w:rPr>
          <w:rFonts w:ascii="Times New Roman" w:hAnsi="Times New Roman" w:eastAsia="宋体" w:cs="Times New Roman"/>
          <w:color w:val="auto"/>
          <w:sz w:val="21"/>
          <w:szCs w:val="24"/>
          <w:highlight w:val="none"/>
        </w:rPr>
        <w:sectPr>
          <w:pgSz w:w="11907" w:h="16840"/>
          <w:pgMar w:top="1440" w:right="1366" w:bottom="1440" w:left="1423" w:header="794" w:footer="794" w:gutter="0"/>
          <w:cols w:space="720" w:num="1"/>
          <w:docGrid w:linePitch="286" w:charSpace="0"/>
        </w:sectPr>
      </w:pPr>
    </w:p>
    <w:p>
      <w:pPr>
        <w:pStyle w:val="2"/>
        <w:rPr>
          <w:color w:val="auto"/>
        </w:rPr>
      </w:pPr>
    </w:p>
    <w:p>
      <w:pPr>
        <w:widowControl w:val="0"/>
        <w:numPr>
          <w:ilvl w:val="0"/>
          <w:numId w:val="2"/>
        </w:numPr>
        <w:spacing w:line="240" w:lineRule="auto"/>
        <w:ind w:firstLine="0" w:firstLineChars="0"/>
        <w:jc w:val="center"/>
        <w:rPr>
          <w:rFonts w:ascii="Times New Roman" w:hAnsi="Times New Roman" w:eastAsia="宋体" w:cs="Times New Roman"/>
          <w:b/>
          <w:color w:val="auto"/>
          <w:sz w:val="36"/>
          <w:szCs w:val="36"/>
        </w:rPr>
      </w:pPr>
      <w:r>
        <w:rPr>
          <w:rFonts w:hint="eastAsia" w:ascii="Times New Roman" w:hAnsi="Times New Roman" w:eastAsia="宋体" w:cs="Times New Roman"/>
          <w:b/>
          <w:color w:val="auto"/>
          <w:sz w:val="36"/>
          <w:szCs w:val="36"/>
        </w:rPr>
        <w:t>项目评审说明</w:t>
      </w:r>
    </w:p>
    <w:p>
      <w:pPr>
        <w:tabs>
          <w:tab w:val="left" w:pos="945"/>
        </w:tabs>
        <w:ind w:firstLine="482"/>
        <w:rPr>
          <w:rFonts w:ascii="宋体" w:hAnsi="宋体" w:eastAsia="宋体" w:cs="Times New Roman"/>
          <w:b/>
          <w:color w:val="auto"/>
          <w:sz w:val="24"/>
          <w:szCs w:val="24"/>
        </w:rPr>
      </w:pPr>
      <w:bookmarkStart w:id="0" w:name="_Toc152045600"/>
      <w:bookmarkStart w:id="1" w:name="_Toc373501036"/>
      <w:bookmarkStart w:id="2" w:name="_Toc247085758"/>
      <w:bookmarkStart w:id="3" w:name="_Toc246996243"/>
      <w:bookmarkStart w:id="4" w:name="_Toc179632618"/>
      <w:bookmarkStart w:id="5" w:name="_Toc246996986"/>
      <w:bookmarkStart w:id="6" w:name="_Toc144974567"/>
      <w:bookmarkStart w:id="7" w:name="_Toc152042377"/>
      <w:bookmarkStart w:id="8" w:name="_Toc28179"/>
      <w:r>
        <w:rPr>
          <w:rFonts w:hint="eastAsia" w:ascii="宋体" w:hAnsi="宋体" w:eastAsia="宋体" w:cs="Times New Roman"/>
          <w:b/>
          <w:color w:val="auto"/>
          <w:sz w:val="24"/>
          <w:szCs w:val="24"/>
        </w:rPr>
        <w:t>一、评审方法</w:t>
      </w:r>
      <w:bookmarkEnd w:id="0"/>
      <w:bookmarkEnd w:id="1"/>
      <w:bookmarkEnd w:id="2"/>
      <w:bookmarkEnd w:id="3"/>
      <w:bookmarkEnd w:id="4"/>
      <w:bookmarkEnd w:id="5"/>
      <w:bookmarkEnd w:id="6"/>
      <w:bookmarkEnd w:id="7"/>
      <w:bookmarkEnd w:id="8"/>
    </w:p>
    <w:p>
      <w:pPr>
        <w:autoSpaceDE w:val="0"/>
        <w:autoSpaceDN w:val="0"/>
        <w:adjustRightInd w:val="0"/>
        <w:ind w:firstLine="480"/>
        <w:jc w:val="left"/>
        <w:rPr>
          <w:rFonts w:ascii="宋体" w:hAnsi="宋体" w:eastAsia="宋体" w:cs="Times New Roman"/>
          <w:color w:val="auto"/>
          <w:sz w:val="24"/>
          <w:szCs w:val="24"/>
        </w:rPr>
      </w:pPr>
      <w:r>
        <w:rPr>
          <w:rFonts w:hint="eastAsia" w:ascii="宋体" w:hAnsi="宋体" w:eastAsia="宋体" w:cs="Times New Roman"/>
          <w:color w:val="auto"/>
          <w:sz w:val="24"/>
          <w:szCs w:val="24"/>
        </w:rPr>
        <w:t>本项目采用综合评审法。</w:t>
      </w:r>
    </w:p>
    <w:p>
      <w:pPr>
        <w:tabs>
          <w:tab w:val="left" w:pos="945"/>
        </w:tabs>
        <w:ind w:firstLine="482"/>
        <w:rPr>
          <w:rFonts w:ascii="宋体" w:hAnsi="宋体" w:eastAsia="宋体" w:cs="Times New Roman"/>
          <w:b/>
          <w:color w:val="auto"/>
          <w:sz w:val="24"/>
          <w:szCs w:val="24"/>
        </w:rPr>
      </w:pPr>
      <w:r>
        <w:rPr>
          <w:rFonts w:hint="eastAsia" w:ascii="宋体" w:hAnsi="宋体" w:eastAsia="宋体" w:cs="Times New Roman"/>
          <w:b/>
          <w:color w:val="auto"/>
          <w:sz w:val="24"/>
          <w:szCs w:val="24"/>
        </w:rPr>
        <w:t>二、评委及监督人员</w:t>
      </w:r>
    </w:p>
    <w:p>
      <w:pPr>
        <w:adjustRightInd w:val="0"/>
        <w:snapToGrid w:val="0"/>
        <w:ind w:firstLine="480"/>
        <w:jc w:val="left"/>
        <w:rPr>
          <w:rFonts w:ascii="宋体" w:hAnsi="宋体" w:eastAsia="宋体" w:cs="Times New Roman"/>
          <w:bCs/>
          <w:color w:val="auto"/>
          <w:sz w:val="24"/>
          <w:szCs w:val="24"/>
        </w:rPr>
      </w:pPr>
      <w:r>
        <w:rPr>
          <w:rFonts w:hint="eastAsia" w:ascii="宋体" w:hAnsi="宋体" w:eastAsia="宋体" w:cs="Times New Roman"/>
          <w:color w:val="auto"/>
          <w:sz w:val="24"/>
          <w:szCs w:val="24"/>
        </w:rPr>
        <w:t>本项目评审委员会由海口江东新区管理局各部门代表共5人组成，江</w:t>
      </w:r>
      <w:r>
        <w:rPr>
          <w:rFonts w:hint="eastAsia" w:ascii="宋体" w:hAnsi="宋体" w:eastAsia="宋体" w:cs="Times New Roman"/>
          <w:bCs/>
          <w:color w:val="auto"/>
          <w:sz w:val="24"/>
          <w:szCs w:val="24"/>
        </w:rPr>
        <w:t>东新区管理局纪检监察人员为项目开标评审全过程监督人员。</w:t>
      </w:r>
    </w:p>
    <w:p>
      <w:pPr>
        <w:tabs>
          <w:tab w:val="left" w:pos="945"/>
        </w:tabs>
        <w:ind w:firstLine="482"/>
        <w:rPr>
          <w:rFonts w:ascii="宋体" w:hAnsi="宋体" w:eastAsia="宋体" w:cs="Times New Roman"/>
          <w:b/>
          <w:color w:val="auto"/>
          <w:sz w:val="24"/>
          <w:szCs w:val="24"/>
        </w:rPr>
      </w:pPr>
      <w:bookmarkStart w:id="9" w:name="_Toc152045601"/>
      <w:bookmarkStart w:id="10" w:name="_Toc246996244"/>
      <w:bookmarkStart w:id="11" w:name="_Toc32424"/>
      <w:bookmarkStart w:id="12" w:name="_Toc152042378"/>
      <w:bookmarkStart w:id="13" w:name="_Toc179632619"/>
      <w:bookmarkStart w:id="14" w:name="_Toc373501037"/>
      <w:bookmarkStart w:id="15" w:name="_Toc247085759"/>
      <w:bookmarkStart w:id="16" w:name="_Toc246996987"/>
      <w:bookmarkStart w:id="17" w:name="_Toc144974568"/>
      <w:r>
        <w:rPr>
          <w:rFonts w:hint="eastAsia" w:ascii="宋体" w:hAnsi="宋体" w:eastAsia="宋体" w:cs="Times New Roman"/>
          <w:b/>
          <w:color w:val="auto"/>
          <w:sz w:val="24"/>
          <w:szCs w:val="24"/>
        </w:rPr>
        <w:t>三、项目评审</w:t>
      </w:r>
      <w:bookmarkEnd w:id="9"/>
      <w:bookmarkEnd w:id="10"/>
      <w:bookmarkEnd w:id="11"/>
      <w:bookmarkEnd w:id="12"/>
      <w:bookmarkEnd w:id="13"/>
      <w:bookmarkEnd w:id="14"/>
      <w:bookmarkEnd w:id="15"/>
      <w:bookmarkEnd w:id="16"/>
      <w:bookmarkEnd w:id="17"/>
      <w:r>
        <w:rPr>
          <w:rFonts w:hint="eastAsia" w:ascii="宋体" w:hAnsi="宋体" w:eastAsia="宋体" w:cs="Times New Roman"/>
          <w:b/>
          <w:color w:val="auto"/>
          <w:sz w:val="24"/>
          <w:szCs w:val="24"/>
        </w:rPr>
        <w:t>说明</w:t>
      </w:r>
    </w:p>
    <w:p>
      <w:pPr>
        <w:autoSpaceDE w:val="0"/>
        <w:autoSpaceDN w:val="0"/>
        <w:adjustRightInd w:val="0"/>
        <w:ind w:firstLine="480"/>
        <w:jc w:val="left"/>
        <w:rPr>
          <w:rFonts w:ascii="宋体" w:hAnsi="宋体" w:eastAsia="宋体" w:cs="Times New Roman"/>
          <w:color w:val="auto"/>
          <w:sz w:val="24"/>
          <w:szCs w:val="24"/>
        </w:rPr>
      </w:pPr>
      <w:bookmarkStart w:id="18" w:name="_Toc11114"/>
      <w:bookmarkStart w:id="19" w:name="_Toc152045602"/>
      <w:bookmarkStart w:id="20" w:name="_Toc246996988"/>
      <w:bookmarkStart w:id="21" w:name="_Toc144974569"/>
      <w:bookmarkStart w:id="22" w:name="_Toc373501038"/>
      <w:bookmarkStart w:id="23" w:name="_Toc152042379"/>
      <w:bookmarkStart w:id="24" w:name="_Toc247085760"/>
      <w:bookmarkStart w:id="25" w:name="_Toc179632620"/>
      <w:bookmarkStart w:id="26" w:name="_Toc246996245"/>
      <w:r>
        <w:rPr>
          <w:rFonts w:hint="eastAsia" w:ascii="宋体" w:hAnsi="宋体" w:eastAsia="宋体" w:cs="Times New Roman"/>
          <w:color w:val="auto"/>
          <w:sz w:val="24"/>
          <w:szCs w:val="24"/>
        </w:rPr>
        <w:t>（一）初步评审标准</w:t>
      </w:r>
      <w:bookmarkEnd w:id="18"/>
      <w:bookmarkEnd w:id="19"/>
      <w:bookmarkEnd w:id="20"/>
      <w:bookmarkEnd w:id="21"/>
      <w:bookmarkEnd w:id="22"/>
      <w:bookmarkEnd w:id="23"/>
      <w:bookmarkEnd w:id="24"/>
      <w:bookmarkEnd w:id="25"/>
      <w:bookmarkEnd w:id="26"/>
    </w:p>
    <w:p>
      <w:pPr>
        <w:adjustRightInd w:val="0"/>
        <w:snapToGrid w:val="0"/>
        <w:ind w:firstLine="480"/>
        <w:jc w:val="left"/>
        <w:rPr>
          <w:rFonts w:ascii="宋体" w:hAnsi="宋体" w:eastAsia="宋体" w:cs="Times New Roman"/>
          <w:bCs/>
          <w:color w:val="auto"/>
          <w:sz w:val="24"/>
          <w:szCs w:val="24"/>
        </w:rPr>
      </w:pPr>
      <w:bookmarkStart w:id="27" w:name="_Toc152045603"/>
      <w:bookmarkStart w:id="28" w:name="_Toc179632621"/>
      <w:bookmarkStart w:id="29" w:name="_Toc26575"/>
      <w:bookmarkStart w:id="30" w:name="_Toc246996989"/>
      <w:bookmarkStart w:id="31" w:name="_Toc152042380"/>
      <w:bookmarkStart w:id="32" w:name="_Toc247085761"/>
      <w:bookmarkStart w:id="33" w:name="_Toc144974570"/>
      <w:bookmarkStart w:id="34" w:name="_Toc373501039"/>
      <w:bookmarkStart w:id="35" w:name="_Toc246996246"/>
      <w:r>
        <w:rPr>
          <w:rFonts w:hint="eastAsia" w:ascii="宋体" w:hAnsi="宋体" w:eastAsia="宋体" w:cs="Times New Roman"/>
          <w:bCs/>
          <w:color w:val="auto"/>
          <w:sz w:val="24"/>
          <w:szCs w:val="24"/>
        </w:rPr>
        <w:t>评审委员会将对比选单位提交的响应资料进行初步审查，初步评审的内容如附表1所示，初步评审中的资格评审如附表2所示，未通过初步审查的比选单位将以废标处理。</w:t>
      </w:r>
    </w:p>
    <w:p>
      <w:pPr>
        <w:autoSpaceDE w:val="0"/>
        <w:autoSpaceDN w:val="0"/>
        <w:adjustRightInd w:val="0"/>
        <w:ind w:firstLine="480"/>
        <w:jc w:val="left"/>
        <w:rPr>
          <w:rFonts w:ascii="宋体" w:hAnsi="宋体" w:eastAsia="宋体" w:cs="Times New Roman"/>
          <w:color w:val="auto"/>
          <w:sz w:val="24"/>
          <w:szCs w:val="24"/>
        </w:rPr>
      </w:pPr>
      <w:r>
        <w:rPr>
          <w:rFonts w:hint="eastAsia" w:ascii="宋体" w:hAnsi="宋体" w:eastAsia="宋体" w:cs="Times New Roman"/>
          <w:color w:val="auto"/>
          <w:sz w:val="24"/>
          <w:szCs w:val="24"/>
        </w:rPr>
        <w:t>（二）</w:t>
      </w:r>
      <w:bookmarkEnd w:id="27"/>
      <w:bookmarkEnd w:id="28"/>
      <w:bookmarkEnd w:id="29"/>
      <w:bookmarkEnd w:id="30"/>
      <w:bookmarkEnd w:id="31"/>
      <w:bookmarkEnd w:id="32"/>
      <w:bookmarkEnd w:id="33"/>
      <w:bookmarkEnd w:id="34"/>
      <w:bookmarkEnd w:id="35"/>
      <w:r>
        <w:rPr>
          <w:rFonts w:hint="eastAsia" w:ascii="宋体" w:hAnsi="宋体" w:eastAsia="宋体" w:cs="Times New Roman"/>
          <w:color w:val="auto"/>
          <w:sz w:val="24"/>
          <w:szCs w:val="24"/>
        </w:rPr>
        <w:t>商务评审、技术评审及价格评审</w:t>
      </w:r>
    </w:p>
    <w:p>
      <w:pPr>
        <w:autoSpaceDE w:val="0"/>
        <w:autoSpaceDN w:val="0"/>
        <w:adjustRightInd w:val="0"/>
        <w:ind w:firstLine="480"/>
        <w:jc w:val="left"/>
        <w:rPr>
          <w:rFonts w:ascii="宋体" w:hAnsi="宋体" w:eastAsia="宋体" w:cs="Times New Roman"/>
          <w:color w:val="auto"/>
          <w:sz w:val="24"/>
          <w:szCs w:val="24"/>
        </w:rPr>
      </w:pPr>
      <w:r>
        <w:rPr>
          <w:rFonts w:hint="eastAsia" w:ascii="宋体" w:hAnsi="宋体" w:eastAsia="宋体" w:cs="Times New Roman"/>
          <w:color w:val="auto"/>
          <w:sz w:val="24"/>
          <w:szCs w:val="24"/>
        </w:rPr>
        <w:t>1.分值构成</w:t>
      </w:r>
    </w:p>
    <w:p>
      <w:pPr>
        <w:autoSpaceDE w:val="0"/>
        <w:autoSpaceDN w:val="0"/>
        <w:adjustRightInd w:val="0"/>
        <w:ind w:firstLine="480"/>
        <w:jc w:val="left"/>
        <w:rPr>
          <w:rFonts w:ascii="宋体" w:hAnsi="宋体" w:eastAsia="宋体" w:cs="Times New Roman"/>
          <w:color w:val="auto"/>
          <w:sz w:val="24"/>
          <w:szCs w:val="24"/>
        </w:rPr>
      </w:pPr>
      <w:r>
        <w:rPr>
          <w:rFonts w:hint="eastAsia" w:ascii="宋体" w:hAnsi="宋体" w:eastAsia="宋体" w:cs="Times New Roman"/>
          <w:color w:val="auto"/>
          <w:sz w:val="24"/>
          <w:szCs w:val="24"/>
        </w:rPr>
        <w:t>本项目总分100分，其中商务评审40分，技术评审40分，报价评审2</w:t>
      </w:r>
      <w:r>
        <w:rPr>
          <w:rFonts w:ascii="宋体" w:hAnsi="宋体" w:eastAsia="宋体" w:cs="Times New Roman"/>
          <w:color w:val="auto"/>
          <w:sz w:val="24"/>
          <w:szCs w:val="24"/>
        </w:rPr>
        <w:t>0</w:t>
      </w:r>
      <w:r>
        <w:rPr>
          <w:rFonts w:hint="eastAsia" w:ascii="宋体" w:hAnsi="宋体" w:eastAsia="宋体" w:cs="Times New Roman"/>
          <w:color w:val="auto"/>
          <w:sz w:val="24"/>
          <w:szCs w:val="24"/>
        </w:rPr>
        <w:t>分。</w:t>
      </w:r>
    </w:p>
    <w:p>
      <w:pPr>
        <w:autoSpaceDE w:val="0"/>
        <w:autoSpaceDN w:val="0"/>
        <w:adjustRightInd w:val="0"/>
        <w:ind w:firstLine="480"/>
        <w:jc w:val="left"/>
        <w:rPr>
          <w:rFonts w:ascii="宋体" w:hAnsi="宋体" w:eastAsia="宋体" w:cs="Times New Roman"/>
          <w:color w:val="auto"/>
          <w:sz w:val="24"/>
          <w:szCs w:val="24"/>
        </w:rPr>
      </w:pPr>
      <w:r>
        <w:rPr>
          <w:rFonts w:hint="eastAsia" w:ascii="宋体" w:hAnsi="宋体" w:eastAsia="宋体" w:cs="Times New Roman"/>
          <w:color w:val="auto"/>
          <w:sz w:val="24"/>
          <w:szCs w:val="24"/>
        </w:rPr>
        <w:t>（1）商务评审因素及分值分配如附表</w:t>
      </w:r>
      <w:r>
        <w:rPr>
          <w:rFonts w:ascii="宋体" w:hAnsi="宋体" w:eastAsia="宋体" w:cs="Times New Roman"/>
          <w:color w:val="auto"/>
          <w:sz w:val="24"/>
          <w:szCs w:val="24"/>
        </w:rPr>
        <w:t>3</w:t>
      </w:r>
      <w:r>
        <w:rPr>
          <w:rFonts w:hint="eastAsia" w:ascii="宋体" w:hAnsi="宋体" w:eastAsia="宋体" w:cs="Times New Roman"/>
          <w:color w:val="auto"/>
          <w:sz w:val="24"/>
          <w:szCs w:val="24"/>
        </w:rPr>
        <w:t>所示；</w:t>
      </w:r>
    </w:p>
    <w:p>
      <w:pPr>
        <w:autoSpaceDE w:val="0"/>
        <w:autoSpaceDN w:val="0"/>
        <w:adjustRightInd w:val="0"/>
        <w:ind w:firstLine="480"/>
        <w:jc w:val="left"/>
        <w:rPr>
          <w:rFonts w:ascii="宋体" w:hAnsi="宋体" w:eastAsia="宋体" w:cs="Times New Roman"/>
          <w:color w:val="auto"/>
          <w:sz w:val="24"/>
          <w:szCs w:val="24"/>
        </w:rPr>
      </w:pPr>
      <w:r>
        <w:rPr>
          <w:rFonts w:hint="eastAsia" w:ascii="宋体" w:hAnsi="宋体" w:eastAsia="宋体" w:cs="Times New Roman"/>
          <w:color w:val="auto"/>
          <w:sz w:val="24"/>
          <w:szCs w:val="24"/>
        </w:rPr>
        <w:t>（2）技术评审因素及分值分配见附表</w:t>
      </w:r>
      <w:r>
        <w:rPr>
          <w:rFonts w:ascii="宋体" w:hAnsi="宋体" w:eastAsia="宋体" w:cs="Times New Roman"/>
          <w:color w:val="auto"/>
          <w:sz w:val="24"/>
          <w:szCs w:val="24"/>
        </w:rPr>
        <w:t>4</w:t>
      </w:r>
      <w:r>
        <w:rPr>
          <w:rFonts w:hint="eastAsia" w:ascii="宋体" w:hAnsi="宋体" w:eastAsia="宋体" w:cs="Times New Roman"/>
          <w:color w:val="auto"/>
          <w:sz w:val="24"/>
          <w:szCs w:val="24"/>
        </w:rPr>
        <w:t>所示；</w:t>
      </w:r>
    </w:p>
    <w:p>
      <w:pPr>
        <w:autoSpaceDE w:val="0"/>
        <w:autoSpaceDN w:val="0"/>
        <w:adjustRightInd w:val="0"/>
        <w:ind w:firstLine="480"/>
        <w:jc w:val="left"/>
        <w:rPr>
          <w:rFonts w:ascii="宋体" w:hAnsi="宋体" w:eastAsia="宋体" w:cs="Times New Roman"/>
          <w:color w:val="auto"/>
          <w:sz w:val="24"/>
          <w:szCs w:val="24"/>
        </w:rPr>
      </w:pPr>
      <w:r>
        <w:rPr>
          <w:rFonts w:hint="eastAsia" w:ascii="宋体" w:hAnsi="宋体" w:eastAsia="宋体" w:cs="Times New Roman"/>
          <w:color w:val="auto"/>
          <w:sz w:val="24"/>
          <w:szCs w:val="24"/>
        </w:rPr>
        <w:t>（3）价格评审因素及分值分配如附表</w:t>
      </w:r>
      <w:r>
        <w:rPr>
          <w:rFonts w:ascii="宋体" w:hAnsi="宋体" w:eastAsia="宋体" w:cs="Times New Roman"/>
          <w:color w:val="auto"/>
          <w:sz w:val="24"/>
          <w:szCs w:val="24"/>
        </w:rPr>
        <w:t>5</w:t>
      </w:r>
      <w:r>
        <w:rPr>
          <w:rFonts w:hint="eastAsia" w:ascii="宋体" w:hAnsi="宋体" w:eastAsia="宋体" w:cs="Times New Roman"/>
          <w:color w:val="auto"/>
          <w:sz w:val="24"/>
          <w:szCs w:val="24"/>
        </w:rPr>
        <w:t>所示；</w:t>
      </w:r>
    </w:p>
    <w:p>
      <w:pPr>
        <w:autoSpaceDE w:val="0"/>
        <w:autoSpaceDN w:val="0"/>
        <w:adjustRightInd w:val="0"/>
        <w:ind w:firstLine="480"/>
        <w:jc w:val="left"/>
        <w:rPr>
          <w:rFonts w:ascii="宋体" w:hAnsi="宋体" w:eastAsia="宋体" w:cs="Times New Roman"/>
          <w:color w:val="auto"/>
          <w:sz w:val="24"/>
          <w:szCs w:val="24"/>
        </w:rPr>
      </w:pPr>
      <w:r>
        <w:rPr>
          <w:rFonts w:hint="eastAsia" w:ascii="宋体" w:hAnsi="宋体" w:eastAsia="宋体" w:cs="Times New Roman"/>
          <w:color w:val="auto"/>
          <w:sz w:val="24"/>
          <w:szCs w:val="24"/>
        </w:rPr>
        <w:t>2</w:t>
      </w:r>
      <w:r>
        <w:rPr>
          <w:rFonts w:ascii="宋体" w:hAnsi="宋体" w:eastAsia="宋体" w:cs="Times New Roman"/>
          <w:color w:val="auto"/>
          <w:sz w:val="24"/>
          <w:szCs w:val="24"/>
        </w:rPr>
        <w:t>.</w:t>
      </w:r>
      <w:r>
        <w:rPr>
          <w:rFonts w:hint="eastAsia" w:ascii="宋体" w:hAnsi="宋体" w:eastAsia="宋体" w:cs="Times New Roman"/>
          <w:color w:val="auto"/>
          <w:sz w:val="24"/>
          <w:szCs w:val="24"/>
        </w:rPr>
        <w:t>评审程序</w:t>
      </w:r>
    </w:p>
    <w:p>
      <w:pPr>
        <w:widowControl w:val="0"/>
        <w:ind w:firstLine="480"/>
        <w:rPr>
          <w:rFonts w:ascii="宋体" w:hAnsi="宋体" w:eastAsia="宋体" w:cs="宋体"/>
          <w:color w:val="auto"/>
          <w:sz w:val="24"/>
          <w:szCs w:val="24"/>
        </w:rPr>
      </w:pPr>
      <w:r>
        <w:rPr>
          <w:rFonts w:hint="eastAsia" w:ascii="宋体" w:hAnsi="宋体" w:eastAsia="宋体" w:cs="宋体"/>
          <w:color w:val="auto"/>
          <w:sz w:val="24"/>
          <w:szCs w:val="24"/>
        </w:rPr>
        <w:t>通过初步评审的比选单位，评审委员会将按照附表3、附表4、附表5的标准对其进行打分，并计算出综合总分。</w:t>
      </w:r>
    </w:p>
    <w:p>
      <w:pPr>
        <w:autoSpaceDE w:val="0"/>
        <w:autoSpaceDN w:val="0"/>
        <w:adjustRightInd w:val="0"/>
        <w:ind w:firstLine="480"/>
        <w:jc w:val="left"/>
        <w:rPr>
          <w:rFonts w:ascii="宋体" w:hAnsi="宋体" w:eastAsia="宋体" w:cs="宋体"/>
          <w:color w:val="auto"/>
          <w:sz w:val="24"/>
          <w:szCs w:val="24"/>
        </w:rPr>
      </w:pPr>
      <w:r>
        <w:rPr>
          <w:rFonts w:hint="eastAsia" w:ascii="宋体" w:hAnsi="宋体" w:eastAsia="宋体" w:cs="宋体"/>
          <w:color w:val="auto"/>
          <w:sz w:val="24"/>
          <w:szCs w:val="24"/>
        </w:rPr>
        <w:t>（1）按附表3规定的评审因素和分值对商务评分计算出得分A；</w:t>
      </w:r>
    </w:p>
    <w:p>
      <w:pPr>
        <w:autoSpaceDE w:val="0"/>
        <w:autoSpaceDN w:val="0"/>
        <w:adjustRightInd w:val="0"/>
        <w:ind w:firstLine="480"/>
        <w:jc w:val="left"/>
        <w:rPr>
          <w:rFonts w:ascii="宋体" w:hAnsi="宋体" w:eastAsia="宋体" w:cs="宋体"/>
          <w:color w:val="auto"/>
          <w:sz w:val="24"/>
          <w:szCs w:val="24"/>
        </w:rPr>
      </w:pPr>
      <w:r>
        <w:rPr>
          <w:rFonts w:hint="eastAsia" w:ascii="宋体" w:hAnsi="宋体" w:eastAsia="宋体" w:cs="宋体"/>
          <w:color w:val="auto"/>
          <w:sz w:val="24"/>
          <w:szCs w:val="24"/>
        </w:rPr>
        <w:t>（2）按附表4规定的评审因素和分值对技术评分计算出得分B；</w:t>
      </w:r>
    </w:p>
    <w:p>
      <w:pPr>
        <w:autoSpaceDE w:val="0"/>
        <w:autoSpaceDN w:val="0"/>
        <w:adjustRightInd w:val="0"/>
        <w:ind w:firstLine="480"/>
        <w:jc w:val="left"/>
        <w:rPr>
          <w:rFonts w:ascii="宋体" w:hAnsi="宋体" w:eastAsia="宋体" w:cs="宋体"/>
          <w:color w:val="auto"/>
          <w:sz w:val="24"/>
          <w:szCs w:val="24"/>
        </w:rPr>
      </w:pPr>
      <w:r>
        <w:rPr>
          <w:rFonts w:hint="eastAsia" w:ascii="宋体" w:hAnsi="宋体" w:eastAsia="宋体" w:cs="宋体"/>
          <w:color w:val="auto"/>
          <w:sz w:val="24"/>
          <w:szCs w:val="24"/>
        </w:rPr>
        <w:t>（3）按附表5规定的评审因素和分值对报价计算出得分C；</w:t>
      </w:r>
    </w:p>
    <w:p>
      <w:pPr>
        <w:widowControl w:val="0"/>
        <w:ind w:firstLine="480"/>
        <w:rPr>
          <w:rFonts w:ascii="宋体" w:hAnsi="宋体" w:eastAsia="宋体" w:cs="宋体"/>
          <w:color w:val="auto"/>
          <w:sz w:val="24"/>
          <w:szCs w:val="24"/>
        </w:rPr>
      </w:pPr>
      <w:r>
        <w:rPr>
          <w:rFonts w:hint="eastAsia" w:ascii="宋体" w:hAnsi="宋体" w:eastAsia="宋体" w:cs="宋体"/>
          <w:color w:val="auto"/>
          <w:sz w:val="24"/>
          <w:szCs w:val="24"/>
        </w:rPr>
        <w:t>（4）评分分值计算保留小数点后两位，小数点后第三位“四舍五入”；</w:t>
      </w:r>
    </w:p>
    <w:p>
      <w:pPr>
        <w:autoSpaceDE w:val="0"/>
        <w:autoSpaceDN w:val="0"/>
        <w:adjustRightInd w:val="0"/>
        <w:ind w:firstLine="480"/>
        <w:jc w:val="left"/>
        <w:rPr>
          <w:rFonts w:ascii="宋体" w:hAnsi="宋体" w:eastAsia="宋体" w:cs="宋体"/>
          <w:color w:val="auto"/>
          <w:sz w:val="24"/>
          <w:szCs w:val="24"/>
        </w:rPr>
      </w:pPr>
      <w:r>
        <w:rPr>
          <w:rFonts w:hint="eastAsia" w:ascii="宋体" w:hAnsi="宋体" w:eastAsia="宋体" w:cs="宋体"/>
          <w:color w:val="auto"/>
          <w:sz w:val="24"/>
          <w:szCs w:val="24"/>
        </w:rPr>
        <w:t>（5）比选单位得分=A+B+C；</w:t>
      </w:r>
    </w:p>
    <w:p>
      <w:pPr>
        <w:widowControl w:val="0"/>
        <w:ind w:firstLine="480"/>
        <w:rPr>
          <w:rFonts w:ascii="宋体" w:hAnsi="宋体" w:eastAsia="宋体" w:cs="宋体"/>
          <w:color w:val="auto"/>
          <w:sz w:val="24"/>
          <w:szCs w:val="24"/>
        </w:rPr>
      </w:pPr>
      <w:r>
        <w:rPr>
          <w:rFonts w:hint="eastAsia" w:ascii="宋体" w:hAnsi="宋体" w:eastAsia="宋体" w:cs="宋体"/>
          <w:color w:val="auto"/>
          <w:sz w:val="24"/>
          <w:szCs w:val="24"/>
        </w:rPr>
        <w:t>（6）评审委员会发现比选单位的报价明显低于其他单位报价，使得其报价可能低于其个别成本的，应当要求该比选单位作出书面说明并提供相应的证明材料。比选单位不能合理说明或者不能提供相应证明材料的，评审委员会应当认定该比选单位以低于成本报价竞标，否决其报价。</w:t>
      </w:r>
    </w:p>
    <w:p>
      <w:pPr>
        <w:tabs>
          <w:tab w:val="left" w:pos="540"/>
          <w:tab w:val="left" w:pos="945"/>
        </w:tabs>
        <w:ind w:firstLine="480"/>
        <w:rPr>
          <w:rFonts w:ascii="宋体" w:hAnsi="宋体" w:eastAsia="宋体" w:cs="Times New Roman"/>
          <w:bCs/>
          <w:color w:val="auto"/>
          <w:sz w:val="24"/>
          <w:szCs w:val="24"/>
        </w:rPr>
      </w:pPr>
      <w:r>
        <w:rPr>
          <w:rFonts w:hint="eastAsia" w:ascii="宋体" w:hAnsi="宋体" w:eastAsia="宋体" w:cs="Times New Roman"/>
          <w:bCs/>
          <w:color w:val="auto"/>
          <w:sz w:val="24"/>
          <w:szCs w:val="24"/>
        </w:rPr>
        <w:t>3</w:t>
      </w:r>
      <w:r>
        <w:rPr>
          <w:rFonts w:ascii="宋体" w:hAnsi="宋体" w:eastAsia="宋体" w:cs="Times New Roman"/>
          <w:bCs/>
          <w:color w:val="auto"/>
          <w:sz w:val="24"/>
          <w:szCs w:val="24"/>
        </w:rPr>
        <w:t>.</w:t>
      </w:r>
      <w:r>
        <w:rPr>
          <w:rFonts w:hint="eastAsia" w:ascii="宋体" w:hAnsi="宋体" w:eastAsia="宋体" w:cs="Times New Roman"/>
          <w:bCs/>
          <w:color w:val="auto"/>
          <w:sz w:val="24"/>
          <w:szCs w:val="24"/>
        </w:rPr>
        <w:t>最终排序</w:t>
      </w:r>
    </w:p>
    <w:p>
      <w:pPr>
        <w:autoSpaceDE w:val="0"/>
        <w:autoSpaceDN w:val="0"/>
        <w:adjustRightInd w:val="0"/>
        <w:ind w:firstLine="480"/>
        <w:jc w:val="left"/>
        <w:rPr>
          <w:rFonts w:ascii="宋体" w:hAnsi="宋体" w:eastAsia="宋体" w:cs="Times New Roman"/>
          <w:bCs/>
          <w:color w:val="auto"/>
          <w:sz w:val="24"/>
          <w:szCs w:val="24"/>
        </w:rPr>
      </w:pPr>
      <w:r>
        <w:rPr>
          <w:rFonts w:hint="eastAsia" w:ascii="宋体" w:hAnsi="宋体" w:eastAsia="宋体" w:cs="Times New Roman"/>
          <w:bCs/>
          <w:color w:val="auto"/>
          <w:sz w:val="24"/>
          <w:szCs w:val="24"/>
        </w:rPr>
        <w:t>5名评委对比选单位进行独立打分，比选单位的最终得分为5名评委打分的算术平均值。按最终得分由高至低排出各有效比选单位的名次，最终得分相等时，以报价低的优先；报价也相等时，由评审委员会自行确定。</w:t>
      </w:r>
    </w:p>
    <w:p>
      <w:pPr>
        <w:tabs>
          <w:tab w:val="left" w:pos="945"/>
        </w:tabs>
        <w:ind w:firstLine="482"/>
        <w:rPr>
          <w:rFonts w:ascii="Times New Roman" w:hAnsi="Times New Roman" w:eastAsia="宋体" w:cs="Times New Roman"/>
          <w:b/>
          <w:color w:val="auto"/>
          <w:sz w:val="24"/>
          <w:szCs w:val="24"/>
        </w:rPr>
      </w:pPr>
      <w:r>
        <w:rPr>
          <w:rFonts w:hint="eastAsia" w:ascii="宋体" w:hAnsi="宋体" w:eastAsia="宋体" w:cs="Times New Roman"/>
          <w:b/>
          <w:color w:val="auto"/>
          <w:sz w:val="24"/>
          <w:szCs w:val="24"/>
        </w:rPr>
        <w:t>四、成交</w:t>
      </w:r>
      <w:r>
        <w:rPr>
          <w:rFonts w:hint="eastAsia" w:ascii="Times New Roman" w:hAnsi="Times New Roman" w:eastAsia="宋体" w:cs="Times New Roman"/>
          <w:b/>
          <w:bCs/>
          <w:color w:val="auto"/>
          <w:sz w:val="24"/>
          <w:szCs w:val="24"/>
        </w:rPr>
        <w:t>候选人</w:t>
      </w:r>
    </w:p>
    <w:p>
      <w:pPr>
        <w:widowControl w:val="0"/>
        <w:adjustRightInd w:val="0"/>
        <w:snapToGrid w:val="0"/>
        <w:ind w:firstLine="480"/>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评审委员会按本评审办法规定作出的评审结果排序并出具经评审委员会全体成员签字的评审报告，推荐不多于3名成交候选人。最终得分最高</w:t>
      </w:r>
      <w:r>
        <w:rPr>
          <w:rFonts w:hint="eastAsia" w:ascii="宋体" w:hAnsi="宋体" w:eastAsia="宋体" w:cs="Times New Roman"/>
          <w:color w:val="auto"/>
          <w:sz w:val="24"/>
          <w:szCs w:val="24"/>
        </w:rPr>
        <w:t>的为第一成交候选人，最终得分次高的为第二成交候选人，以此类推。</w:t>
      </w:r>
    </w:p>
    <w:p>
      <w:pPr>
        <w:widowControl w:val="0"/>
        <w:adjustRightInd w:val="0"/>
        <w:snapToGrid w:val="0"/>
        <w:ind w:firstLine="0" w:firstLineChars="0"/>
        <w:rPr>
          <w:rFonts w:ascii="宋体" w:hAnsi="宋体" w:eastAsia="宋体" w:cs="Times New Roman"/>
          <w:color w:val="auto"/>
          <w:sz w:val="24"/>
          <w:szCs w:val="24"/>
        </w:rPr>
      </w:pPr>
    </w:p>
    <w:p>
      <w:pPr>
        <w:pageBreakBefore/>
        <w:widowControl w:val="0"/>
        <w:ind w:firstLine="422"/>
        <w:rPr>
          <w:rFonts w:ascii="Times New Roman" w:hAnsi="Times New Roman" w:eastAsia="宋体" w:cs="Times New Roman"/>
          <w:b/>
          <w:color w:val="auto"/>
          <w:sz w:val="21"/>
          <w:szCs w:val="21"/>
        </w:rPr>
      </w:pPr>
      <w:r>
        <w:rPr>
          <w:rFonts w:hint="eastAsia" w:ascii="Times New Roman" w:hAnsi="Times New Roman" w:eastAsia="宋体" w:cs="Times New Roman"/>
          <w:b/>
          <w:color w:val="auto"/>
          <w:sz w:val="21"/>
          <w:szCs w:val="21"/>
        </w:rPr>
        <w:t>附表1：</w:t>
      </w:r>
    </w:p>
    <w:p>
      <w:pPr>
        <w:widowControl w:val="0"/>
        <w:ind w:firstLine="482"/>
        <w:rPr>
          <w:rFonts w:ascii="Times New Roman" w:hAnsi="Times New Roman" w:eastAsia="宋体" w:cs="Times New Roman"/>
          <w:b/>
          <w:color w:val="auto"/>
          <w:sz w:val="24"/>
          <w:szCs w:val="24"/>
        </w:rPr>
      </w:pPr>
    </w:p>
    <w:p>
      <w:pPr>
        <w:widowControl w:val="0"/>
        <w:ind w:firstLine="482"/>
        <w:jc w:val="center"/>
        <w:rPr>
          <w:rFonts w:ascii="Times New Roman" w:hAnsi="Times New Roman" w:eastAsia="宋体" w:cs="Times New Roman"/>
          <w:b/>
          <w:color w:val="auto"/>
          <w:sz w:val="28"/>
          <w:szCs w:val="24"/>
        </w:rPr>
      </w:pPr>
      <w:r>
        <w:rPr>
          <w:rFonts w:hint="eastAsia" w:ascii="宋体" w:hAnsi="宋体" w:eastAsia="宋体" w:cs="宋体"/>
          <w:b/>
          <w:color w:val="auto"/>
          <w:sz w:val="24"/>
          <w:szCs w:val="24"/>
        </w:rPr>
        <w:t>初步审查表</w:t>
      </w:r>
    </w:p>
    <w:tbl>
      <w:tblPr>
        <w:tblStyle w:val="24"/>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39"/>
        <w:gridCol w:w="3173"/>
        <w:gridCol w:w="2910"/>
        <w:gridCol w:w="150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7" w:hRule="atLeast"/>
          <w:jc w:val="center"/>
        </w:trPr>
        <w:tc>
          <w:tcPr>
            <w:tcW w:w="639" w:type="dxa"/>
            <w:vAlign w:val="bottom"/>
          </w:tcPr>
          <w:p>
            <w:pPr>
              <w:widowControl w:val="0"/>
              <w:ind w:firstLine="0" w:firstLineChars="0"/>
              <w:jc w:val="right"/>
              <w:rPr>
                <w:rFonts w:ascii="宋体" w:hAnsi="宋体" w:eastAsia="宋体" w:cs="Times New Roman"/>
                <w:color w:val="auto"/>
                <w:sz w:val="21"/>
                <w:szCs w:val="21"/>
              </w:rPr>
            </w:pPr>
            <w:r>
              <w:rPr>
                <w:rFonts w:ascii="宋体" w:hAnsi="宋体" w:eastAsia="宋体" w:cs="Times New Roman"/>
                <w:color w:val="auto"/>
                <w:sz w:val="21"/>
                <w:szCs w:val="21"/>
              </w:rPr>
              <w:t>序号</w:t>
            </w:r>
          </w:p>
        </w:tc>
        <w:tc>
          <w:tcPr>
            <w:tcW w:w="3173" w:type="dxa"/>
            <w:vAlign w:val="center"/>
          </w:tcPr>
          <w:p>
            <w:pPr>
              <w:widowControl w:val="0"/>
              <w:ind w:firstLine="0" w:firstLineChars="0"/>
              <w:jc w:val="center"/>
              <w:rPr>
                <w:rFonts w:ascii="宋体" w:hAnsi="宋体" w:eastAsia="宋体" w:cs="Times New Roman"/>
                <w:color w:val="auto"/>
                <w:sz w:val="21"/>
                <w:szCs w:val="21"/>
              </w:rPr>
            </w:pPr>
            <w:r>
              <w:rPr>
                <w:rFonts w:hint="eastAsia" w:ascii="宋体" w:hAnsi="宋体" w:eastAsia="宋体" w:cs="Times New Roman"/>
                <w:color w:val="auto"/>
                <w:sz w:val="21"/>
                <w:szCs w:val="21"/>
              </w:rPr>
              <w:t>评审</w:t>
            </w:r>
            <w:r>
              <w:rPr>
                <w:rFonts w:ascii="宋体" w:hAnsi="宋体" w:eastAsia="宋体" w:cs="Times New Roman"/>
                <w:color w:val="auto"/>
                <w:sz w:val="21"/>
                <w:szCs w:val="21"/>
              </w:rPr>
              <w:t>内容</w:t>
            </w:r>
          </w:p>
        </w:tc>
        <w:tc>
          <w:tcPr>
            <w:tcW w:w="2910" w:type="dxa"/>
            <w:vAlign w:val="center"/>
          </w:tcPr>
          <w:p>
            <w:pPr>
              <w:widowControl w:val="0"/>
              <w:ind w:firstLine="0" w:firstLineChars="0"/>
              <w:jc w:val="center"/>
              <w:rPr>
                <w:rFonts w:ascii="宋体" w:hAnsi="宋体" w:eastAsia="宋体" w:cs="Times New Roman"/>
                <w:color w:val="auto"/>
                <w:sz w:val="21"/>
                <w:szCs w:val="21"/>
              </w:rPr>
            </w:pPr>
            <w:r>
              <w:rPr>
                <w:rFonts w:hint="eastAsia" w:ascii="宋体" w:hAnsi="宋体" w:eastAsia="宋体" w:cs="Times New Roman"/>
                <w:color w:val="auto"/>
                <w:sz w:val="21"/>
                <w:szCs w:val="21"/>
              </w:rPr>
              <w:t>评审合格标准</w:t>
            </w:r>
          </w:p>
        </w:tc>
        <w:tc>
          <w:tcPr>
            <w:tcW w:w="1505" w:type="dxa"/>
            <w:vAlign w:val="center"/>
          </w:tcPr>
          <w:p>
            <w:pPr>
              <w:widowControl w:val="0"/>
              <w:ind w:firstLine="0" w:firstLineChars="0"/>
              <w:jc w:val="center"/>
              <w:rPr>
                <w:rFonts w:ascii="宋体" w:hAnsi="宋体" w:eastAsia="宋体" w:cs="Times New Roman"/>
                <w:color w:val="auto"/>
                <w:sz w:val="21"/>
                <w:szCs w:val="21"/>
              </w:rPr>
            </w:pPr>
            <w:r>
              <w:rPr>
                <w:rFonts w:hint="eastAsia" w:ascii="宋体" w:hAnsi="宋体" w:eastAsia="宋体" w:cs="Times New Roman"/>
                <w:color w:val="auto"/>
                <w:sz w:val="21"/>
                <w:szCs w:val="21"/>
              </w:rPr>
              <w:t>是否合格</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29" w:hRule="atLeast"/>
          <w:jc w:val="center"/>
        </w:trPr>
        <w:tc>
          <w:tcPr>
            <w:tcW w:w="639" w:type="dxa"/>
            <w:vAlign w:val="center"/>
          </w:tcPr>
          <w:p>
            <w:pPr>
              <w:widowControl w:val="0"/>
              <w:tabs>
                <w:tab w:val="left" w:pos="315"/>
                <w:tab w:val="left" w:pos="1785"/>
                <w:tab w:val="left" w:pos="2310"/>
                <w:tab w:val="left" w:pos="8640"/>
              </w:tabs>
              <w:ind w:firstLine="0" w:firstLineChars="0"/>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3173" w:type="dxa"/>
            <w:vAlign w:val="center"/>
          </w:tcPr>
          <w:p>
            <w:pPr>
              <w:widowControl w:val="0"/>
              <w:tabs>
                <w:tab w:val="left" w:pos="315"/>
                <w:tab w:val="left" w:pos="1785"/>
                <w:tab w:val="left" w:pos="2310"/>
                <w:tab w:val="left" w:pos="8640"/>
              </w:tabs>
              <w:ind w:firstLine="0" w:firstLineChars="0"/>
              <w:jc w:val="center"/>
              <w:rPr>
                <w:rFonts w:ascii="宋体" w:hAnsi="宋体" w:eastAsia="宋体" w:cs="Times New Roman"/>
                <w:color w:val="auto"/>
                <w:sz w:val="21"/>
                <w:szCs w:val="21"/>
              </w:rPr>
            </w:pPr>
            <w:r>
              <w:rPr>
                <w:rFonts w:hint="eastAsia" w:ascii="宋体" w:hAnsi="宋体" w:eastAsia="宋体" w:cs="Times New Roman"/>
                <w:color w:val="auto"/>
                <w:sz w:val="21"/>
                <w:szCs w:val="21"/>
              </w:rPr>
              <w:t>响应文件有效性</w:t>
            </w:r>
          </w:p>
        </w:tc>
        <w:tc>
          <w:tcPr>
            <w:tcW w:w="2910" w:type="dxa"/>
          </w:tcPr>
          <w:p>
            <w:pPr>
              <w:widowControl w:val="0"/>
              <w:tabs>
                <w:tab w:val="left" w:pos="315"/>
                <w:tab w:val="left" w:pos="1785"/>
                <w:tab w:val="left" w:pos="2310"/>
                <w:tab w:val="left" w:pos="8640"/>
              </w:tabs>
              <w:ind w:firstLine="0" w:firstLineChars="0"/>
              <w:rPr>
                <w:rFonts w:ascii="宋体" w:hAnsi="宋体" w:eastAsia="宋体" w:cs="Times New Roman"/>
                <w:color w:val="auto"/>
                <w:sz w:val="21"/>
                <w:szCs w:val="21"/>
              </w:rPr>
            </w:pPr>
            <w:r>
              <w:rPr>
                <w:rFonts w:hint="eastAsia" w:ascii="宋体" w:hAnsi="宋体" w:eastAsia="宋体" w:cs="Times New Roman"/>
                <w:color w:val="auto"/>
                <w:sz w:val="21"/>
                <w:szCs w:val="21"/>
              </w:rPr>
              <w:t>响应文件齐全、格式符合采购文件要求，盖公章、签字有效。</w:t>
            </w:r>
          </w:p>
        </w:tc>
        <w:tc>
          <w:tcPr>
            <w:tcW w:w="1505" w:type="dxa"/>
            <w:vAlign w:val="center"/>
          </w:tcPr>
          <w:p>
            <w:pPr>
              <w:widowControl w:val="0"/>
              <w:ind w:firstLine="0" w:firstLineChars="0"/>
              <w:rPr>
                <w:rFonts w:ascii="宋体" w:hAnsi="宋体" w:eastAsia="宋体" w:cs="Times New Roman"/>
                <w:color w:val="auto"/>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1" w:hRule="atLeast"/>
          <w:jc w:val="center"/>
        </w:trPr>
        <w:tc>
          <w:tcPr>
            <w:tcW w:w="639" w:type="dxa"/>
            <w:vAlign w:val="center"/>
          </w:tcPr>
          <w:p>
            <w:pPr>
              <w:widowControl w:val="0"/>
              <w:ind w:firstLine="0" w:firstLineChars="0"/>
              <w:jc w:val="center"/>
              <w:rPr>
                <w:rFonts w:ascii="宋体" w:hAnsi="宋体" w:eastAsia="宋体" w:cs="Times New Roman"/>
                <w:color w:val="auto"/>
                <w:sz w:val="21"/>
                <w:szCs w:val="21"/>
              </w:rPr>
            </w:pPr>
            <w:r>
              <w:rPr>
                <w:rFonts w:hint="eastAsia" w:ascii="宋体" w:hAnsi="宋体" w:eastAsia="宋体" w:cs="Times New Roman"/>
                <w:color w:val="auto"/>
                <w:sz w:val="21"/>
                <w:szCs w:val="21"/>
              </w:rPr>
              <w:t>2</w:t>
            </w:r>
          </w:p>
        </w:tc>
        <w:tc>
          <w:tcPr>
            <w:tcW w:w="3173" w:type="dxa"/>
            <w:vAlign w:val="center"/>
          </w:tcPr>
          <w:p>
            <w:pPr>
              <w:widowControl w:val="0"/>
              <w:ind w:firstLine="0" w:firstLineChars="0"/>
              <w:jc w:val="center"/>
              <w:rPr>
                <w:rFonts w:ascii="宋体" w:hAnsi="宋体" w:eastAsia="宋体" w:cs="Times New Roman"/>
                <w:color w:val="auto"/>
                <w:sz w:val="21"/>
                <w:szCs w:val="21"/>
              </w:rPr>
            </w:pPr>
            <w:r>
              <w:rPr>
                <w:rFonts w:hint="eastAsia" w:ascii="宋体" w:hAnsi="宋体" w:eastAsia="宋体" w:cs="Times New Roman"/>
                <w:color w:val="auto"/>
                <w:sz w:val="21"/>
                <w:szCs w:val="21"/>
              </w:rPr>
              <w:t>报价</w:t>
            </w:r>
          </w:p>
        </w:tc>
        <w:tc>
          <w:tcPr>
            <w:tcW w:w="2910" w:type="dxa"/>
          </w:tcPr>
          <w:p>
            <w:pPr>
              <w:widowControl w:val="0"/>
              <w:tabs>
                <w:tab w:val="left" w:pos="315"/>
                <w:tab w:val="left" w:pos="1785"/>
                <w:tab w:val="left" w:pos="2310"/>
                <w:tab w:val="left" w:pos="8640"/>
              </w:tabs>
              <w:ind w:firstLine="0" w:firstLineChars="0"/>
              <w:rPr>
                <w:rFonts w:ascii="宋体" w:hAnsi="宋体" w:eastAsia="宋体" w:cs="Times New Roman"/>
                <w:color w:val="auto"/>
                <w:sz w:val="21"/>
                <w:szCs w:val="21"/>
              </w:rPr>
            </w:pPr>
            <w:r>
              <w:rPr>
                <w:rFonts w:hint="eastAsia" w:ascii="宋体" w:hAnsi="宋体" w:eastAsia="宋体" w:cs="Times New Roman"/>
                <w:color w:val="auto"/>
                <w:sz w:val="21"/>
                <w:szCs w:val="21"/>
              </w:rPr>
              <w:t>报价价格是固定价且未超过本项目最高限价。</w:t>
            </w:r>
          </w:p>
        </w:tc>
        <w:tc>
          <w:tcPr>
            <w:tcW w:w="1505" w:type="dxa"/>
            <w:vAlign w:val="center"/>
          </w:tcPr>
          <w:p>
            <w:pPr>
              <w:widowControl w:val="0"/>
              <w:ind w:firstLine="0" w:firstLineChars="0"/>
              <w:rPr>
                <w:rFonts w:ascii="宋体" w:hAnsi="宋体" w:eastAsia="宋体" w:cs="Times New Roman"/>
                <w:color w:val="auto"/>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639" w:type="dxa"/>
            <w:vAlign w:val="center"/>
          </w:tcPr>
          <w:p>
            <w:pPr>
              <w:widowControl w:val="0"/>
              <w:ind w:firstLine="0" w:firstLineChars="0"/>
              <w:jc w:val="center"/>
              <w:rPr>
                <w:rFonts w:ascii="宋体" w:hAnsi="宋体" w:eastAsia="宋体" w:cs="Times New Roman"/>
                <w:color w:val="auto"/>
                <w:sz w:val="21"/>
                <w:szCs w:val="21"/>
              </w:rPr>
            </w:pPr>
            <w:r>
              <w:rPr>
                <w:rFonts w:hint="eastAsia" w:ascii="宋体" w:hAnsi="宋体" w:eastAsia="宋体" w:cs="Times New Roman"/>
                <w:color w:val="auto"/>
                <w:sz w:val="21"/>
                <w:szCs w:val="21"/>
              </w:rPr>
              <w:t>3</w:t>
            </w:r>
          </w:p>
        </w:tc>
        <w:tc>
          <w:tcPr>
            <w:tcW w:w="3173" w:type="dxa"/>
            <w:vAlign w:val="center"/>
          </w:tcPr>
          <w:p>
            <w:pPr>
              <w:widowControl w:val="0"/>
              <w:ind w:firstLine="0" w:firstLineChars="0"/>
              <w:jc w:val="center"/>
              <w:rPr>
                <w:rFonts w:ascii="宋体" w:hAnsi="宋体" w:eastAsia="宋体" w:cs="Times New Roman"/>
                <w:color w:val="auto"/>
                <w:sz w:val="21"/>
                <w:szCs w:val="21"/>
              </w:rPr>
            </w:pPr>
            <w:r>
              <w:rPr>
                <w:rFonts w:hint="eastAsia" w:ascii="宋体" w:hAnsi="宋体" w:eastAsia="宋体" w:cs="Times New Roman"/>
                <w:color w:val="auto"/>
                <w:sz w:val="21"/>
                <w:szCs w:val="21"/>
              </w:rPr>
              <w:t>响应文件有效期</w:t>
            </w:r>
          </w:p>
        </w:tc>
        <w:tc>
          <w:tcPr>
            <w:tcW w:w="2910" w:type="dxa"/>
          </w:tcPr>
          <w:p>
            <w:pPr>
              <w:widowControl w:val="0"/>
              <w:ind w:firstLine="0" w:firstLineChars="0"/>
              <w:rPr>
                <w:rFonts w:ascii="宋体" w:hAnsi="宋体" w:eastAsia="宋体" w:cs="Times New Roman"/>
                <w:color w:val="auto"/>
                <w:sz w:val="21"/>
                <w:szCs w:val="21"/>
              </w:rPr>
            </w:pPr>
            <w:r>
              <w:rPr>
                <w:rFonts w:hint="eastAsia" w:ascii="宋体" w:hAnsi="宋体" w:eastAsia="宋体" w:cs="Times New Roman"/>
                <w:color w:val="auto"/>
                <w:sz w:val="21"/>
                <w:szCs w:val="21"/>
              </w:rPr>
              <w:t>响应文件截止日起90天内有效。</w:t>
            </w:r>
          </w:p>
        </w:tc>
        <w:tc>
          <w:tcPr>
            <w:tcW w:w="1505" w:type="dxa"/>
            <w:vAlign w:val="center"/>
          </w:tcPr>
          <w:p>
            <w:pPr>
              <w:widowControl w:val="0"/>
              <w:ind w:firstLine="0" w:firstLineChars="0"/>
              <w:rPr>
                <w:rFonts w:ascii="宋体" w:hAnsi="宋体" w:eastAsia="宋体" w:cs="Times New Roman"/>
                <w:color w:val="auto"/>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639" w:type="dxa"/>
            <w:vAlign w:val="center"/>
          </w:tcPr>
          <w:p>
            <w:pPr>
              <w:widowControl w:val="0"/>
              <w:ind w:firstLine="0" w:firstLineChars="0"/>
              <w:jc w:val="center"/>
              <w:rPr>
                <w:rFonts w:ascii="宋体" w:hAnsi="宋体" w:eastAsia="宋体" w:cs="Times New Roman"/>
                <w:color w:val="auto"/>
                <w:sz w:val="21"/>
                <w:szCs w:val="21"/>
              </w:rPr>
            </w:pPr>
            <w:r>
              <w:rPr>
                <w:rFonts w:hint="eastAsia" w:ascii="宋体" w:hAnsi="宋体" w:eastAsia="宋体" w:cs="Times New Roman"/>
                <w:color w:val="auto"/>
                <w:sz w:val="21"/>
                <w:szCs w:val="21"/>
              </w:rPr>
              <w:t>4</w:t>
            </w:r>
          </w:p>
        </w:tc>
        <w:tc>
          <w:tcPr>
            <w:tcW w:w="3173" w:type="dxa"/>
            <w:vAlign w:val="center"/>
          </w:tcPr>
          <w:p>
            <w:pPr>
              <w:widowControl w:val="0"/>
              <w:ind w:firstLine="0" w:firstLineChars="0"/>
              <w:jc w:val="center"/>
              <w:rPr>
                <w:rFonts w:ascii="宋体" w:hAnsi="宋体" w:eastAsia="宋体" w:cs="Times New Roman"/>
                <w:color w:val="auto"/>
                <w:sz w:val="21"/>
                <w:szCs w:val="21"/>
              </w:rPr>
            </w:pPr>
            <w:r>
              <w:rPr>
                <w:rFonts w:hint="eastAsia" w:ascii="宋体" w:hAnsi="宋体" w:eastAsia="宋体" w:cs="Times New Roman"/>
                <w:color w:val="auto"/>
                <w:sz w:val="21"/>
                <w:szCs w:val="21"/>
              </w:rPr>
              <w:t>法定代表人身份证明书、授权委托书、委托人及受托人身份证复印件</w:t>
            </w:r>
          </w:p>
        </w:tc>
        <w:tc>
          <w:tcPr>
            <w:tcW w:w="2910" w:type="dxa"/>
          </w:tcPr>
          <w:p>
            <w:pPr>
              <w:widowControl w:val="0"/>
              <w:tabs>
                <w:tab w:val="left" w:pos="0"/>
                <w:tab w:val="left" w:pos="1785"/>
                <w:tab w:val="left" w:pos="2310"/>
                <w:tab w:val="left" w:pos="8640"/>
              </w:tabs>
              <w:ind w:firstLine="0" w:firstLineChars="0"/>
              <w:rPr>
                <w:rFonts w:ascii="宋体" w:hAnsi="宋体" w:eastAsia="宋体" w:cs="Times New Roman"/>
                <w:color w:val="auto"/>
                <w:sz w:val="21"/>
                <w:szCs w:val="21"/>
              </w:rPr>
            </w:pPr>
            <w:r>
              <w:rPr>
                <w:rFonts w:hint="eastAsia" w:ascii="宋体" w:hAnsi="宋体" w:eastAsia="宋体" w:cs="Times New Roman"/>
                <w:color w:val="auto"/>
                <w:sz w:val="21"/>
                <w:szCs w:val="21"/>
              </w:rPr>
              <w:t>盖公章、签字有效</w:t>
            </w:r>
          </w:p>
        </w:tc>
        <w:tc>
          <w:tcPr>
            <w:tcW w:w="1505" w:type="dxa"/>
            <w:vAlign w:val="center"/>
          </w:tcPr>
          <w:p>
            <w:pPr>
              <w:widowControl w:val="0"/>
              <w:ind w:firstLine="0" w:firstLineChars="0"/>
              <w:rPr>
                <w:rFonts w:ascii="宋体" w:hAnsi="宋体" w:eastAsia="宋体" w:cs="Times New Roman"/>
                <w:color w:val="auto"/>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639" w:type="dxa"/>
            <w:vAlign w:val="center"/>
          </w:tcPr>
          <w:p>
            <w:pPr>
              <w:widowControl w:val="0"/>
              <w:ind w:firstLine="0" w:firstLineChars="0"/>
              <w:jc w:val="center"/>
              <w:rPr>
                <w:rFonts w:ascii="宋体" w:hAnsi="宋体" w:eastAsia="宋体" w:cs="Times New Roman"/>
                <w:color w:val="auto"/>
                <w:sz w:val="21"/>
                <w:szCs w:val="21"/>
              </w:rPr>
            </w:pPr>
            <w:r>
              <w:rPr>
                <w:rFonts w:hint="eastAsia" w:ascii="宋体" w:hAnsi="宋体" w:eastAsia="宋体" w:cs="Times New Roman"/>
                <w:color w:val="auto"/>
                <w:sz w:val="21"/>
                <w:szCs w:val="21"/>
              </w:rPr>
              <w:t>5</w:t>
            </w:r>
          </w:p>
        </w:tc>
        <w:tc>
          <w:tcPr>
            <w:tcW w:w="3173" w:type="dxa"/>
            <w:vAlign w:val="center"/>
          </w:tcPr>
          <w:p>
            <w:pPr>
              <w:widowControl w:val="0"/>
              <w:ind w:firstLine="0" w:firstLineChars="0"/>
              <w:jc w:val="center"/>
              <w:rPr>
                <w:rFonts w:ascii="宋体" w:hAnsi="宋体" w:eastAsia="宋体" w:cs="Times New Roman"/>
                <w:color w:val="auto"/>
                <w:sz w:val="21"/>
                <w:szCs w:val="21"/>
              </w:rPr>
            </w:pPr>
            <w:r>
              <w:rPr>
                <w:rFonts w:hint="eastAsia" w:ascii="宋体" w:hAnsi="宋体" w:eastAsia="宋体" w:cs="Times New Roman"/>
                <w:color w:val="auto"/>
                <w:sz w:val="21"/>
                <w:szCs w:val="21"/>
              </w:rPr>
              <w:t>资格审查</w:t>
            </w:r>
          </w:p>
        </w:tc>
        <w:tc>
          <w:tcPr>
            <w:tcW w:w="2910" w:type="dxa"/>
          </w:tcPr>
          <w:p>
            <w:pPr>
              <w:widowControl w:val="0"/>
              <w:tabs>
                <w:tab w:val="left" w:pos="0"/>
                <w:tab w:val="left" w:pos="1785"/>
                <w:tab w:val="left" w:pos="2310"/>
                <w:tab w:val="left" w:pos="8640"/>
              </w:tabs>
              <w:ind w:firstLine="0" w:firstLineChars="0"/>
              <w:rPr>
                <w:rFonts w:ascii="宋体" w:hAnsi="宋体" w:eastAsia="宋体" w:cs="Times New Roman"/>
                <w:color w:val="auto"/>
                <w:sz w:val="21"/>
                <w:szCs w:val="21"/>
              </w:rPr>
            </w:pPr>
            <w:r>
              <w:rPr>
                <w:rFonts w:hint="eastAsia" w:ascii="宋体" w:hAnsi="宋体" w:eastAsia="宋体" w:cs="Times New Roman"/>
                <w:color w:val="auto"/>
                <w:sz w:val="21"/>
                <w:szCs w:val="21"/>
              </w:rPr>
              <w:t>按采购文件的要求提交资格证明材料并符合要求。</w:t>
            </w:r>
          </w:p>
        </w:tc>
        <w:tc>
          <w:tcPr>
            <w:tcW w:w="1505" w:type="dxa"/>
            <w:vAlign w:val="center"/>
          </w:tcPr>
          <w:p>
            <w:pPr>
              <w:widowControl w:val="0"/>
              <w:ind w:firstLine="0" w:firstLineChars="0"/>
              <w:rPr>
                <w:rFonts w:ascii="宋体" w:hAnsi="宋体" w:eastAsia="宋体" w:cs="Times New Roman"/>
                <w:color w:val="auto"/>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9" w:hRule="atLeast"/>
          <w:jc w:val="center"/>
        </w:trPr>
        <w:tc>
          <w:tcPr>
            <w:tcW w:w="639" w:type="dxa"/>
            <w:vAlign w:val="center"/>
          </w:tcPr>
          <w:p>
            <w:pPr>
              <w:widowControl w:val="0"/>
              <w:ind w:firstLine="0" w:firstLineChars="0"/>
              <w:jc w:val="center"/>
              <w:rPr>
                <w:rFonts w:ascii="宋体" w:hAnsi="宋体" w:eastAsia="宋体" w:cs="Times New Roman"/>
                <w:color w:val="auto"/>
                <w:sz w:val="21"/>
                <w:szCs w:val="21"/>
              </w:rPr>
            </w:pPr>
            <w:r>
              <w:rPr>
                <w:rFonts w:hint="eastAsia" w:ascii="宋体" w:hAnsi="宋体" w:eastAsia="宋体" w:cs="Times New Roman"/>
                <w:color w:val="auto"/>
                <w:sz w:val="21"/>
                <w:szCs w:val="21"/>
              </w:rPr>
              <w:t>6</w:t>
            </w:r>
          </w:p>
        </w:tc>
        <w:tc>
          <w:tcPr>
            <w:tcW w:w="3173" w:type="dxa"/>
            <w:vAlign w:val="center"/>
          </w:tcPr>
          <w:p>
            <w:pPr>
              <w:widowControl w:val="0"/>
              <w:ind w:firstLine="0" w:firstLineChars="0"/>
              <w:jc w:val="center"/>
              <w:rPr>
                <w:rFonts w:ascii="宋体" w:hAnsi="宋体" w:eastAsia="宋体" w:cs="Times New Roman"/>
                <w:color w:val="auto"/>
                <w:sz w:val="21"/>
                <w:szCs w:val="21"/>
              </w:rPr>
            </w:pPr>
            <w:r>
              <w:rPr>
                <w:rFonts w:hint="eastAsia" w:ascii="宋体" w:hAnsi="宋体" w:eastAsia="宋体" w:cs="Times New Roman"/>
                <w:color w:val="auto"/>
                <w:sz w:val="21"/>
                <w:szCs w:val="21"/>
              </w:rPr>
              <w:t>其他</w:t>
            </w:r>
          </w:p>
        </w:tc>
        <w:tc>
          <w:tcPr>
            <w:tcW w:w="2910" w:type="dxa"/>
          </w:tcPr>
          <w:p>
            <w:pPr>
              <w:widowControl w:val="0"/>
              <w:tabs>
                <w:tab w:val="left" w:pos="315"/>
                <w:tab w:val="left" w:pos="1785"/>
                <w:tab w:val="left" w:pos="2310"/>
                <w:tab w:val="left" w:pos="8640"/>
              </w:tabs>
              <w:ind w:firstLine="0" w:firstLineChars="0"/>
              <w:rPr>
                <w:rFonts w:ascii="宋体" w:hAnsi="宋体" w:eastAsia="宋体" w:cs="Times New Roman"/>
                <w:color w:val="auto"/>
                <w:sz w:val="21"/>
                <w:szCs w:val="21"/>
              </w:rPr>
            </w:pPr>
            <w:r>
              <w:rPr>
                <w:rFonts w:hint="eastAsia" w:ascii="宋体" w:hAnsi="宋体" w:eastAsia="宋体" w:cs="Times New Roman"/>
                <w:color w:val="auto"/>
                <w:sz w:val="21"/>
                <w:szCs w:val="21"/>
              </w:rPr>
              <w:t>不存在采购文件及相关法律法规规定的废标情形的。</w:t>
            </w:r>
          </w:p>
        </w:tc>
        <w:tc>
          <w:tcPr>
            <w:tcW w:w="1505" w:type="dxa"/>
            <w:vAlign w:val="center"/>
          </w:tcPr>
          <w:p>
            <w:pPr>
              <w:widowControl w:val="0"/>
              <w:ind w:firstLine="0" w:firstLineChars="0"/>
              <w:rPr>
                <w:rFonts w:ascii="宋体" w:hAnsi="宋体" w:eastAsia="宋体" w:cs="Times New Roman"/>
                <w:color w:val="auto"/>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9" w:hRule="atLeast"/>
          <w:jc w:val="center"/>
        </w:trPr>
        <w:tc>
          <w:tcPr>
            <w:tcW w:w="639" w:type="dxa"/>
            <w:vAlign w:val="bottom"/>
          </w:tcPr>
          <w:p>
            <w:pPr>
              <w:widowControl w:val="0"/>
              <w:ind w:firstLine="0" w:firstLineChars="0"/>
              <w:jc w:val="right"/>
              <w:rPr>
                <w:rFonts w:ascii="宋体" w:hAnsi="宋体" w:eastAsia="宋体" w:cs="Times New Roman"/>
                <w:color w:val="auto"/>
                <w:sz w:val="21"/>
                <w:szCs w:val="21"/>
              </w:rPr>
            </w:pPr>
            <w:r>
              <w:rPr>
                <w:rFonts w:ascii="宋体" w:hAnsi="宋体" w:eastAsia="宋体" w:cs="Times New Roman"/>
                <w:color w:val="auto"/>
                <w:sz w:val="21"/>
                <w:szCs w:val="21"/>
              </w:rPr>
              <w:t>结论</w:t>
            </w:r>
          </w:p>
        </w:tc>
        <w:tc>
          <w:tcPr>
            <w:tcW w:w="3173" w:type="dxa"/>
            <w:vAlign w:val="center"/>
          </w:tcPr>
          <w:p>
            <w:pPr>
              <w:widowControl w:val="0"/>
              <w:ind w:firstLine="0" w:firstLineChars="0"/>
              <w:jc w:val="center"/>
              <w:rPr>
                <w:rFonts w:ascii="宋体" w:hAnsi="宋体" w:eastAsia="宋体" w:cs="Times New Roman"/>
                <w:color w:val="auto"/>
                <w:sz w:val="21"/>
                <w:szCs w:val="21"/>
              </w:rPr>
            </w:pPr>
          </w:p>
        </w:tc>
        <w:tc>
          <w:tcPr>
            <w:tcW w:w="2910" w:type="dxa"/>
            <w:vAlign w:val="center"/>
          </w:tcPr>
          <w:p>
            <w:pPr>
              <w:widowControl w:val="0"/>
              <w:ind w:firstLine="0" w:firstLineChars="0"/>
              <w:jc w:val="center"/>
              <w:rPr>
                <w:rFonts w:ascii="宋体" w:hAnsi="宋体" w:eastAsia="宋体" w:cs="Times New Roman"/>
                <w:color w:val="auto"/>
                <w:sz w:val="21"/>
                <w:szCs w:val="21"/>
              </w:rPr>
            </w:pPr>
          </w:p>
        </w:tc>
        <w:tc>
          <w:tcPr>
            <w:tcW w:w="1505" w:type="dxa"/>
            <w:vAlign w:val="center"/>
          </w:tcPr>
          <w:p>
            <w:pPr>
              <w:widowControl w:val="0"/>
              <w:ind w:firstLine="0" w:firstLineChars="0"/>
              <w:rPr>
                <w:rFonts w:ascii="宋体" w:hAnsi="宋体" w:eastAsia="宋体" w:cs="Times New Roman"/>
                <w:color w:val="auto"/>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3" w:hRule="atLeast"/>
          <w:jc w:val="center"/>
        </w:trPr>
        <w:tc>
          <w:tcPr>
            <w:tcW w:w="6722" w:type="dxa"/>
            <w:gridSpan w:val="3"/>
            <w:vAlign w:val="center"/>
          </w:tcPr>
          <w:p>
            <w:pPr>
              <w:widowControl w:val="0"/>
              <w:ind w:firstLine="0" w:firstLineChars="0"/>
              <w:jc w:val="center"/>
              <w:rPr>
                <w:rFonts w:ascii="宋体" w:hAnsi="宋体" w:eastAsia="宋体" w:cs="Times New Roman"/>
                <w:color w:val="auto"/>
                <w:sz w:val="21"/>
                <w:szCs w:val="21"/>
              </w:rPr>
            </w:pPr>
          </w:p>
        </w:tc>
        <w:tc>
          <w:tcPr>
            <w:tcW w:w="1505" w:type="dxa"/>
            <w:vAlign w:val="center"/>
          </w:tcPr>
          <w:p>
            <w:pPr>
              <w:widowControl w:val="0"/>
              <w:ind w:firstLine="0" w:firstLineChars="0"/>
              <w:rPr>
                <w:rFonts w:ascii="宋体" w:hAnsi="宋体" w:eastAsia="宋体" w:cs="Times New Roman"/>
                <w:color w:val="auto"/>
                <w:sz w:val="21"/>
                <w:szCs w:val="21"/>
              </w:rPr>
            </w:pPr>
          </w:p>
        </w:tc>
      </w:tr>
    </w:tbl>
    <w:p>
      <w:pPr>
        <w:widowControl w:val="0"/>
        <w:ind w:firstLine="420"/>
        <w:rPr>
          <w:rFonts w:ascii="宋体" w:hAnsi="宋体" w:eastAsia="宋体" w:cs="Times New Roman"/>
          <w:color w:val="auto"/>
          <w:sz w:val="21"/>
          <w:szCs w:val="21"/>
        </w:rPr>
      </w:pPr>
    </w:p>
    <w:p>
      <w:pPr>
        <w:widowControl w:val="0"/>
        <w:ind w:firstLine="482"/>
        <w:rPr>
          <w:rFonts w:ascii="宋体" w:hAnsi="宋体" w:eastAsia="宋体" w:cs="Times New Roman"/>
          <w:b/>
          <w:bCs/>
          <w:color w:val="auto"/>
          <w:sz w:val="24"/>
          <w:szCs w:val="24"/>
        </w:rPr>
      </w:pPr>
    </w:p>
    <w:p>
      <w:pPr>
        <w:widowControl w:val="0"/>
        <w:ind w:firstLine="482"/>
        <w:rPr>
          <w:rFonts w:ascii="宋体" w:hAnsi="宋体" w:eastAsia="宋体" w:cs="Times New Roman"/>
          <w:b/>
          <w:bCs/>
          <w:color w:val="auto"/>
          <w:sz w:val="24"/>
          <w:szCs w:val="24"/>
        </w:rPr>
      </w:pPr>
    </w:p>
    <w:p>
      <w:pPr>
        <w:widowControl w:val="0"/>
        <w:ind w:firstLine="482"/>
        <w:rPr>
          <w:rFonts w:ascii="宋体" w:hAnsi="宋体" w:eastAsia="宋体" w:cs="Times New Roman"/>
          <w:b/>
          <w:bCs/>
          <w:color w:val="auto"/>
          <w:sz w:val="24"/>
          <w:szCs w:val="24"/>
        </w:rPr>
      </w:pPr>
    </w:p>
    <w:p>
      <w:pPr>
        <w:widowControl w:val="0"/>
        <w:ind w:firstLine="482"/>
        <w:rPr>
          <w:rFonts w:ascii="宋体" w:hAnsi="宋体" w:eastAsia="宋体" w:cs="Times New Roman"/>
          <w:b/>
          <w:bCs/>
          <w:color w:val="auto"/>
          <w:sz w:val="24"/>
          <w:szCs w:val="24"/>
        </w:rPr>
      </w:pPr>
    </w:p>
    <w:p>
      <w:pPr>
        <w:widowControl w:val="0"/>
        <w:ind w:firstLine="482"/>
        <w:rPr>
          <w:rFonts w:ascii="宋体" w:hAnsi="宋体" w:eastAsia="宋体" w:cs="Times New Roman"/>
          <w:b/>
          <w:bCs/>
          <w:color w:val="auto"/>
          <w:sz w:val="24"/>
          <w:szCs w:val="24"/>
        </w:rPr>
      </w:pPr>
    </w:p>
    <w:p>
      <w:pPr>
        <w:widowControl w:val="0"/>
        <w:ind w:firstLine="482"/>
        <w:rPr>
          <w:rFonts w:ascii="宋体" w:hAnsi="宋体" w:eastAsia="宋体" w:cs="Times New Roman"/>
          <w:b/>
          <w:bCs/>
          <w:color w:val="auto"/>
          <w:sz w:val="24"/>
          <w:szCs w:val="24"/>
        </w:rPr>
      </w:pPr>
    </w:p>
    <w:p>
      <w:pPr>
        <w:widowControl w:val="0"/>
        <w:ind w:firstLine="482"/>
        <w:rPr>
          <w:rFonts w:ascii="宋体" w:hAnsi="宋体" w:eastAsia="宋体" w:cs="Times New Roman"/>
          <w:b/>
          <w:bCs/>
          <w:color w:val="auto"/>
          <w:sz w:val="24"/>
          <w:szCs w:val="24"/>
        </w:rPr>
      </w:pPr>
    </w:p>
    <w:p>
      <w:pPr>
        <w:widowControl w:val="0"/>
        <w:ind w:firstLine="482"/>
        <w:rPr>
          <w:rFonts w:ascii="宋体" w:hAnsi="宋体" w:eastAsia="宋体" w:cs="Times New Roman"/>
          <w:b/>
          <w:bCs/>
          <w:color w:val="auto"/>
          <w:sz w:val="24"/>
          <w:szCs w:val="24"/>
        </w:rPr>
      </w:pPr>
    </w:p>
    <w:p>
      <w:pPr>
        <w:widowControl w:val="0"/>
        <w:ind w:firstLine="482"/>
        <w:rPr>
          <w:rFonts w:ascii="宋体" w:hAnsi="宋体" w:eastAsia="宋体" w:cs="Times New Roman"/>
          <w:b/>
          <w:bCs/>
          <w:color w:val="auto"/>
          <w:sz w:val="24"/>
          <w:szCs w:val="24"/>
        </w:rPr>
      </w:pPr>
    </w:p>
    <w:p>
      <w:pPr>
        <w:widowControl w:val="0"/>
        <w:ind w:firstLine="482"/>
        <w:rPr>
          <w:rFonts w:ascii="宋体" w:hAnsi="宋体" w:eastAsia="宋体" w:cs="Times New Roman"/>
          <w:b/>
          <w:bCs/>
          <w:color w:val="auto"/>
          <w:sz w:val="24"/>
          <w:szCs w:val="24"/>
        </w:rPr>
      </w:pPr>
    </w:p>
    <w:p>
      <w:pPr>
        <w:pStyle w:val="2"/>
        <w:ind w:firstLine="643"/>
        <w:rPr>
          <w:color w:val="auto"/>
        </w:rPr>
      </w:pPr>
    </w:p>
    <w:p>
      <w:pPr>
        <w:widowControl w:val="0"/>
        <w:ind w:firstLine="482"/>
        <w:rPr>
          <w:rFonts w:ascii="宋体" w:hAnsi="宋体" w:eastAsia="宋体" w:cs="Times New Roman"/>
          <w:b/>
          <w:bCs/>
          <w:color w:val="auto"/>
          <w:sz w:val="24"/>
          <w:szCs w:val="24"/>
        </w:rPr>
      </w:pPr>
      <w:r>
        <w:rPr>
          <w:rFonts w:hint="eastAsia" w:ascii="宋体" w:hAnsi="宋体" w:eastAsia="宋体" w:cs="Times New Roman"/>
          <w:b/>
          <w:bCs/>
          <w:color w:val="auto"/>
          <w:sz w:val="24"/>
          <w:szCs w:val="24"/>
        </w:rPr>
        <w:t>附表2</w:t>
      </w:r>
      <w:r>
        <w:rPr>
          <w:rFonts w:ascii="宋体" w:hAnsi="宋体" w:eastAsia="宋体" w:cs="Times New Roman"/>
          <w:b/>
          <w:bCs/>
          <w:color w:val="auto"/>
          <w:sz w:val="24"/>
          <w:szCs w:val="24"/>
        </w:rPr>
        <w:t>:</w:t>
      </w:r>
    </w:p>
    <w:p>
      <w:pPr>
        <w:widowControl w:val="0"/>
        <w:ind w:firstLine="438"/>
        <w:jc w:val="center"/>
        <w:rPr>
          <w:rFonts w:ascii="宋体" w:hAnsi="宋体" w:eastAsia="宋体" w:cs="方正小标宋简体"/>
          <w:b/>
          <w:bCs/>
          <w:color w:val="auto"/>
          <w:spacing w:val="-11"/>
          <w:sz w:val="24"/>
          <w:szCs w:val="24"/>
        </w:rPr>
      </w:pPr>
      <w:bookmarkStart w:id="36" w:name="_Toc18471"/>
      <w:bookmarkStart w:id="37" w:name="_Toc30288"/>
      <w:r>
        <w:rPr>
          <w:rFonts w:ascii="宋体" w:hAnsi="宋体" w:eastAsia="宋体" w:cs="方正小标宋简体"/>
          <w:b/>
          <w:bCs/>
          <w:color w:val="auto"/>
          <w:spacing w:val="-11"/>
          <w:sz w:val="24"/>
          <w:szCs w:val="24"/>
        </w:rPr>
        <w:t>资格审查表</w:t>
      </w:r>
      <w:bookmarkEnd w:id="36"/>
      <w:bookmarkEnd w:id="37"/>
    </w:p>
    <w:tbl>
      <w:tblPr>
        <w:tblStyle w:val="24"/>
        <w:tblW w:w="9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887"/>
        <w:gridCol w:w="4124"/>
        <w:gridCol w:w="1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widowControl w:val="0"/>
              <w:snapToGrid w:val="0"/>
              <w:ind w:firstLine="0" w:firstLineChars="0"/>
              <w:jc w:val="center"/>
              <w:rPr>
                <w:rFonts w:ascii="宋体" w:hAnsi="宋体" w:eastAsia="宋体" w:cs="Times New Roman"/>
                <w:b/>
                <w:color w:val="auto"/>
                <w:sz w:val="21"/>
                <w:szCs w:val="21"/>
              </w:rPr>
            </w:pPr>
            <w:bookmarkStart w:id="38" w:name="_Hlk47298222"/>
            <w:r>
              <w:rPr>
                <w:rFonts w:ascii="宋体" w:hAnsi="宋体" w:eastAsia="宋体" w:cs="Times New Roman"/>
                <w:b/>
                <w:color w:val="auto"/>
                <w:sz w:val="21"/>
                <w:szCs w:val="21"/>
              </w:rPr>
              <w:t>序号</w:t>
            </w:r>
          </w:p>
        </w:tc>
        <w:tc>
          <w:tcPr>
            <w:tcW w:w="2887" w:type="dxa"/>
            <w:vAlign w:val="center"/>
          </w:tcPr>
          <w:p>
            <w:pPr>
              <w:widowControl w:val="0"/>
              <w:snapToGrid w:val="0"/>
              <w:ind w:firstLine="0" w:firstLineChars="0"/>
              <w:jc w:val="center"/>
              <w:rPr>
                <w:rFonts w:ascii="宋体" w:hAnsi="宋体" w:eastAsia="宋体" w:cs="Times New Roman"/>
                <w:b/>
                <w:color w:val="auto"/>
                <w:sz w:val="21"/>
                <w:szCs w:val="21"/>
              </w:rPr>
            </w:pPr>
            <w:r>
              <w:rPr>
                <w:rFonts w:ascii="宋体" w:hAnsi="宋体" w:eastAsia="宋体" w:cs="Times New Roman"/>
                <w:b/>
                <w:color w:val="auto"/>
                <w:sz w:val="21"/>
                <w:szCs w:val="21"/>
              </w:rPr>
              <w:t>评审内容</w:t>
            </w:r>
          </w:p>
        </w:tc>
        <w:tc>
          <w:tcPr>
            <w:tcW w:w="4124" w:type="dxa"/>
            <w:vAlign w:val="center"/>
          </w:tcPr>
          <w:p>
            <w:pPr>
              <w:widowControl w:val="0"/>
              <w:snapToGrid w:val="0"/>
              <w:ind w:firstLine="0" w:firstLineChars="0"/>
              <w:jc w:val="center"/>
              <w:rPr>
                <w:rFonts w:ascii="宋体" w:hAnsi="宋体" w:eastAsia="宋体" w:cs="Times New Roman"/>
                <w:b/>
                <w:color w:val="auto"/>
                <w:sz w:val="21"/>
                <w:szCs w:val="21"/>
              </w:rPr>
            </w:pPr>
            <w:r>
              <w:rPr>
                <w:rFonts w:hint="eastAsia" w:ascii="宋体" w:hAnsi="宋体" w:eastAsia="宋体" w:cs="Times New Roman"/>
                <w:b/>
                <w:color w:val="auto"/>
                <w:sz w:val="21"/>
                <w:szCs w:val="21"/>
              </w:rPr>
              <w:t>评审合格标准</w:t>
            </w:r>
          </w:p>
        </w:tc>
        <w:tc>
          <w:tcPr>
            <w:tcW w:w="1499" w:type="dxa"/>
            <w:vAlign w:val="center"/>
          </w:tcPr>
          <w:p>
            <w:pPr>
              <w:widowControl w:val="0"/>
              <w:snapToGrid w:val="0"/>
              <w:ind w:firstLine="0" w:firstLineChars="0"/>
              <w:jc w:val="center"/>
              <w:rPr>
                <w:rFonts w:ascii="宋体" w:hAnsi="宋体" w:eastAsia="宋体" w:cs="Times New Roman"/>
                <w:b/>
                <w:color w:val="auto"/>
                <w:sz w:val="21"/>
                <w:szCs w:val="21"/>
              </w:rPr>
            </w:pPr>
            <w:r>
              <w:rPr>
                <w:rFonts w:hint="eastAsia" w:ascii="宋体" w:hAnsi="宋体" w:eastAsia="宋体" w:cs="Times New Roman"/>
                <w:b/>
                <w:color w:val="auto"/>
                <w:sz w:val="21"/>
                <w:szCs w:val="21"/>
              </w:rPr>
              <w:t>是否符合要求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widowControl w:val="0"/>
              <w:snapToGrid w:val="0"/>
              <w:ind w:firstLine="0" w:firstLineChars="0"/>
              <w:jc w:val="center"/>
              <w:rPr>
                <w:rFonts w:ascii="宋体" w:hAnsi="宋体" w:eastAsia="宋体" w:cs="Times New Roman"/>
                <w:b/>
                <w:color w:val="auto"/>
                <w:sz w:val="21"/>
                <w:szCs w:val="21"/>
              </w:rPr>
            </w:pPr>
            <w:r>
              <w:rPr>
                <w:rFonts w:hint="eastAsia" w:ascii="宋体" w:hAnsi="宋体" w:eastAsia="宋体" w:cs="Times New Roman"/>
                <w:color w:val="auto"/>
                <w:sz w:val="21"/>
                <w:szCs w:val="21"/>
              </w:rPr>
              <w:t>1</w:t>
            </w:r>
          </w:p>
        </w:tc>
        <w:tc>
          <w:tcPr>
            <w:tcW w:w="2887" w:type="dxa"/>
            <w:vAlign w:val="center"/>
          </w:tcPr>
          <w:p>
            <w:pPr>
              <w:widowControl w:val="0"/>
              <w:snapToGrid w:val="0"/>
              <w:ind w:firstLine="0" w:firstLineChars="0"/>
              <w:jc w:val="center"/>
              <w:rPr>
                <w:rFonts w:ascii="宋体" w:hAnsi="宋体" w:eastAsia="宋体" w:cs="Times New Roman"/>
                <w:b/>
                <w:color w:val="auto"/>
                <w:sz w:val="21"/>
                <w:szCs w:val="21"/>
              </w:rPr>
            </w:pPr>
            <w:r>
              <w:rPr>
                <w:rFonts w:hint="eastAsia" w:ascii="宋体" w:hAnsi="宋体" w:eastAsia="宋体" w:cs="Times New Roman"/>
                <w:color w:val="auto"/>
                <w:sz w:val="21"/>
                <w:szCs w:val="21"/>
              </w:rPr>
              <w:t>供应商名称</w:t>
            </w:r>
          </w:p>
        </w:tc>
        <w:tc>
          <w:tcPr>
            <w:tcW w:w="4124" w:type="dxa"/>
          </w:tcPr>
          <w:p>
            <w:pPr>
              <w:widowControl w:val="0"/>
              <w:snapToGrid w:val="0"/>
              <w:ind w:firstLine="0" w:firstLineChars="0"/>
              <w:rPr>
                <w:rFonts w:ascii="宋体" w:hAnsi="宋体" w:eastAsia="宋体" w:cs="Times New Roman"/>
                <w:b/>
                <w:color w:val="auto"/>
                <w:sz w:val="21"/>
                <w:szCs w:val="21"/>
              </w:rPr>
            </w:pPr>
            <w:r>
              <w:rPr>
                <w:rFonts w:hint="eastAsia" w:ascii="宋体" w:hAnsi="宋体" w:eastAsia="宋体" w:cs="Times New Roman"/>
                <w:color w:val="auto"/>
                <w:sz w:val="21"/>
                <w:szCs w:val="21"/>
              </w:rPr>
              <w:t>与比选报名、营业执照一致（符合法定工商变更程序除外）。</w:t>
            </w:r>
          </w:p>
        </w:tc>
        <w:tc>
          <w:tcPr>
            <w:tcW w:w="1499" w:type="dxa"/>
            <w:vAlign w:val="center"/>
          </w:tcPr>
          <w:p>
            <w:pPr>
              <w:widowControl w:val="0"/>
              <w:snapToGrid w:val="0"/>
              <w:ind w:firstLine="0" w:firstLineChars="0"/>
              <w:jc w:val="center"/>
              <w:rPr>
                <w:rFonts w:ascii="宋体" w:hAnsi="宋体" w:eastAsia="宋体" w:cs="Times New Roman"/>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widowControl w:val="0"/>
              <w:snapToGrid w:val="0"/>
              <w:ind w:firstLine="0" w:firstLineChars="0"/>
              <w:jc w:val="center"/>
              <w:rPr>
                <w:rFonts w:ascii="宋体" w:hAnsi="宋体" w:eastAsia="宋体" w:cs="Times New Roman"/>
                <w:color w:val="auto"/>
                <w:sz w:val="21"/>
                <w:szCs w:val="21"/>
              </w:rPr>
            </w:pPr>
            <w:r>
              <w:rPr>
                <w:rFonts w:hint="eastAsia" w:ascii="宋体" w:hAnsi="宋体" w:eastAsia="宋体" w:cs="Times New Roman"/>
                <w:color w:val="auto"/>
                <w:sz w:val="21"/>
                <w:szCs w:val="21"/>
              </w:rPr>
              <w:t>2</w:t>
            </w:r>
          </w:p>
        </w:tc>
        <w:tc>
          <w:tcPr>
            <w:tcW w:w="2887" w:type="dxa"/>
            <w:vAlign w:val="center"/>
          </w:tcPr>
          <w:p>
            <w:pPr>
              <w:widowControl w:val="0"/>
              <w:snapToGrid w:val="0"/>
              <w:ind w:firstLine="0" w:firstLineChars="0"/>
              <w:jc w:val="center"/>
              <w:rPr>
                <w:rFonts w:ascii="宋体" w:hAnsi="宋体" w:eastAsia="宋体" w:cs="Times New Roman"/>
                <w:color w:val="auto"/>
                <w:sz w:val="21"/>
                <w:szCs w:val="21"/>
              </w:rPr>
            </w:pPr>
            <w:r>
              <w:rPr>
                <w:rFonts w:hint="eastAsia" w:ascii="宋体" w:hAnsi="宋体" w:eastAsia="宋体" w:cs="Times New Roman"/>
                <w:color w:val="auto"/>
                <w:sz w:val="21"/>
                <w:szCs w:val="21"/>
              </w:rPr>
              <w:t>具有独立承担民事责任的能力</w:t>
            </w:r>
          </w:p>
        </w:tc>
        <w:tc>
          <w:tcPr>
            <w:tcW w:w="4124" w:type="dxa"/>
          </w:tcPr>
          <w:p>
            <w:pPr>
              <w:widowControl w:val="0"/>
              <w:snapToGrid w:val="0"/>
              <w:ind w:firstLine="0" w:firstLineChars="0"/>
              <w:rPr>
                <w:rFonts w:ascii="宋体" w:hAnsi="宋体" w:eastAsia="宋体" w:cs="Times New Roman"/>
                <w:color w:val="auto"/>
                <w:sz w:val="21"/>
                <w:szCs w:val="21"/>
              </w:rPr>
            </w:pPr>
            <w:r>
              <w:rPr>
                <w:rFonts w:ascii="宋体" w:hAnsi="宋体" w:eastAsia="宋体" w:cs="Times New Roman"/>
                <w:color w:val="auto"/>
                <w:sz w:val="21"/>
                <w:szCs w:val="21"/>
              </w:rPr>
              <w:t>提供了</w:t>
            </w:r>
            <w:r>
              <w:rPr>
                <w:rFonts w:hint="eastAsia" w:ascii="宋体" w:hAnsi="宋体" w:eastAsia="宋体" w:cs="Times New Roman"/>
                <w:color w:val="auto"/>
                <w:sz w:val="21"/>
                <w:szCs w:val="21"/>
              </w:rPr>
              <w:t>有效的</w:t>
            </w:r>
            <w:r>
              <w:rPr>
                <w:rFonts w:ascii="宋体" w:hAnsi="宋体" w:eastAsia="宋体" w:cs="宋体"/>
                <w:color w:val="auto"/>
                <w:sz w:val="21"/>
                <w:szCs w:val="21"/>
              </w:rPr>
              <w:t>法人或者其他组织的营业执照等证明文件，自然人的身份证明</w:t>
            </w:r>
            <w:r>
              <w:rPr>
                <w:rFonts w:hint="eastAsia" w:ascii="宋体" w:hAnsi="宋体" w:eastAsia="宋体" w:cs="宋体"/>
                <w:color w:val="auto"/>
                <w:sz w:val="21"/>
                <w:szCs w:val="21"/>
              </w:rPr>
              <w:t>。</w:t>
            </w:r>
            <w:r>
              <w:rPr>
                <w:rFonts w:ascii="宋体" w:hAnsi="宋体" w:eastAsia="宋体" w:cs="宋体"/>
                <w:color w:val="auto"/>
                <w:sz w:val="21"/>
                <w:szCs w:val="21"/>
              </w:rPr>
              <w:t>（如是分支机构，须取得其总公司授权</w:t>
            </w:r>
            <w:r>
              <w:rPr>
                <w:rFonts w:hint="eastAsia" w:ascii="宋体" w:hAnsi="宋体" w:eastAsia="宋体" w:cs="宋体"/>
                <w:color w:val="auto"/>
                <w:sz w:val="21"/>
                <w:szCs w:val="21"/>
              </w:rPr>
              <w:t>。</w:t>
            </w:r>
            <w:r>
              <w:rPr>
                <w:rFonts w:ascii="宋体" w:hAnsi="宋体" w:eastAsia="宋体" w:cs="宋体"/>
                <w:color w:val="auto"/>
                <w:sz w:val="21"/>
                <w:szCs w:val="21"/>
              </w:rPr>
              <w:t>）</w:t>
            </w:r>
          </w:p>
        </w:tc>
        <w:tc>
          <w:tcPr>
            <w:tcW w:w="1499" w:type="dxa"/>
            <w:vAlign w:val="center"/>
          </w:tcPr>
          <w:p>
            <w:pPr>
              <w:widowControl w:val="0"/>
              <w:snapToGrid w:val="0"/>
              <w:ind w:firstLine="0" w:firstLineChars="0"/>
              <w:jc w:val="center"/>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widowControl w:val="0"/>
              <w:snapToGrid w:val="0"/>
              <w:ind w:firstLine="0" w:firstLineChars="0"/>
              <w:jc w:val="center"/>
              <w:rPr>
                <w:rFonts w:ascii="宋体" w:hAnsi="宋体" w:eastAsia="宋体" w:cs="Times New Roman"/>
                <w:color w:val="auto"/>
                <w:sz w:val="21"/>
                <w:szCs w:val="21"/>
              </w:rPr>
            </w:pPr>
            <w:r>
              <w:rPr>
                <w:rFonts w:ascii="宋体" w:hAnsi="宋体" w:eastAsia="宋体" w:cs="Times New Roman"/>
                <w:color w:val="auto"/>
                <w:sz w:val="21"/>
                <w:szCs w:val="21"/>
              </w:rPr>
              <w:t>3</w:t>
            </w:r>
          </w:p>
        </w:tc>
        <w:tc>
          <w:tcPr>
            <w:tcW w:w="2887" w:type="dxa"/>
            <w:vAlign w:val="center"/>
          </w:tcPr>
          <w:p>
            <w:pPr>
              <w:widowControl w:val="0"/>
              <w:snapToGrid w:val="0"/>
              <w:ind w:firstLine="0" w:firstLineChars="0"/>
              <w:jc w:val="center"/>
              <w:rPr>
                <w:rFonts w:ascii="宋体" w:hAnsi="宋体" w:eastAsia="宋体" w:cs="Times New Roman"/>
                <w:color w:val="auto"/>
                <w:sz w:val="21"/>
                <w:szCs w:val="21"/>
              </w:rPr>
            </w:pPr>
            <w:r>
              <w:rPr>
                <w:rFonts w:hint="eastAsia" w:ascii="宋体" w:hAnsi="宋体" w:eastAsia="宋体" w:cs="Times New Roman"/>
                <w:color w:val="auto"/>
                <w:sz w:val="21"/>
                <w:szCs w:val="21"/>
              </w:rPr>
              <w:t>有依法缴纳税收和社会保障资金的良好记录</w:t>
            </w:r>
          </w:p>
        </w:tc>
        <w:tc>
          <w:tcPr>
            <w:tcW w:w="4124" w:type="dxa"/>
          </w:tcPr>
          <w:p>
            <w:pPr>
              <w:widowControl w:val="0"/>
              <w:snapToGrid w:val="0"/>
              <w:ind w:firstLine="0" w:firstLineChars="0"/>
              <w:rPr>
                <w:rFonts w:ascii="宋体" w:hAnsi="宋体" w:eastAsia="宋体" w:cs="Times New Roman"/>
                <w:color w:val="auto"/>
                <w:sz w:val="21"/>
                <w:szCs w:val="21"/>
              </w:rPr>
            </w:pPr>
            <w:r>
              <w:rPr>
                <w:rFonts w:hint="eastAsia" w:ascii="宋体" w:hAnsi="宋体" w:eastAsia="宋体" w:cs="Times New Roman"/>
                <w:color w:val="auto"/>
                <w:sz w:val="21"/>
                <w:szCs w:val="21"/>
              </w:rPr>
              <w:t>1.提供202</w:t>
            </w:r>
            <w:r>
              <w:rPr>
                <w:rFonts w:hint="eastAsia" w:ascii="宋体" w:hAnsi="宋体" w:eastAsia="宋体" w:cs="Times New Roman"/>
                <w:color w:val="auto"/>
                <w:sz w:val="21"/>
                <w:szCs w:val="21"/>
                <w:lang w:val="en-US" w:eastAsia="zh-CN"/>
              </w:rPr>
              <w:t>2</w:t>
            </w:r>
            <w:r>
              <w:rPr>
                <w:rFonts w:hint="eastAsia" w:ascii="宋体" w:hAnsi="宋体" w:eastAsia="宋体" w:cs="Times New Roman"/>
                <w:color w:val="auto"/>
                <w:sz w:val="21"/>
                <w:szCs w:val="21"/>
              </w:rPr>
              <w:t>年至响应文件提交截止日任意1个月的纳税凭证（银行出具的纳税凭证或税务机关出具的证明的复印件，并加盖本单位公章）或免税证明。</w:t>
            </w:r>
          </w:p>
          <w:p>
            <w:pPr>
              <w:widowControl w:val="0"/>
              <w:snapToGrid w:val="0"/>
              <w:ind w:firstLine="0" w:firstLineChars="0"/>
              <w:rPr>
                <w:rFonts w:ascii="宋体" w:hAnsi="宋体" w:eastAsia="宋体" w:cs="Times New Roman"/>
                <w:color w:val="auto"/>
                <w:sz w:val="21"/>
                <w:szCs w:val="21"/>
              </w:rPr>
            </w:pPr>
            <w:r>
              <w:rPr>
                <w:rFonts w:hint="eastAsia" w:ascii="宋体" w:hAnsi="宋体" w:eastAsia="宋体" w:cs="Times New Roman"/>
                <w:color w:val="auto"/>
                <w:sz w:val="21"/>
                <w:szCs w:val="21"/>
              </w:rPr>
              <w:t>2.提供202</w:t>
            </w:r>
            <w:r>
              <w:rPr>
                <w:rFonts w:hint="eastAsia" w:ascii="宋体" w:hAnsi="宋体" w:eastAsia="宋体" w:cs="Times New Roman"/>
                <w:color w:val="auto"/>
                <w:sz w:val="21"/>
                <w:szCs w:val="21"/>
                <w:lang w:val="en-US" w:eastAsia="zh-CN"/>
              </w:rPr>
              <w:t>2</w:t>
            </w:r>
            <w:r>
              <w:rPr>
                <w:rFonts w:hint="eastAsia" w:ascii="宋体" w:hAnsi="宋体" w:eastAsia="宋体" w:cs="Times New Roman"/>
                <w:color w:val="auto"/>
                <w:sz w:val="21"/>
                <w:szCs w:val="21"/>
              </w:rPr>
              <w:t>年至响应文件提交截止日任意1个月的社会保障资金缴纳记录（专用收据或社会保险缴纳清单）或免缴纳证明。</w:t>
            </w:r>
          </w:p>
        </w:tc>
        <w:tc>
          <w:tcPr>
            <w:tcW w:w="1499" w:type="dxa"/>
            <w:vAlign w:val="center"/>
          </w:tcPr>
          <w:p>
            <w:pPr>
              <w:widowControl w:val="0"/>
              <w:snapToGrid w:val="0"/>
              <w:ind w:firstLine="0" w:firstLineChars="0"/>
              <w:jc w:val="center"/>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widowControl w:val="0"/>
              <w:snapToGrid w:val="0"/>
              <w:ind w:firstLine="0" w:firstLineChars="0"/>
              <w:jc w:val="center"/>
              <w:rPr>
                <w:rFonts w:ascii="宋体" w:hAnsi="宋体" w:eastAsia="宋体" w:cs="Times New Roman"/>
                <w:color w:val="auto"/>
                <w:sz w:val="21"/>
                <w:szCs w:val="21"/>
              </w:rPr>
            </w:pPr>
            <w:r>
              <w:rPr>
                <w:rFonts w:hint="eastAsia" w:ascii="宋体" w:hAnsi="宋体" w:eastAsia="宋体" w:cs="Times New Roman"/>
                <w:color w:val="auto"/>
                <w:sz w:val="21"/>
                <w:szCs w:val="21"/>
              </w:rPr>
              <w:t>4</w:t>
            </w:r>
          </w:p>
        </w:tc>
        <w:tc>
          <w:tcPr>
            <w:tcW w:w="2887" w:type="dxa"/>
            <w:vAlign w:val="center"/>
          </w:tcPr>
          <w:p>
            <w:pPr>
              <w:widowControl w:val="0"/>
              <w:snapToGrid w:val="0"/>
              <w:ind w:firstLine="0" w:firstLineChars="0"/>
              <w:jc w:val="center"/>
              <w:rPr>
                <w:rFonts w:ascii="宋体" w:hAnsi="宋体" w:eastAsia="宋体" w:cs="Times New Roman"/>
                <w:color w:val="auto"/>
                <w:sz w:val="21"/>
                <w:szCs w:val="21"/>
              </w:rPr>
            </w:pPr>
            <w:r>
              <w:rPr>
                <w:rFonts w:hint="eastAsia" w:ascii="宋体" w:hAnsi="宋体" w:eastAsia="宋体" w:cs="Times New Roman"/>
                <w:color w:val="auto"/>
                <w:sz w:val="21"/>
                <w:szCs w:val="21"/>
              </w:rPr>
              <w:t>健全的财务会计制度</w:t>
            </w:r>
          </w:p>
        </w:tc>
        <w:tc>
          <w:tcPr>
            <w:tcW w:w="4124" w:type="dxa"/>
          </w:tcPr>
          <w:p>
            <w:pPr>
              <w:widowControl w:val="0"/>
              <w:snapToGrid w:val="0"/>
              <w:ind w:firstLine="0" w:firstLineChars="0"/>
              <w:rPr>
                <w:rFonts w:ascii="宋体" w:hAnsi="宋体" w:eastAsia="宋体" w:cs="Times New Roman"/>
                <w:color w:val="auto"/>
                <w:sz w:val="21"/>
                <w:szCs w:val="21"/>
              </w:rPr>
            </w:pPr>
            <w:r>
              <w:rPr>
                <w:rFonts w:hint="eastAsia" w:ascii="宋体" w:hAnsi="宋体" w:eastAsia="宋体" w:cs="Times New Roman"/>
                <w:color w:val="auto"/>
                <w:sz w:val="21"/>
                <w:szCs w:val="21"/>
              </w:rPr>
              <w:t>提供</w:t>
            </w:r>
            <w:r>
              <w:rPr>
                <w:rFonts w:ascii="宋体" w:hAnsi="宋体" w:eastAsia="宋体" w:cs="Times New Roman"/>
                <w:color w:val="auto"/>
                <w:sz w:val="21"/>
                <w:szCs w:val="21"/>
              </w:rPr>
              <w:t>202</w:t>
            </w:r>
            <w:r>
              <w:rPr>
                <w:rFonts w:hint="eastAsia" w:ascii="宋体" w:hAnsi="宋体" w:eastAsia="宋体" w:cs="Times New Roman"/>
                <w:color w:val="auto"/>
                <w:sz w:val="21"/>
                <w:szCs w:val="21"/>
                <w:lang w:val="en-US" w:eastAsia="zh-CN"/>
              </w:rPr>
              <w:t>1</w:t>
            </w:r>
            <w:r>
              <w:rPr>
                <w:rFonts w:hint="eastAsia" w:ascii="宋体" w:hAnsi="宋体" w:eastAsia="宋体" w:cs="Times New Roman"/>
                <w:color w:val="auto"/>
                <w:sz w:val="21"/>
                <w:szCs w:val="21"/>
              </w:rPr>
              <w:t>年度经审计的财务审计报告或</w:t>
            </w:r>
            <w:r>
              <w:rPr>
                <w:rFonts w:ascii="宋体" w:hAnsi="宋体" w:eastAsia="宋体" w:cs="Times New Roman"/>
                <w:color w:val="auto"/>
                <w:sz w:val="21"/>
                <w:szCs w:val="21"/>
              </w:rPr>
              <w:t>202</w:t>
            </w:r>
            <w:r>
              <w:rPr>
                <w:rFonts w:hint="eastAsia" w:ascii="宋体" w:hAnsi="宋体" w:eastAsia="宋体" w:cs="Times New Roman"/>
                <w:color w:val="auto"/>
                <w:sz w:val="21"/>
                <w:szCs w:val="21"/>
                <w:lang w:val="en-US" w:eastAsia="zh-CN"/>
              </w:rPr>
              <w:t>1</w:t>
            </w:r>
            <w:r>
              <w:rPr>
                <w:rFonts w:hint="eastAsia" w:ascii="宋体" w:hAnsi="宋体" w:eastAsia="宋体" w:cs="Times New Roman"/>
                <w:color w:val="auto"/>
                <w:sz w:val="21"/>
                <w:szCs w:val="21"/>
              </w:rPr>
              <w:t>年度财务报表（含资产负债表、利润表、现金流量表）。</w:t>
            </w:r>
          </w:p>
        </w:tc>
        <w:tc>
          <w:tcPr>
            <w:tcW w:w="1499" w:type="dxa"/>
            <w:vAlign w:val="center"/>
          </w:tcPr>
          <w:p>
            <w:pPr>
              <w:widowControl w:val="0"/>
              <w:snapToGrid w:val="0"/>
              <w:ind w:firstLine="0" w:firstLineChars="0"/>
              <w:jc w:val="center"/>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widowControl w:val="0"/>
              <w:snapToGrid w:val="0"/>
              <w:ind w:firstLine="0" w:firstLineChars="0"/>
              <w:jc w:val="center"/>
              <w:rPr>
                <w:rFonts w:ascii="宋体" w:hAnsi="宋体" w:eastAsia="宋体" w:cs="Times New Roman"/>
                <w:color w:val="auto"/>
                <w:sz w:val="21"/>
                <w:szCs w:val="21"/>
              </w:rPr>
            </w:pPr>
            <w:r>
              <w:rPr>
                <w:rFonts w:hint="eastAsia" w:ascii="宋体" w:hAnsi="宋体" w:eastAsia="宋体" w:cs="Times New Roman"/>
                <w:color w:val="auto"/>
                <w:sz w:val="21"/>
                <w:szCs w:val="21"/>
              </w:rPr>
              <w:t>5</w:t>
            </w:r>
          </w:p>
        </w:tc>
        <w:tc>
          <w:tcPr>
            <w:tcW w:w="2887" w:type="dxa"/>
            <w:vAlign w:val="center"/>
          </w:tcPr>
          <w:p>
            <w:pPr>
              <w:widowControl w:val="0"/>
              <w:snapToGrid w:val="0"/>
              <w:ind w:firstLine="0" w:firstLineChars="0"/>
              <w:jc w:val="center"/>
              <w:rPr>
                <w:rFonts w:ascii="宋体" w:hAnsi="宋体" w:eastAsia="宋体" w:cs="Times New Roman"/>
                <w:color w:val="auto"/>
                <w:sz w:val="21"/>
                <w:szCs w:val="21"/>
              </w:rPr>
            </w:pPr>
            <w:r>
              <w:rPr>
                <w:rFonts w:hint="eastAsia" w:ascii="宋体" w:hAnsi="宋体" w:eastAsia="宋体" w:cs="Times New Roman"/>
                <w:color w:val="auto"/>
                <w:sz w:val="21"/>
                <w:szCs w:val="21"/>
              </w:rPr>
              <w:t>参加政府采购活动前三年内，在经营活动中没有重大违法记录</w:t>
            </w:r>
          </w:p>
        </w:tc>
        <w:tc>
          <w:tcPr>
            <w:tcW w:w="4124" w:type="dxa"/>
          </w:tcPr>
          <w:p>
            <w:pPr>
              <w:widowControl w:val="0"/>
              <w:snapToGrid w:val="0"/>
              <w:ind w:firstLine="0" w:firstLineChars="0"/>
              <w:rPr>
                <w:rFonts w:ascii="宋体" w:hAnsi="宋体" w:eastAsia="宋体" w:cs="Times New Roman"/>
                <w:color w:val="auto"/>
                <w:sz w:val="21"/>
                <w:szCs w:val="21"/>
              </w:rPr>
            </w:pPr>
            <w:r>
              <w:rPr>
                <w:rFonts w:hint="eastAsia" w:ascii="宋体" w:hAnsi="宋体" w:eastAsia="宋体" w:cs="Times New Roman"/>
                <w:color w:val="auto"/>
                <w:sz w:val="21"/>
                <w:szCs w:val="21"/>
              </w:rPr>
              <w:t>提供有效的参加政府采购活动前3年内在经营活动中没有重大违法记录的书面声明。</w:t>
            </w:r>
          </w:p>
        </w:tc>
        <w:tc>
          <w:tcPr>
            <w:tcW w:w="1499" w:type="dxa"/>
            <w:vAlign w:val="center"/>
          </w:tcPr>
          <w:p>
            <w:pPr>
              <w:widowControl w:val="0"/>
              <w:snapToGrid w:val="0"/>
              <w:ind w:firstLine="0" w:firstLineChars="0"/>
              <w:jc w:val="center"/>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widowControl w:val="0"/>
              <w:snapToGrid w:val="0"/>
              <w:ind w:firstLine="0" w:firstLineChars="0"/>
              <w:jc w:val="center"/>
              <w:rPr>
                <w:rFonts w:ascii="宋体" w:hAnsi="宋体" w:eastAsia="宋体" w:cs="Times New Roman"/>
                <w:color w:val="auto"/>
                <w:sz w:val="21"/>
                <w:szCs w:val="21"/>
              </w:rPr>
            </w:pPr>
            <w:r>
              <w:rPr>
                <w:rFonts w:hint="eastAsia" w:ascii="宋体" w:hAnsi="宋体" w:eastAsia="宋体" w:cs="Times New Roman"/>
                <w:color w:val="auto"/>
                <w:sz w:val="21"/>
                <w:szCs w:val="21"/>
              </w:rPr>
              <w:t>6</w:t>
            </w:r>
          </w:p>
        </w:tc>
        <w:tc>
          <w:tcPr>
            <w:tcW w:w="2887" w:type="dxa"/>
            <w:vAlign w:val="center"/>
          </w:tcPr>
          <w:p>
            <w:pPr>
              <w:widowControl w:val="0"/>
              <w:snapToGrid w:val="0"/>
              <w:ind w:firstLine="0" w:firstLineChars="0"/>
              <w:jc w:val="center"/>
              <w:rPr>
                <w:rFonts w:ascii="宋体" w:hAnsi="宋体" w:eastAsia="宋体" w:cs="Times New Roman"/>
                <w:color w:val="auto"/>
                <w:sz w:val="21"/>
                <w:szCs w:val="21"/>
              </w:rPr>
            </w:pPr>
            <w:r>
              <w:rPr>
                <w:rFonts w:hint="eastAsia" w:ascii="宋体" w:hAnsi="宋体" w:eastAsia="宋体" w:cs="Times New Roman"/>
                <w:color w:val="auto"/>
                <w:sz w:val="21"/>
                <w:szCs w:val="21"/>
              </w:rPr>
              <w:t>“信用中国”网站和“中国政府采购网”查询记录</w:t>
            </w:r>
          </w:p>
        </w:tc>
        <w:tc>
          <w:tcPr>
            <w:tcW w:w="4124" w:type="dxa"/>
          </w:tcPr>
          <w:p>
            <w:pPr>
              <w:widowControl w:val="0"/>
              <w:snapToGrid w:val="0"/>
              <w:ind w:firstLine="0" w:firstLineChars="0"/>
              <w:rPr>
                <w:rFonts w:ascii="宋体" w:hAnsi="宋体" w:eastAsia="宋体" w:cs="Times New Roman"/>
                <w:color w:val="auto"/>
                <w:sz w:val="21"/>
                <w:szCs w:val="21"/>
              </w:rPr>
            </w:pPr>
            <w:r>
              <w:rPr>
                <w:rFonts w:hint="eastAsia" w:ascii="宋体" w:hAnsi="宋体" w:eastAsia="宋体" w:cs="Times New Roman"/>
                <w:color w:val="auto"/>
                <w:sz w:val="21"/>
                <w:szCs w:val="21"/>
              </w:rPr>
              <w:t>未被“信用中国”网站（</w:t>
            </w:r>
            <w:r>
              <w:rPr>
                <w:color w:val="auto"/>
              </w:rPr>
              <w:fldChar w:fldCharType="begin"/>
            </w:r>
            <w:r>
              <w:rPr>
                <w:color w:val="auto"/>
              </w:rPr>
              <w:instrText xml:space="preserve"> HYPERLINK "http://www.creditchina.gov.cn）中列入失信被执行人和/" </w:instrText>
            </w:r>
            <w:r>
              <w:rPr>
                <w:color w:val="auto"/>
              </w:rPr>
              <w:fldChar w:fldCharType="separate"/>
            </w:r>
            <w:r>
              <w:rPr>
                <w:rFonts w:hint="eastAsia" w:ascii="宋体" w:hAnsi="宋体" w:eastAsia="宋体" w:cs="Times New Roman"/>
                <w:color w:val="auto"/>
                <w:sz w:val="21"/>
                <w:szCs w:val="21"/>
              </w:rPr>
              <w:t>www.creditchina.gov.cn）中列入失信被执行人和</w:t>
            </w:r>
            <w:r>
              <w:rPr>
                <w:rFonts w:hint="eastAsia" w:ascii="宋体" w:hAnsi="宋体" w:eastAsia="宋体" w:cs="Times New Roman"/>
                <w:color w:val="auto"/>
                <w:sz w:val="21"/>
                <w:szCs w:val="21"/>
              </w:rPr>
              <w:fldChar w:fldCharType="end"/>
            </w:r>
            <w:r>
              <w:rPr>
                <w:rFonts w:hint="eastAsia" w:ascii="宋体" w:hAnsi="宋体" w:eastAsia="宋体" w:cs="Times New Roman"/>
                <w:color w:val="auto"/>
                <w:sz w:val="21"/>
                <w:szCs w:val="21"/>
              </w:rPr>
              <w:t>重大税收违法案件当事人名单、未被中国政府采购网（www.ccgp.gov.cn）列入政府采购严重违法失信行为记录名单。</w:t>
            </w:r>
          </w:p>
        </w:tc>
        <w:tc>
          <w:tcPr>
            <w:tcW w:w="1499" w:type="dxa"/>
            <w:vAlign w:val="center"/>
          </w:tcPr>
          <w:p>
            <w:pPr>
              <w:widowControl w:val="0"/>
              <w:snapToGrid w:val="0"/>
              <w:ind w:firstLine="0" w:firstLineChars="0"/>
              <w:jc w:val="center"/>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widowControl w:val="0"/>
              <w:snapToGrid w:val="0"/>
              <w:ind w:firstLine="0" w:firstLineChars="0"/>
              <w:jc w:val="center"/>
              <w:rPr>
                <w:rFonts w:ascii="宋体" w:hAnsi="宋体" w:eastAsia="宋体" w:cs="Times New Roman"/>
                <w:color w:val="auto"/>
                <w:sz w:val="21"/>
                <w:szCs w:val="21"/>
              </w:rPr>
            </w:pPr>
          </w:p>
        </w:tc>
        <w:tc>
          <w:tcPr>
            <w:tcW w:w="2887" w:type="dxa"/>
            <w:vAlign w:val="center"/>
          </w:tcPr>
          <w:p>
            <w:pPr>
              <w:widowControl w:val="0"/>
              <w:snapToGrid w:val="0"/>
              <w:ind w:firstLine="0" w:firstLineChars="0"/>
              <w:jc w:val="center"/>
              <w:rPr>
                <w:rFonts w:ascii="宋体" w:hAnsi="宋体" w:eastAsia="宋体" w:cs="Times New Roman"/>
                <w:color w:val="auto"/>
                <w:sz w:val="21"/>
                <w:szCs w:val="21"/>
              </w:rPr>
            </w:pPr>
            <w:r>
              <w:rPr>
                <w:rFonts w:hint="eastAsia" w:ascii="宋体" w:hAnsi="宋体" w:eastAsia="宋体" w:cs="Times New Roman"/>
                <w:color w:val="auto"/>
                <w:sz w:val="21"/>
                <w:szCs w:val="21"/>
              </w:rPr>
              <w:t>结论</w:t>
            </w:r>
          </w:p>
        </w:tc>
        <w:tc>
          <w:tcPr>
            <w:tcW w:w="4124" w:type="dxa"/>
          </w:tcPr>
          <w:p>
            <w:pPr>
              <w:widowControl w:val="0"/>
              <w:snapToGrid w:val="0"/>
              <w:ind w:firstLine="0" w:firstLineChars="0"/>
              <w:jc w:val="center"/>
              <w:rPr>
                <w:rFonts w:ascii="宋体" w:hAnsi="宋体" w:eastAsia="宋体" w:cs="Times New Roman"/>
                <w:color w:val="auto"/>
                <w:sz w:val="21"/>
                <w:szCs w:val="21"/>
              </w:rPr>
            </w:pPr>
          </w:p>
        </w:tc>
        <w:tc>
          <w:tcPr>
            <w:tcW w:w="1499" w:type="dxa"/>
            <w:vAlign w:val="center"/>
          </w:tcPr>
          <w:p>
            <w:pPr>
              <w:widowControl w:val="0"/>
              <w:snapToGrid w:val="0"/>
              <w:ind w:firstLine="0" w:firstLineChars="0"/>
              <w:jc w:val="center"/>
              <w:rPr>
                <w:rFonts w:ascii="宋体" w:hAnsi="宋体" w:eastAsia="宋体" w:cs="Times New Roman"/>
                <w:color w:val="auto"/>
                <w:sz w:val="21"/>
                <w:szCs w:val="21"/>
              </w:rPr>
            </w:pPr>
          </w:p>
        </w:tc>
      </w:tr>
      <w:bookmarkEnd w:id="38"/>
    </w:tbl>
    <w:p>
      <w:pPr>
        <w:ind w:firstLine="482"/>
        <w:jc w:val="left"/>
        <w:rPr>
          <w:rFonts w:ascii="宋体" w:hAnsi="宋体" w:eastAsia="宋体" w:cs="宋体"/>
          <w:b/>
          <w:bCs/>
          <w:color w:val="auto"/>
          <w:sz w:val="24"/>
          <w:szCs w:val="24"/>
        </w:rPr>
      </w:pPr>
    </w:p>
    <w:p>
      <w:pPr>
        <w:ind w:firstLine="482"/>
        <w:jc w:val="left"/>
        <w:rPr>
          <w:rFonts w:ascii="宋体" w:hAnsi="宋体" w:eastAsia="宋体" w:cs="宋体"/>
          <w:b/>
          <w:bCs/>
          <w:color w:val="auto"/>
          <w:sz w:val="24"/>
          <w:szCs w:val="24"/>
        </w:rPr>
      </w:pPr>
    </w:p>
    <w:p>
      <w:pPr>
        <w:ind w:firstLine="482"/>
        <w:jc w:val="left"/>
        <w:rPr>
          <w:rFonts w:ascii="宋体" w:hAnsi="宋体" w:eastAsia="宋体" w:cs="宋体"/>
          <w:b/>
          <w:bCs/>
          <w:color w:val="auto"/>
          <w:sz w:val="24"/>
          <w:szCs w:val="24"/>
        </w:rPr>
      </w:pPr>
    </w:p>
    <w:p>
      <w:pPr>
        <w:ind w:firstLine="482"/>
        <w:jc w:val="left"/>
        <w:rPr>
          <w:rFonts w:ascii="宋体" w:hAnsi="宋体" w:eastAsia="宋体" w:cs="宋体"/>
          <w:b/>
          <w:bCs/>
          <w:color w:val="auto"/>
          <w:sz w:val="24"/>
          <w:szCs w:val="24"/>
        </w:rPr>
      </w:pPr>
    </w:p>
    <w:p>
      <w:pPr>
        <w:ind w:firstLine="482"/>
        <w:jc w:val="left"/>
        <w:rPr>
          <w:rFonts w:ascii="宋体" w:hAnsi="宋体" w:eastAsia="宋体" w:cs="宋体"/>
          <w:b/>
          <w:bCs/>
          <w:color w:val="auto"/>
          <w:sz w:val="24"/>
          <w:szCs w:val="24"/>
        </w:rPr>
      </w:pPr>
      <w:r>
        <w:rPr>
          <w:rFonts w:hint="eastAsia" w:ascii="宋体" w:hAnsi="宋体" w:eastAsia="宋体" w:cs="宋体"/>
          <w:b/>
          <w:bCs/>
          <w:color w:val="auto"/>
          <w:sz w:val="24"/>
          <w:szCs w:val="24"/>
        </w:rPr>
        <w:t>附表3:</w:t>
      </w:r>
    </w:p>
    <w:p>
      <w:pPr>
        <w:widowControl w:val="0"/>
        <w:ind w:firstLine="420"/>
        <w:rPr>
          <w:rFonts w:ascii="Times New Roman" w:hAnsi="Times New Roman" w:eastAsia="宋体" w:cs="Times New Roman"/>
          <w:color w:val="auto"/>
          <w:sz w:val="21"/>
          <w:szCs w:val="24"/>
        </w:rPr>
      </w:pPr>
    </w:p>
    <w:p>
      <w:pPr>
        <w:widowControl w:val="0"/>
        <w:ind w:firstLine="438"/>
        <w:jc w:val="center"/>
        <w:rPr>
          <w:rFonts w:ascii="宋体" w:hAnsi="宋体" w:eastAsia="宋体" w:cs="方正小标宋简体"/>
          <w:b/>
          <w:bCs/>
          <w:color w:val="auto"/>
          <w:spacing w:val="-11"/>
          <w:sz w:val="24"/>
          <w:szCs w:val="24"/>
        </w:rPr>
      </w:pPr>
      <w:bookmarkStart w:id="39" w:name="_Toc5632"/>
      <w:bookmarkStart w:id="40" w:name="_Toc410631198"/>
      <w:bookmarkStart w:id="41" w:name="_Toc25550"/>
      <w:bookmarkStart w:id="42" w:name="_Toc414446034"/>
      <w:r>
        <w:rPr>
          <w:rFonts w:ascii="宋体" w:hAnsi="宋体" w:eastAsia="宋体" w:cs="方正小标宋简体"/>
          <w:b/>
          <w:bCs/>
          <w:color w:val="auto"/>
          <w:spacing w:val="-11"/>
          <w:sz w:val="24"/>
          <w:szCs w:val="24"/>
        </w:rPr>
        <w:t>商务评审因素及分值分配表</w:t>
      </w:r>
      <w:bookmarkEnd w:id="39"/>
      <w:bookmarkEnd w:id="40"/>
      <w:bookmarkEnd w:id="41"/>
      <w:bookmarkEnd w:id="42"/>
    </w:p>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1658"/>
        <w:gridCol w:w="1130"/>
        <w:gridCol w:w="4975"/>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6" w:type="pct"/>
            <w:vAlign w:val="center"/>
          </w:tcPr>
          <w:p>
            <w:pPr>
              <w:widowControl w:val="0"/>
              <w:ind w:firstLine="0" w:firstLineChars="0"/>
              <w:jc w:val="center"/>
              <w:rPr>
                <w:rFonts w:ascii="宋体" w:hAnsi="宋体" w:eastAsia="宋体" w:cs="Times New Roman"/>
                <w:b/>
                <w:bCs/>
                <w:color w:val="auto"/>
                <w:sz w:val="24"/>
                <w:szCs w:val="24"/>
                <w:highlight w:val="none"/>
              </w:rPr>
            </w:pPr>
            <w:bookmarkStart w:id="43" w:name="_Hlk47298294"/>
            <w:r>
              <w:rPr>
                <w:rFonts w:ascii="宋体" w:hAnsi="宋体" w:eastAsia="宋体" w:cs="Times New Roman"/>
                <w:b/>
                <w:bCs/>
                <w:color w:val="auto"/>
                <w:sz w:val="24"/>
                <w:szCs w:val="24"/>
                <w:highlight w:val="none"/>
              </w:rPr>
              <w:t>序号</w:t>
            </w:r>
          </w:p>
        </w:tc>
        <w:tc>
          <w:tcPr>
            <w:tcW w:w="904" w:type="pct"/>
            <w:vAlign w:val="center"/>
          </w:tcPr>
          <w:p>
            <w:pPr>
              <w:widowControl w:val="0"/>
              <w:ind w:firstLine="0" w:firstLineChars="0"/>
              <w:jc w:val="center"/>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评审内容</w:t>
            </w:r>
          </w:p>
        </w:tc>
        <w:tc>
          <w:tcPr>
            <w:tcW w:w="616" w:type="pct"/>
            <w:vAlign w:val="center"/>
          </w:tcPr>
          <w:p>
            <w:pPr>
              <w:widowControl w:val="0"/>
              <w:ind w:firstLine="0" w:firstLineChars="0"/>
              <w:jc w:val="center"/>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标准分</w:t>
            </w:r>
          </w:p>
        </w:tc>
        <w:tc>
          <w:tcPr>
            <w:tcW w:w="2712" w:type="pct"/>
            <w:vAlign w:val="center"/>
          </w:tcPr>
          <w:p>
            <w:pPr>
              <w:widowControl w:val="0"/>
              <w:ind w:firstLine="0" w:firstLineChars="0"/>
              <w:jc w:val="center"/>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评  审  标  准</w:t>
            </w:r>
          </w:p>
        </w:tc>
        <w:tc>
          <w:tcPr>
            <w:tcW w:w="392" w:type="pct"/>
            <w:vAlign w:val="center"/>
          </w:tcPr>
          <w:p>
            <w:pPr>
              <w:widowControl w:val="0"/>
              <w:ind w:firstLine="0" w:firstLineChars="0"/>
              <w:jc w:val="center"/>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6" w:type="pct"/>
            <w:vAlign w:val="center"/>
          </w:tcPr>
          <w:p>
            <w:pPr>
              <w:widowControl w:val="0"/>
              <w:ind w:firstLine="0" w:firstLineChars="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w:t>
            </w:r>
          </w:p>
        </w:tc>
        <w:tc>
          <w:tcPr>
            <w:tcW w:w="904"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宋体" w:hAnsi="宋体" w:eastAsia="宋体" w:cs="Times New Roman"/>
                <w:color w:val="auto"/>
                <w:sz w:val="21"/>
                <w:szCs w:val="21"/>
                <w:highlight w:val="none"/>
              </w:rPr>
            </w:pPr>
            <w:r>
              <w:rPr>
                <w:rFonts w:hint="eastAsia" w:ascii="Times New Roman" w:hAnsi="Times New Roman" w:eastAsia="宋体" w:cs="Times New Roman"/>
                <w:color w:val="auto"/>
                <w:sz w:val="21"/>
                <w:szCs w:val="24"/>
                <w:highlight w:val="none"/>
              </w:rPr>
              <w:t>项目负责人个人专业能力</w:t>
            </w:r>
          </w:p>
        </w:tc>
        <w:tc>
          <w:tcPr>
            <w:tcW w:w="616"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宋体" w:hAnsi="宋体" w:eastAsia="宋体" w:cs="Times New Roman"/>
                <w:color w:val="auto"/>
                <w:sz w:val="21"/>
                <w:szCs w:val="21"/>
                <w:highlight w:val="none"/>
              </w:rPr>
            </w:pPr>
            <w:r>
              <w:rPr>
                <w:rFonts w:hint="eastAsia" w:ascii="Times New Roman" w:hAnsi="Times New Roman" w:eastAsia="宋体" w:cs="Times New Roman"/>
                <w:color w:val="auto"/>
                <w:sz w:val="21"/>
                <w:szCs w:val="24"/>
                <w:highlight w:val="none"/>
                <w:lang w:val="en-US" w:eastAsia="zh-CN"/>
              </w:rPr>
              <w:t>8</w:t>
            </w:r>
            <w:r>
              <w:rPr>
                <w:rFonts w:hint="eastAsia" w:ascii="Times New Roman" w:hAnsi="Times New Roman" w:eastAsia="宋体" w:cs="Times New Roman"/>
                <w:color w:val="auto"/>
                <w:sz w:val="21"/>
                <w:szCs w:val="24"/>
                <w:highlight w:val="none"/>
              </w:rPr>
              <w:t>分</w:t>
            </w:r>
          </w:p>
        </w:tc>
        <w:tc>
          <w:tcPr>
            <w:tcW w:w="2712"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rPr>
                <w:rFonts w:hint="default" w:ascii="Times New Roman" w:hAnsi="Times New Roman" w:eastAsia="宋体" w:cs="Times New Roman"/>
                <w:color w:val="auto"/>
                <w:sz w:val="21"/>
                <w:szCs w:val="24"/>
                <w:highlight w:val="none"/>
                <w:lang w:val="en-US" w:eastAsia="zh-CN"/>
              </w:rPr>
            </w:pPr>
            <w:r>
              <w:rPr>
                <w:rFonts w:hint="eastAsia" w:ascii="Times New Roman" w:hAnsi="Times New Roman" w:eastAsia="宋体" w:cs="Times New Roman"/>
                <w:color w:val="auto"/>
                <w:sz w:val="21"/>
                <w:szCs w:val="24"/>
                <w:highlight w:val="none"/>
                <w:lang w:val="en-US" w:eastAsia="zh-CN"/>
              </w:rPr>
              <w:t>其中</w:t>
            </w:r>
            <w:r>
              <w:rPr>
                <w:rFonts w:hint="eastAsia" w:ascii="Times New Roman" w:hAnsi="Times New Roman" w:eastAsia="宋体" w:cs="Times New Roman"/>
                <w:color w:val="auto"/>
                <w:sz w:val="21"/>
                <w:szCs w:val="24"/>
                <w:highlight w:val="none"/>
              </w:rPr>
              <w:t>课题组负责人需具有</w:t>
            </w:r>
            <w:r>
              <w:rPr>
                <w:rFonts w:hint="eastAsia" w:ascii="Times New Roman" w:hAnsi="Times New Roman" w:eastAsia="宋体" w:cs="Times New Roman"/>
                <w:color w:val="auto"/>
                <w:sz w:val="21"/>
                <w:szCs w:val="24"/>
                <w:highlight w:val="none"/>
                <w:lang w:val="en-US" w:eastAsia="zh-CN"/>
              </w:rPr>
              <w:t>正</w:t>
            </w:r>
            <w:r>
              <w:rPr>
                <w:rFonts w:hint="eastAsia" w:ascii="Times New Roman" w:hAnsi="Times New Roman" w:eastAsia="宋体" w:cs="Times New Roman"/>
                <w:color w:val="auto"/>
                <w:sz w:val="21"/>
                <w:szCs w:val="24"/>
                <w:highlight w:val="none"/>
              </w:rPr>
              <w:t>高级职称</w:t>
            </w:r>
            <w:r>
              <w:rPr>
                <w:rFonts w:hint="eastAsia" w:ascii="Times New Roman" w:hAnsi="Times New Roman" w:eastAsia="宋体" w:cs="Times New Roman"/>
                <w:color w:val="auto"/>
                <w:sz w:val="21"/>
                <w:szCs w:val="24"/>
                <w:highlight w:val="none"/>
                <w:lang w:eastAsia="zh-CN"/>
              </w:rPr>
              <w:t>（</w:t>
            </w:r>
            <w:r>
              <w:rPr>
                <w:rFonts w:hint="eastAsia" w:ascii="Times New Roman" w:hAnsi="Times New Roman" w:eastAsia="宋体" w:cs="Times New Roman"/>
                <w:color w:val="auto"/>
                <w:sz w:val="21"/>
                <w:szCs w:val="24"/>
                <w:highlight w:val="none"/>
                <w:lang w:val="en-US" w:eastAsia="zh-CN"/>
              </w:rPr>
              <w:t>3分</w:t>
            </w:r>
            <w:r>
              <w:rPr>
                <w:rFonts w:hint="eastAsia" w:ascii="Times New Roman" w:hAnsi="Times New Roman" w:eastAsia="宋体" w:cs="Times New Roman"/>
                <w:color w:val="auto"/>
                <w:sz w:val="21"/>
                <w:szCs w:val="24"/>
                <w:highlight w:val="none"/>
                <w:lang w:eastAsia="zh-CN"/>
              </w:rPr>
              <w:t>）</w:t>
            </w:r>
            <w:r>
              <w:rPr>
                <w:rFonts w:hint="eastAsia" w:ascii="Times New Roman" w:hAnsi="Times New Roman" w:eastAsia="宋体" w:cs="Times New Roman"/>
                <w:color w:val="auto"/>
                <w:sz w:val="21"/>
                <w:szCs w:val="24"/>
                <w:highlight w:val="none"/>
              </w:rPr>
              <w:t>，</w:t>
            </w:r>
            <w:r>
              <w:rPr>
                <w:rFonts w:hint="eastAsia" w:ascii="Times New Roman" w:hAnsi="Times New Roman" w:eastAsia="宋体" w:cs="Times New Roman"/>
                <w:color w:val="auto"/>
                <w:sz w:val="21"/>
                <w:szCs w:val="24"/>
                <w:highlight w:val="none"/>
                <w:lang w:val="en-US" w:eastAsia="zh-CN"/>
              </w:rPr>
              <w:t>高级职称（1分），其他不加分。</w:t>
            </w:r>
            <w:r>
              <w:rPr>
                <w:rFonts w:hint="eastAsia" w:ascii="Times New Roman" w:hAnsi="Times New Roman" w:eastAsia="宋体" w:cs="Times New Roman"/>
                <w:color w:val="auto"/>
                <w:sz w:val="21"/>
                <w:szCs w:val="24"/>
                <w:highlight w:val="none"/>
              </w:rPr>
              <w:t>项目负责人</w:t>
            </w:r>
            <w:r>
              <w:rPr>
                <w:rFonts w:hint="eastAsia" w:ascii="Times New Roman" w:hAnsi="Times New Roman" w:eastAsia="宋体" w:cs="Times New Roman"/>
                <w:color w:val="auto"/>
                <w:sz w:val="21"/>
                <w:szCs w:val="24"/>
                <w:highlight w:val="none"/>
                <w:lang w:val="en-US" w:eastAsia="zh-CN"/>
              </w:rPr>
              <w:t>作为相关规划课题或者地方产业研究的负责人的业绩，一个业绩得1分，本项最高得5分。</w:t>
            </w:r>
          </w:p>
          <w:p>
            <w:pPr>
              <w:widowControl w:val="0"/>
              <w:spacing w:line="240" w:lineRule="auto"/>
              <w:ind w:firstLine="0" w:firstLineChars="0"/>
              <w:rPr>
                <w:rFonts w:hint="eastAsia" w:ascii="Times New Roman" w:hAnsi="Times New Roman" w:eastAsia="宋体" w:cs="Times New Roman"/>
                <w:color w:val="auto"/>
                <w:sz w:val="21"/>
                <w:szCs w:val="24"/>
                <w:highlight w:val="none"/>
              </w:rPr>
            </w:pPr>
            <w:r>
              <w:rPr>
                <w:rFonts w:hint="eastAsia" w:ascii="Times New Roman" w:hAnsi="Times New Roman" w:eastAsia="宋体" w:cs="Times New Roman"/>
                <w:color w:val="auto"/>
                <w:sz w:val="21"/>
                <w:szCs w:val="24"/>
                <w:highlight w:val="none"/>
              </w:rPr>
              <w:t>证明材料：提供项目负责人个人</w:t>
            </w:r>
            <w:r>
              <w:rPr>
                <w:rFonts w:hint="eastAsia" w:ascii="Times New Roman" w:hAnsi="Times New Roman" w:eastAsia="宋体" w:cs="Times New Roman"/>
                <w:color w:val="auto"/>
                <w:sz w:val="21"/>
                <w:szCs w:val="24"/>
                <w:highlight w:val="none"/>
                <w:lang w:eastAsia="zh-CN"/>
              </w:rPr>
              <w:t>职称</w:t>
            </w:r>
            <w:r>
              <w:rPr>
                <w:rFonts w:hint="eastAsia" w:ascii="Times New Roman" w:hAnsi="Times New Roman" w:eastAsia="宋体" w:cs="Times New Roman"/>
                <w:color w:val="auto"/>
                <w:sz w:val="21"/>
                <w:szCs w:val="24"/>
                <w:highlight w:val="none"/>
              </w:rPr>
              <w:t>、学历证明、工作业绩合同关键页复印件，提供的材料须体现本项目负责人姓名。</w:t>
            </w:r>
          </w:p>
          <w:p>
            <w:pPr>
              <w:widowControl w:val="0"/>
              <w:spacing w:line="240" w:lineRule="auto"/>
              <w:ind w:firstLine="0" w:firstLineChars="0"/>
              <w:rPr>
                <w:rFonts w:ascii="Times New Roman" w:hAnsi="Times New Roman" w:eastAsia="宋体" w:cs="Times New Roman"/>
                <w:color w:val="auto"/>
                <w:sz w:val="21"/>
                <w:szCs w:val="24"/>
                <w:highlight w:val="none"/>
              </w:rPr>
            </w:pPr>
          </w:p>
        </w:tc>
        <w:tc>
          <w:tcPr>
            <w:tcW w:w="392" w:type="pct"/>
            <w:vAlign w:val="center"/>
          </w:tcPr>
          <w:p>
            <w:pPr>
              <w:widowControl w:val="0"/>
              <w:ind w:firstLine="0" w:firstLineChars="0"/>
              <w:rPr>
                <w:rFonts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8" w:hRule="atLeast"/>
          <w:jc w:val="center"/>
        </w:trPr>
        <w:tc>
          <w:tcPr>
            <w:tcW w:w="376" w:type="pct"/>
            <w:vAlign w:val="center"/>
          </w:tcPr>
          <w:p>
            <w:pPr>
              <w:widowControl w:val="0"/>
              <w:ind w:firstLine="0" w:firstLineChars="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w:t>
            </w:r>
          </w:p>
        </w:tc>
        <w:tc>
          <w:tcPr>
            <w:tcW w:w="904"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color w:val="auto"/>
                <w:sz w:val="21"/>
                <w:szCs w:val="24"/>
                <w:highlight w:val="none"/>
              </w:rPr>
            </w:pPr>
            <w:r>
              <w:rPr>
                <w:rFonts w:hint="eastAsia" w:ascii="Times New Roman" w:hAnsi="Times New Roman" w:eastAsia="宋体" w:cs="Times New Roman"/>
                <w:color w:val="auto"/>
                <w:sz w:val="21"/>
                <w:szCs w:val="24"/>
                <w:highlight w:val="none"/>
              </w:rPr>
              <w:t>响应单位业绩</w:t>
            </w:r>
          </w:p>
        </w:tc>
        <w:tc>
          <w:tcPr>
            <w:tcW w:w="616"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color w:val="auto"/>
                <w:sz w:val="21"/>
                <w:szCs w:val="24"/>
                <w:highlight w:val="none"/>
              </w:rPr>
            </w:pPr>
            <w:r>
              <w:rPr>
                <w:rFonts w:ascii="Times New Roman" w:hAnsi="Times New Roman" w:eastAsia="宋体" w:cs="Times New Roman"/>
                <w:color w:val="auto"/>
                <w:sz w:val="21"/>
                <w:szCs w:val="24"/>
                <w:highlight w:val="none"/>
              </w:rPr>
              <w:t>24</w:t>
            </w:r>
            <w:r>
              <w:rPr>
                <w:rFonts w:hint="eastAsia" w:ascii="Times New Roman" w:hAnsi="Times New Roman" w:eastAsia="宋体" w:cs="Times New Roman"/>
                <w:color w:val="auto"/>
                <w:sz w:val="21"/>
                <w:szCs w:val="24"/>
                <w:highlight w:val="none"/>
              </w:rPr>
              <w:t>分</w:t>
            </w:r>
          </w:p>
        </w:tc>
        <w:tc>
          <w:tcPr>
            <w:tcW w:w="2712"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rPr>
                <w:rFonts w:hint="eastAsia" w:ascii="Times New Roman" w:hAnsi="Times New Roman" w:eastAsia="宋体" w:cs="Times New Roman"/>
                <w:color w:val="auto"/>
                <w:sz w:val="21"/>
                <w:szCs w:val="24"/>
                <w:highlight w:val="none"/>
              </w:rPr>
            </w:pPr>
            <w:r>
              <w:rPr>
                <w:rFonts w:hint="eastAsia" w:ascii="Times New Roman" w:hAnsi="Times New Roman" w:eastAsia="宋体" w:cs="Times New Roman"/>
                <w:color w:val="auto"/>
                <w:sz w:val="21"/>
                <w:szCs w:val="24"/>
                <w:highlight w:val="none"/>
              </w:rPr>
              <w:t>响应单位在报名截止日前三年内</w:t>
            </w:r>
            <w:r>
              <w:rPr>
                <w:rFonts w:hint="default" w:ascii="Times New Roman" w:hAnsi="Times New Roman" w:eastAsia="宋体" w:cs="Times New Roman"/>
                <w:color w:val="auto"/>
                <w:sz w:val="21"/>
                <w:szCs w:val="24"/>
                <w:highlight w:val="none"/>
                <w:shd w:val="clear" w:color="auto" w:fill="auto"/>
              </w:rPr>
              <w:t>承担过相关规划（概念性规划或产业规划）的课题研究</w:t>
            </w:r>
            <w:r>
              <w:rPr>
                <w:rFonts w:hint="eastAsia" w:ascii="Times New Roman" w:hAnsi="Times New Roman" w:eastAsia="宋体" w:cs="Times New Roman"/>
                <w:color w:val="auto"/>
                <w:sz w:val="21"/>
                <w:szCs w:val="24"/>
                <w:highlight w:val="none"/>
              </w:rPr>
              <w:t>，每提供一个得</w:t>
            </w:r>
            <w:r>
              <w:rPr>
                <w:rFonts w:hint="eastAsia" w:ascii="Times New Roman" w:hAnsi="Times New Roman" w:eastAsia="宋体" w:cs="Times New Roman"/>
                <w:color w:val="auto"/>
                <w:sz w:val="21"/>
                <w:szCs w:val="24"/>
                <w:highlight w:val="none"/>
                <w:lang w:val="en-US" w:eastAsia="zh-CN"/>
              </w:rPr>
              <w:t>3</w:t>
            </w:r>
            <w:r>
              <w:rPr>
                <w:rFonts w:hint="eastAsia" w:ascii="Times New Roman" w:hAnsi="Times New Roman" w:eastAsia="宋体" w:cs="Times New Roman"/>
                <w:color w:val="auto"/>
                <w:sz w:val="21"/>
                <w:szCs w:val="24"/>
                <w:highlight w:val="none"/>
              </w:rPr>
              <w:t>分，本项满分24分。</w:t>
            </w:r>
          </w:p>
          <w:p>
            <w:pPr>
              <w:widowControl w:val="0"/>
              <w:spacing w:line="240" w:lineRule="auto"/>
              <w:ind w:firstLine="0" w:firstLineChars="0"/>
              <w:rPr>
                <w:rFonts w:ascii="Times New Roman" w:hAnsi="Times New Roman" w:eastAsia="宋体" w:cs="Times New Roman"/>
                <w:color w:val="auto"/>
                <w:sz w:val="21"/>
                <w:szCs w:val="24"/>
                <w:highlight w:val="none"/>
              </w:rPr>
            </w:pPr>
            <w:r>
              <w:rPr>
                <w:rFonts w:hint="eastAsia" w:ascii="Times New Roman" w:hAnsi="Times New Roman" w:eastAsia="宋体" w:cs="Times New Roman"/>
                <w:color w:val="auto"/>
                <w:sz w:val="21"/>
                <w:szCs w:val="24"/>
                <w:highlight w:val="none"/>
              </w:rPr>
              <w:t>证明材料：提供相关项目合同（首页、签字盖章页）或中标通知书复印件，提供的材料须体现本项目负责人姓名。</w:t>
            </w:r>
          </w:p>
        </w:tc>
        <w:tc>
          <w:tcPr>
            <w:tcW w:w="392" w:type="pct"/>
            <w:vAlign w:val="center"/>
          </w:tcPr>
          <w:p>
            <w:pPr>
              <w:widowControl w:val="0"/>
              <w:ind w:firstLine="0" w:firstLineChars="0"/>
              <w:rPr>
                <w:rFonts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jc w:val="center"/>
        </w:trPr>
        <w:tc>
          <w:tcPr>
            <w:tcW w:w="376" w:type="pct"/>
            <w:vAlign w:val="center"/>
          </w:tcPr>
          <w:p>
            <w:pPr>
              <w:widowControl w:val="0"/>
              <w:ind w:firstLine="0" w:firstLineChars="0"/>
              <w:jc w:val="center"/>
              <w:rPr>
                <w:rFonts w:ascii="宋体" w:hAnsi="宋体" w:eastAsia="宋体" w:cs="Times New Roman"/>
                <w:color w:val="auto"/>
                <w:sz w:val="21"/>
                <w:szCs w:val="21"/>
                <w:highlight w:val="none"/>
              </w:rPr>
            </w:pPr>
            <w:r>
              <w:rPr>
                <w:rFonts w:ascii="宋体" w:hAnsi="宋体" w:eastAsia="宋体" w:cs="Times New Roman"/>
                <w:color w:val="auto"/>
                <w:sz w:val="21"/>
                <w:szCs w:val="21"/>
                <w:highlight w:val="none"/>
              </w:rPr>
              <w:t>3</w:t>
            </w:r>
          </w:p>
        </w:tc>
        <w:tc>
          <w:tcPr>
            <w:tcW w:w="904"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宋体" w:hAnsi="宋体" w:eastAsia="宋体" w:cs="Times New Roman"/>
                <w:color w:val="auto"/>
                <w:sz w:val="21"/>
                <w:szCs w:val="21"/>
                <w:highlight w:val="none"/>
              </w:rPr>
            </w:pPr>
            <w:r>
              <w:rPr>
                <w:rFonts w:hint="eastAsia" w:ascii="Times New Roman" w:hAnsi="Times New Roman" w:eastAsia="宋体" w:cs="Times New Roman"/>
                <w:color w:val="auto"/>
                <w:sz w:val="21"/>
                <w:szCs w:val="24"/>
                <w:highlight w:val="none"/>
              </w:rPr>
              <w:t>长期驻场响应</w:t>
            </w:r>
          </w:p>
        </w:tc>
        <w:tc>
          <w:tcPr>
            <w:tcW w:w="616"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宋体" w:hAnsi="宋体" w:eastAsia="宋体" w:cs="Times New Roman"/>
                <w:color w:val="auto"/>
                <w:sz w:val="21"/>
                <w:szCs w:val="21"/>
                <w:highlight w:val="none"/>
              </w:rPr>
            </w:pPr>
            <w:r>
              <w:rPr>
                <w:rFonts w:hint="eastAsia" w:ascii="Times New Roman" w:hAnsi="Times New Roman" w:eastAsia="宋体" w:cs="Times New Roman"/>
                <w:color w:val="auto"/>
                <w:sz w:val="21"/>
                <w:szCs w:val="24"/>
                <w:highlight w:val="none"/>
                <w:lang w:val="en-US" w:eastAsia="zh-CN"/>
              </w:rPr>
              <w:t>8</w:t>
            </w:r>
            <w:r>
              <w:rPr>
                <w:rFonts w:hint="eastAsia" w:ascii="Times New Roman" w:hAnsi="Times New Roman" w:eastAsia="宋体" w:cs="Times New Roman"/>
                <w:color w:val="auto"/>
                <w:sz w:val="21"/>
                <w:szCs w:val="24"/>
                <w:highlight w:val="none"/>
              </w:rPr>
              <w:t>分</w:t>
            </w:r>
          </w:p>
        </w:tc>
        <w:tc>
          <w:tcPr>
            <w:tcW w:w="2712"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rPr>
                <w:rFonts w:hint="eastAsia" w:ascii="Times New Roman" w:hAnsi="Times New Roman" w:eastAsia="宋体" w:cs="Times New Roman"/>
                <w:color w:val="auto"/>
                <w:sz w:val="21"/>
                <w:szCs w:val="24"/>
                <w:highlight w:val="none"/>
                <w:shd w:val="clear" w:color="auto" w:fill="auto"/>
              </w:rPr>
            </w:pPr>
            <w:r>
              <w:rPr>
                <w:rFonts w:hint="eastAsia" w:ascii="Times New Roman" w:hAnsi="Times New Roman" w:eastAsia="宋体" w:cs="Times New Roman"/>
                <w:color w:val="auto"/>
                <w:sz w:val="21"/>
                <w:szCs w:val="24"/>
                <w:highlight w:val="none"/>
                <w:shd w:val="clear" w:color="auto" w:fill="auto"/>
              </w:rPr>
              <w:t>项目其他团队成员资质</w:t>
            </w:r>
            <w:r>
              <w:rPr>
                <w:rFonts w:hint="eastAsia" w:ascii="Times New Roman" w:hAnsi="Times New Roman" w:eastAsia="宋体" w:cs="Times New Roman"/>
                <w:color w:val="auto"/>
                <w:sz w:val="21"/>
                <w:szCs w:val="24"/>
                <w:highlight w:val="none"/>
                <w:shd w:val="clear" w:color="auto" w:fill="auto"/>
                <w:lang w:val="en-US" w:eastAsia="zh-CN"/>
              </w:rPr>
              <w:t>8</w:t>
            </w:r>
            <w:r>
              <w:rPr>
                <w:rFonts w:hint="eastAsia" w:ascii="Times New Roman" w:hAnsi="Times New Roman" w:eastAsia="宋体" w:cs="Times New Roman"/>
                <w:color w:val="auto"/>
                <w:sz w:val="21"/>
                <w:szCs w:val="24"/>
                <w:highlight w:val="none"/>
                <w:shd w:val="clear" w:color="auto" w:fill="auto"/>
              </w:rPr>
              <w:t>分</w:t>
            </w:r>
            <w:r>
              <w:rPr>
                <w:rFonts w:hint="eastAsia" w:ascii="Times New Roman" w:hAnsi="Times New Roman" w:eastAsia="宋体" w:cs="Times New Roman"/>
                <w:color w:val="auto"/>
                <w:sz w:val="21"/>
                <w:szCs w:val="24"/>
                <w:highlight w:val="none"/>
                <w:shd w:val="clear" w:color="auto" w:fill="auto"/>
                <w:lang w:eastAsia="zh-CN"/>
              </w:rPr>
              <w:t>。</w:t>
            </w:r>
            <w:r>
              <w:rPr>
                <w:rFonts w:hint="eastAsia" w:ascii="Times New Roman" w:hAnsi="Times New Roman" w:eastAsia="宋体" w:cs="Times New Roman"/>
                <w:color w:val="auto"/>
                <w:sz w:val="21"/>
                <w:szCs w:val="24"/>
                <w:highlight w:val="none"/>
                <w:shd w:val="clear" w:color="auto" w:fill="auto"/>
                <w:lang w:val="en-US" w:eastAsia="zh-CN"/>
              </w:rPr>
              <w:t>成员中具有正高级技术职称资格不得少于5人，每增加1人得2分，副高级技术职称资格不得少于5人，每增加1人得1分。</w:t>
            </w:r>
          </w:p>
          <w:p>
            <w:pPr>
              <w:widowControl w:val="0"/>
              <w:spacing w:line="240" w:lineRule="auto"/>
              <w:ind w:firstLine="0" w:firstLineChars="0"/>
              <w:rPr>
                <w:color w:val="auto"/>
                <w:sz w:val="28"/>
                <w:szCs w:val="36"/>
              </w:rPr>
            </w:pPr>
            <w:r>
              <w:rPr>
                <w:rFonts w:hint="eastAsia" w:ascii="Times New Roman" w:hAnsi="Times New Roman" w:eastAsia="宋体" w:cs="Times New Roman"/>
                <w:color w:val="auto"/>
                <w:sz w:val="21"/>
                <w:szCs w:val="24"/>
                <w:highlight w:val="none"/>
                <w:shd w:val="clear" w:color="auto" w:fill="auto"/>
              </w:rPr>
              <w:t>证明材料：提供个人</w:t>
            </w:r>
            <w:r>
              <w:rPr>
                <w:rFonts w:hint="eastAsia" w:ascii="Times New Roman" w:hAnsi="Times New Roman" w:eastAsia="宋体" w:cs="Times New Roman"/>
                <w:color w:val="auto"/>
                <w:sz w:val="21"/>
                <w:szCs w:val="24"/>
                <w:highlight w:val="none"/>
                <w:shd w:val="clear" w:color="auto" w:fill="auto"/>
                <w:lang w:val="en-US" w:eastAsia="zh-CN"/>
              </w:rPr>
              <w:t>职称</w:t>
            </w:r>
            <w:r>
              <w:rPr>
                <w:rFonts w:hint="eastAsia" w:ascii="Times New Roman" w:hAnsi="Times New Roman" w:eastAsia="宋体" w:cs="Times New Roman"/>
                <w:color w:val="auto"/>
                <w:sz w:val="21"/>
                <w:szCs w:val="24"/>
                <w:highlight w:val="none"/>
                <w:shd w:val="clear" w:color="auto" w:fill="auto"/>
              </w:rPr>
              <w:t>、学历证明（复印件）。</w:t>
            </w:r>
          </w:p>
          <w:p>
            <w:pPr>
              <w:widowControl w:val="0"/>
              <w:tabs>
                <w:tab w:val="right" w:pos="4178"/>
              </w:tabs>
              <w:spacing w:line="240" w:lineRule="auto"/>
              <w:ind w:firstLine="0" w:firstLineChars="0"/>
              <w:rPr>
                <w:rFonts w:ascii="宋体" w:hAnsi="宋体" w:eastAsia="宋体" w:cs="Times New Roman"/>
                <w:bCs/>
                <w:color w:val="auto"/>
                <w:sz w:val="21"/>
                <w:szCs w:val="21"/>
                <w:highlight w:val="none"/>
              </w:rPr>
            </w:pPr>
          </w:p>
        </w:tc>
        <w:tc>
          <w:tcPr>
            <w:tcW w:w="392" w:type="pct"/>
            <w:vAlign w:val="center"/>
          </w:tcPr>
          <w:p>
            <w:pPr>
              <w:widowControl w:val="0"/>
              <w:ind w:firstLine="0" w:firstLineChars="0"/>
              <w:rPr>
                <w:rFonts w:ascii="宋体" w:hAnsi="宋体" w:eastAsia="宋体" w:cs="Times New Roman"/>
                <w:color w:val="auto"/>
                <w:sz w:val="24"/>
                <w:szCs w:val="24"/>
                <w:highlight w:val="none"/>
              </w:rPr>
            </w:pPr>
          </w:p>
        </w:tc>
      </w:tr>
      <w:bookmarkEnd w:id="43"/>
    </w:tbl>
    <w:p>
      <w:pPr>
        <w:pStyle w:val="2"/>
        <w:rPr>
          <w:color w:val="auto"/>
        </w:rPr>
      </w:pPr>
    </w:p>
    <w:p>
      <w:pPr>
        <w:pageBreakBefore/>
        <w:ind w:firstLine="482"/>
        <w:jc w:val="left"/>
        <w:rPr>
          <w:rFonts w:ascii="宋体" w:hAnsi="宋体" w:eastAsia="宋体" w:cs="宋体"/>
          <w:b/>
          <w:bCs/>
          <w:color w:val="auto"/>
          <w:sz w:val="24"/>
          <w:szCs w:val="24"/>
        </w:rPr>
      </w:pPr>
      <w:r>
        <w:rPr>
          <w:rFonts w:hint="eastAsia" w:ascii="宋体" w:hAnsi="宋体" w:eastAsia="宋体" w:cs="宋体"/>
          <w:b/>
          <w:bCs/>
          <w:color w:val="auto"/>
          <w:sz w:val="24"/>
          <w:szCs w:val="24"/>
        </w:rPr>
        <w:t>附表4：</w:t>
      </w:r>
    </w:p>
    <w:p>
      <w:pPr>
        <w:widowControl w:val="0"/>
        <w:ind w:firstLine="438"/>
        <w:jc w:val="center"/>
        <w:rPr>
          <w:rFonts w:ascii="宋体" w:hAnsi="宋体" w:eastAsia="宋体" w:cs="方正小标宋简体"/>
          <w:b/>
          <w:bCs/>
          <w:color w:val="auto"/>
          <w:spacing w:val="-11"/>
          <w:sz w:val="24"/>
          <w:szCs w:val="24"/>
        </w:rPr>
      </w:pPr>
      <w:r>
        <w:rPr>
          <w:rFonts w:ascii="宋体" w:hAnsi="宋体" w:eastAsia="宋体" w:cs="方正小标宋简体"/>
          <w:b/>
          <w:bCs/>
          <w:color w:val="auto"/>
          <w:spacing w:val="-11"/>
          <w:sz w:val="24"/>
          <w:szCs w:val="24"/>
        </w:rPr>
        <w:t>技术评审因素及分值分配</w:t>
      </w:r>
    </w:p>
    <w:tbl>
      <w:tblPr>
        <w:tblStyle w:val="24"/>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4"/>
        <w:gridCol w:w="1517"/>
        <w:gridCol w:w="1270"/>
        <w:gridCol w:w="4779"/>
        <w:gridCol w:w="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362" w:type="pct"/>
            <w:vAlign w:val="center"/>
          </w:tcPr>
          <w:p>
            <w:pPr>
              <w:widowControl w:val="0"/>
              <w:ind w:firstLine="0" w:firstLineChars="0"/>
              <w:jc w:val="center"/>
              <w:rPr>
                <w:rFonts w:ascii="宋体" w:hAnsi="宋体" w:eastAsia="宋体" w:cs="Times New Roman"/>
                <w:b/>
                <w:bCs/>
                <w:color w:val="auto"/>
                <w:sz w:val="21"/>
                <w:szCs w:val="21"/>
                <w:highlight w:val="none"/>
              </w:rPr>
            </w:pPr>
            <w:r>
              <w:rPr>
                <w:rFonts w:hint="eastAsia" w:ascii="宋体" w:hAnsi="宋体" w:eastAsia="宋体" w:cs="Times New Roman"/>
                <w:b/>
                <w:bCs/>
                <w:color w:val="auto"/>
                <w:sz w:val="21"/>
                <w:szCs w:val="21"/>
                <w:highlight w:val="none"/>
              </w:rPr>
              <w:t>序号</w:t>
            </w:r>
          </w:p>
        </w:tc>
        <w:tc>
          <w:tcPr>
            <w:tcW w:w="827" w:type="pct"/>
            <w:vAlign w:val="center"/>
          </w:tcPr>
          <w:p>
            <w:pPr>
              <w:widowControl w:val="0"/>
              <w:ind w:firstLine="0" w:firstLineChars="0"/>
              <w:jc w:val="center"/>
              <w:rPr>
                <w:rFonts w:ascii="宋体" w:hAnsi="宋体" w:eastAsia="宋体" w:cs="Times New Roman"/>
                <w:b/>
                <w:bCs/>
                <w:color w:val="auto"/>
                <w:sz w:val="21"/>
                <w:szCs w:val="21"/>
                <w:highlight w:val="none"/>
              </w:rPr>
            </w:pPr>
            <w:r>
              <w:rPr>
                <w:rFonts w:hint="eastAsia" w:ascii="宋体" w:hAnsi="宋体" w:eastAsia="宋体" w:cs="Times New Roman"/>
                <w:b/>
                <w:bCs/>
                <w:color w:val="auto"/>
                <w:sz w:val="21"/>
                <w:szCs w:val="21"/>
                <w:highlight w:val="none"/>
              </w:rPr>
              <w:t>项目</w:t>
            </w:r>
          </w:p>
        </w:tc>
        <w:tc>
          <w:tcPr>
            <w:tcW w:w="692" w:type="pct"/>
            <w:vAlign w:val="center"/>
          </w:tcPr>
          <w:p>
            <w:pPr>
              <w:widowControl w:val="0"/>
              <w:ind w:firstLine="0" w:firstLineChars="0"/>
              <w:jc w:val="center"/>
              <w:rPr>
                <w:rFonts w:ascii="宋体" w:hAnsi="宋体" w:eastAsia="宋体" w:cs="Times New Roman"/>
                <w:b/>
                <w:bCs/>
                <w:color w:val="auto"/>
                <w:sz w:val="21"/>
                <w:szCs w:val="21"/>
                <w:highlight w:val="none"/>
              </w:rPr>
            </w:pPr>
            <w:r>
              <w:rPr>
                <w:rFonts w:hint="eastAsia" w:ascii="宋体" w:hAnsi="宋体" w:eastAsia="宋体" w:cs="Times New Roman"/>
                <w:b/>
                <w:bCs/>
                <w:color w:val="auto"/>
                <w:sz w:val="21"/>
                <w:szCs w:val="21"/>
                <w:highlight w:val="none"/>
              </w:rPr>
              <w:t>分值</w:t>
            </w:r>
          </w:p>
        </w:tc>
        <w:tc>
          <w:tcPr>
            <w:tcW w:w="2605" w:type="pct"/>
            <w:vAlign w:val="center"/>
          </w:tcPr>
          <w:p>
            <w:pPr>
              <w:widowControl w:val="0"/>
              <w:ind w:firstLine="0" w:firstLineChars="0"/>
              <w:jc w:val="center"/>
              <w:rPr>
                <w:rFonts w:ascii="宋体" w:hAnsi="宋体" w:eastAsia="宋体" w:cs="Times New Roman"/>
                <w:b/>
                <w:bCs/>
                <w:color w:val="auto"/>
                <w:sz w:val="21"/>
                <w:szCs w:val="21"/>
                <w:highlight w:val="none"/>
              </w:rPr>
            </w:pPr>
            <w:r>
              <w:rPr>
                <w:rFonts w:hint="eastAsia" w:ascii="宋体" w:hAnsi="宋体" w:eastAsia="宋体" w:cs="Times New Roman"/>
                <w:b/>
                <w:bCs/>
                <w:color w:val="auto"/>
                <w:sz w:val="21"/>
                <w:szCs w:val="21"/>
                <w:highlight w:val="none"/>
              </w:rPr>
              <w:t>评分标准</w:t>
            </w:r>
          </w:p>
        </w:tc>
        <w:tc>
          <w:tcPr>
            <w:tcW w:w="512" w:type="pct"/>
            <w:vAlign w:val="center"/>
          </w:tcPr>
          <w:p>
            <w:pPr>
              <w:widowControl w:val="0"/>
              <w:ind w:firstLine="0" w:firstLineChars="0"/>
              <w:jc w:val="center"/>
              <w:rPr>
                <w:rFonts w:ascii="宋体" w:hAnsi="宋体" w:eastAsia="宋体" w:cs="Times New Roman"/>
                <w:b/>
                <w:bCs/>
                <w:color w:val="auto"/>
                <w:sz w:val="21"/>
                <w:szCs w:val="21"/>
                <w:highlight w:val="none"/>
              </w:rPr>
            </w:pPr>
            <w:r>
              <w:rPr>
                <w:rFonts w:hint="eastAsia" w:ascii="宋体" w:hAnsi="宋体" w:eastAsia="宋体" w:cs="Times New Roman"/>
                <w:b/>
                <w:bCs/>
                <w:color w:val="auto"/>
                <w:sz w:val="21"/>
                <w:szCs w:val="21"/>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blHeader/>
          <w:jc w:val="center"/>
        </w:trPr>
        <w:tc>
          <w:tcPr>
            <w:tcW w:w="676" w:type="dxa"/>
            <w:tcBorders>
              <w:bottom w:val="single" w:color="auto" w:sz="4" w:space="0"/>
            </w:tcBorders>
            <w:vAlign w:val="center"/>
          </w:tcPr>
          <w:p>
            <w:pPr>
              <w:widowControl w:val="0"/>
              <w:ind w:firstLine="0" w:firstLineChars="0"/>
              <w:jc w:val="center"/>
              <w:rPr>
                <w:rFonts w:ascii="宋体" w:hAnsi="宋体" w:eastAsia="宋体" w:cs="Times New Roman"/>
                <w:color w:val="auto"/>
                <w:sz w:val="21"/>
                <w:szCs w:val="21"/>
                <w:highlight w:val="none"/>
              </w:rPr>
            </w:pPr>
            <w:r>
              <w:rPr>
                <w:rFonts w:ascii="宋体" w:hAnsi="宋体" w:eastAsia="宋体" w:cs="Times New Roman"/>
                <w:color w:val="auto"/>
                <w:sz w:val="21"/>
                <w:szCs w:val="21"/>
                <w:highlight w:val="none"/>
              </w:rPr>
              <w:t>1</w:t>
            </w:r>
          </w:p>
        </w:tc>
        <w:tc>
          <w:tcPr>
            <w:tcW w:w="1543" w:type="dxa"/>
            <w:tcBorders>
              <w:bottom w:val="single" w:color="auto" w:sz="4" w:space="0"/>
            </w:tcBorders>
            <w:vAlign w:val="center"/>
          </w:tcPr>
          <w:p>
            <w:pPr>
              <w:widowControl w:val="0"/>
              <w:spacing w:line="240" w:lineRule="auto"/>
              <w:ind w:firstLine="0" w:firstLineChars="0"/>
              <w:jc w:val="center"/>
              <w:rPr>
                <w:rFonts w:ascii="宋体" w:hAnsi="宋体"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对</w:t>
            </w:r>
            <w:r>
              <w:rPr>
                <w:rFonts w:hint="eastAsia" w:ascii="Times New Roman" w:hAnsi="Times New Roman" w:eastAsia="宋体" w:cs="Times New Roman"/>
                <w:color w:val="auto"/>
                <w:sz w:val="21"/>
                <w:szCs w:val="21"/>
                <w:highlight w:val="none"/>
                <w:lang w:eastAsia="zh-CN"/>
              </w:rPr>
              <w:t>江东新区</w:t>
            </w:r>
            <w:r>
              <w:rPr>
                <w:rFonts w:hint="eastAsia" w:ascii="Times New Roman" w:hAnsi="Times New Roman" w:eastAsia="宋体" w:cs="Times New Roman"/>
                <w:color w:val="auto"/>
                <w:sz w:val="21"/>
                <w:szCs w:val="21"/>
                <w:highlight w:val="none"/>
              </w:rPr>
              <w:t>发展优势的理解</w:t>
            </w:r>
          </w:p>
        </w:tc>
        <w:tc>
          <w:tcPr>
            <w:tcW w:w="1291"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宋体" w:hAnsi="宋体" w:eastAsia="宋体" w:cs="Times New Roman"/>
                <w:color w:val="auto"/>
                <w:sz w:val="21"/>
                <w:szCs w:val="21"/>
                <w:highlight w:val="none"/>
              </w:rPr>
            </w:pPr>
            <w:r>
              <w:rPr>
                <w:rFonts w:ascii="Times New Roman" w:hAnsi="Times New Roman" w:eastAsia="宋体" w:cs="Times New Roman"/>
                <w:color w:val="auto"/>
                <w:sz w:val="21"/>
                <w:szCs w:val="21"/>
                <w:highlight w:val="none"/>
              </w:rPr>
              <w:t>12</w:t>
            </w:r>
            <w:r>
              <w:rPr>
                <w:rFonts w:hint="eastAsia" w:ascii="Times New Roman" w:hAnsi="Times New Roman" w:eastAsia="宋体" w:cs="Times New Roman"/>
                <w:color w:val="auto"/>
                <w:sz w:val="21"/>
                <w:szCs w:val="21"/>
                <w:highlight w:val="none"/>
              </w:rPr>
              <w:t>分</w:t>
            </w:r>
          </w:p>
        </w:tc>
        <w:tc>
          <w:tcPr>
            <w:tcW w:w="4861"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iCs/>
                <w:color w:val="auto"/>
                <w:sz w:val="21"/>
                <w:szCs w:val="21"/>
                <w:highlight w:val="none"/>
              </w:rPr>
              <w:t>供应商</w:t>
            </w:r>
            <w:r>
              <w:rPr>
                <w:rFonts w:hint="eastAsia" w:ascii="宋体" w:hAnsi="宋体" w:eastAsia="宋体" w:cs="宋体"/>
                <w:color w:val="auto"/>
                <w:sz w:val="21"/>
                <w:szCs w:val="21"/>
                <w:highlight w:val="none"/>
              </w:rPr>
              <w:t>提交的服务方案对</w:t>
            </w:r>
            <w:r>
              <w:rPr>
                <w:rFonts w:hint="eastAsia" w:ascii="宋体" w:hAnsi="宋体" w:eastAsia="宋体" w:cs="宋体"/>
                <w:color w:val="auto"/>
                <w:sz w:val="21"/>
                <w:szCs w:val="21"/>
                <w:highlight w:val="none"/>
                <w:lang w:eastAsia="zh-CN"/>
              </w:rPr>
              <w:t>江东新区发展</w:t>
            </w:r>
            <w:r>
              <w:rPr>
                <w:rFonts w:hint="eastAsia" w:ascii="宋体" w:hAnsi="宋体" w:eastAsia="宋体" w:cs="宋体"/>
                <w:color w:val="auto"/>
                <w:sz w:val="21"/>
                <w:szCs w:val="21"/>
                <w:highlight w:val="none"/>
              </w:rPr>
              <w:t>优势的理解程度</w:t>
            </w:r>
            <w:r>
              <w:rPr>
                <w:rFonts w:hint="eastAsia" w:ascii="宋体" w:hAnsi="宋体" w:eastAsia="宋体" w:cs="宋体"/>
                <w:color w:val="auto"/>
                <w:sz w:val="21"/>
                <w:szCs w:val="21"/>
                <w:highlight w:val="none"/>
                <w:lang w:eastAsia="zh-CN"/>
              </w:rPr>
              <w:t>。</w:t>
            </w:r>
          </w:p>
          <w:p>
            <w:pPr>
              <w:spacing w:line="360" w:lineRule="exact"/>
              <w:ind w:firstLine="0" w:firstLineChars="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优：能够清晰了解</w:t>
            </w:r>
            <w:r>
              <w:rPr>
                <w:rFonts w:hint="eastAsia" w:ascii="宋体" w:hAnsi="宋体" w:eastAsia="宋体" w:cs="宋体"/>
                <w:color w:val="auto"/>
                <w:sz w:val="21"/>
                <w:szCs w:val="21"/>
                <w:highlight w:val="none"/>
                <w:lang w:eastAsia="zh-CN"/>
              </w:rPr>
              <w:t>江东新区的产业发展优势</w:t>
            </w:r>
            <w:r>
              <w:rPr>
                <w:rFonts w:hint="eastAsia" w:ascii="宋体" w:hAnsi="宋体" w:eastAsia="宋体" w:cs="宋体"/>
                <w:color w:val="auto"/>
                <w:sz w:val="21"/>
                <w:szCs w:val="21"/>
                <w:highlight w:val="none"/>
              </w:rPr>
              <w:t>，并能够清晰展现</w:t>
            </w:r>
            <w:r>
              <w:rPr>
                <w:rFonts w:hint="eastAsia" w:ascii="宋体" w:hAnsi="宋体" w:eastAsia="宋体" w:cs="宋体"/>
                <w:color w:val="auto"/>
                <w:sz w:val="21"/>
                <w:szCs w:val="21"/>
                <w:highlight w:val="none"/>
                <w:lang w:eastAsia="zh-CN"/>
              </w:rPr>
              <w:t>江东新区产业发展优势</w:t>
            </w:r>
            <w:r>
              <w:rPr>
                <w:rFonts w:hint="eastAsia" w:ascii="宋体" w:hAnsi="宋体" w:eastAsia="宋体" w:cs="宋体"/>
                <w:color w:val="auto"/>
                <w:sz w:val="21"/>
                <w:szCs w:val="21"/>
                <w:highlight w:val="none"/>
              </w:rPr>
              <w:t>与</w:t>
            </w:r>
            <w:r>
              <w:rPr>
                <w:rFonts w:hint="eastAsia" w:ascii="宋体" w:hAnsi="宋体" w:eastAsia="宋体" w:cs="宋体"/>
                <w:color w:val="auto"/>
                <w:sz w:val="21"/>
                <w:szCs w:val="21"/>
                <w:highlight w:val="none"/>
                <w:lang w:eastAsia="zh-CN"/>
              </w:rPr>
              <w:t>自由贸易港其他地区产业发展的差别</w:t>
            </w:r>
            <w:r>
              <w:rPr>
                <w:rFonts w:hint="eastAsia" w:ascii="宋体" w:hAnsi="宋体" w:eastAsia="宋体" w:cs="宋体"/>
                <w:color w:val="auto"/>
                <w:sz w:val="21"/>
                <w:szCs w:val="21"/>
                <w:highlight w:val="none"/>
              </w:rPr>
              <w:t>的，得</w:t>
            </w:r>
            <w:r>
              <w:rPr>
                <w:rFonts w:ascii="宋体" w:hAnsi="宋体" w:eastAsia="宋体" w:cs="宋体"/>
                <w:color w:val="auto"/>
                <w:sz w:val="21"/>
                <w:szCs w:val="21"/>
                <w:highlight w:val="none"/>
              </w:rPr>
              <w:t>10</w:t>
            </w:r>
            <w:r>
              <w:rPr>
                <w:rFonts w:hint="eastAsia" w:ascii="宋体" w:hAnsi="宋体" w:eastAsia="宋体" w:cs="宋体"/>
                <w:color w:val="auto"/>
                <w:sz w:val="21"/>
                <w:szCs w:val="21"/>
                <w:highlight w:val="none"/>
              </w:rPr>
              <w:t>-</w:t>
            </w:r>
            <w:r>
              <w:rPr>
                <w:rFonts w:ascii="宋体" w:hAnsi="宋体" w:eastAsia="宋体" w:cs="宋体"/>
                <w:color w:val="auto"/>
                <w:sz w:val="21"/>
                <w:szCs w:val="21"/>
                <w:highlight w:val="none"/>
              </w:rPr>
              <w:t>12</w:t>
            </w:r>
            <w:r>
              <w:rPr>
                <w:rFonts w:hint="eastAsia" w:ascii="宋体" w:hAnsi="宋体" w:eastAsia="宋体" w:cs="宋体"/>
                <w:color w:val="auto"/>
                <w:sz w:val="21"/>
                <w:szCs w:val="21"/>
                <w:highlight w:val="none"/>
              </w:rPr>
              <w:t>分；</w:t>
            </w:r>
          </w:p>
          <w:p>
            <w:pPr>
              <w:spacing w:line="360" w:lineRule="exact"/>
              <w:ind w:firstLine="0" w:firstLineChars="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良：能够较为清晰地了解</w:t>
            </w:r>
            <w:r>
              <w:rPr>
                <w:rFonts w:hint="eastAsia" w:ascii="宋体" w:hAnsi="宋体" w:eastAsia="宋体" w:cs="宋体"/>
                <w:color w:val="auto"/>
                <w:sz w:val="21"/>
                <w:szCs w:val="21"/>
                <w:highlight w:val="none"/>
                <w:lang w:eastAsia="zh-CN"/>
              </w:rPr>
              <w:t>江东新区的产业发展优势</w:t>
            </w:r>
            <w:r>
              <w:rPr>
                <w:rFonts w:hint="eastAsia" w:ascii="宋体" w:hAnsi="宋体" w:eastAsia="宋体" w:cs="宋体"/>
                <w:color w:val="auto"/>
                <w:sz w:val="21"/>
                <w:szCs w:val="21"/>
                <w:highlight w:val="none"/>
              </w:rPr>
              <w:t>，并能够基本了解</w:t>
            </w:r>
            <w:r>
              <w:rPr>
                <w:rFonts w:hint="eastAsia" w:ascii="宋体" w:hAnsi="宋体" w:eastAsia="宋体" w:cs="宋体"/>
                <w:color w:val="auto"/>
                <w:sz w:val="21"/>
                <w:szCs w:val="21"/>
                <w:highlight w:val="none"/>
                <w:lang w:eastAsia="zh-CN"/>
              </w:rPr>
              <w:t>江东新区产业</w:t>
            </w:r>
            <w:r>
              <w:rPr>
                <w:rFonts w:hint="eastAsia" w:ascii="宋体" w:hAnsi="宋体" w:eastAsia="宋体" w:cs="宋体"/>
                <w:color w:val="auto"/>
                <w:sz w:val="21"/>
                <w:szCs w:val="21"/>
                <w:highlight w:val="none"/>
              </w:rPr>
              <w:t>优势的，得</w:t>
            </w:r>
            <w:r>
              <w:rPr>
                <w:rFonts w:ascii="宋体" w:hAnsi="宋体" w:eastAsia="宋体" w:cs="宋体"/>
                <w:color w:val="auto"/>
                <w:sz w:val="21"/>
                <w:szCs w:val="21"/>
                <w:highlight w:val="none"/>
              </w:rPr>
              <w:t>6</w:t>
            </w:r>
            <w:r>
              <w:rPr>
                <w:rFonts w:hint="eastAsia" w:ascii="宋体" w:hAnsi="宋体" w:eastAsia="宋体" w:cs="宋体"/>
                <w:color w:val="auto"/>
                <w:sz w:val="21"/>
                <w:szCs w:val="21"/>
                <w:highlight w:val="none"/>
              </w:rPr>
              <w:t>-</w:t>
            </w:r>
            <w:r>
              <w:rPr>
                <w:rFonts w:ascii="宋体" w:hAnsi="宋体" w:eastAsia="宋体" w:cs="宋体"/>
                <w:color w:val="auto"/>
                <w:sz w:val="21"/>
                <w:szCs w:val="21"/>
                <w:highlight w:val="none"/>
              </w:rPr>
              <w:t>9</w:t>
            </w:r>
            <w:r>
              <w:rPr>
                <w:rFonts w:hint="eastAsia" w:ascii="宋体" w:hAnsi="宋体" w:eastAsia="宋体" w:cs="宋体"/>
                <w:color w:val="auto"/>
                <w:sz w:val="21"/>
                <w:szCs w:val="21"/>
                <w:highlight w:val="none"/>
              </w:rPr>
              <w:t>分；</w:t>
            </w:r>
          </w:p>
          <w:p>
            <w:pPr>
              <w:spacing w:line="360" w:lineRule="exact"/>
              <w:ind w:firstLine="0" w:firstLineChars="0"/>
              <w:textAlignment w:val="baseline"/>
              <w:rPr>
                <w:rFonts w:ascii="Times New Roman" w:hAnsi="Times New Roman" w:eastAsia="宋体" w:cs="Times New Roman"/>
                <w:color w:val="auto"/>
                <w:sz w:val="21"/>
                <w:szCs w:val="24"/>
                <w:highlight w:val="none"/>
              </w:rPr>
            </w:pPr>
            <w:r>
              <w:rPr>
                <w:rFonts w:hint="eastAsia" w:ascii="宋体" w:hAnsi="宋体" w:eastAsia="宋体" w:cs="宋体"/>
                <w:color w:val="auto"/>
                <w:sz w:val="21"/>
                <w:szCs w:val="21"/>
                <w:highlight w:val="none"/>
              </w:rPr>
              <w:t>差：对</w:t>
            </w:r>
            <w:r>
              <w:rPr>
                <w:rFonts w:hint="eastAsia" w:ascii="宋体" w:hAnsi="宋体" w:eastAsia="宋体" w:cs="宋体"/>
                <w:color w:val="auto"/>
                <w:sz w:val="21"/>
                <w:szCs w:val="21"/>
                <w:highlight w:val="none"/>
                <w:lang w:eastAsia="zh-CN"/>
              </w:rPr>
              <w:t>江东新区产业发展优势</w:t>
            </w:r>
            <w:r>
              <w:rPr>
                <w:rFonts w:hint="eastAsia" w:ascii="宋体" w:hAnsi="宋体" w:eastAsia="宋体" w:cs="宋体"/>
                <w:color w:val="auto"/>
                <w:sz w:val="21"/>
                <w:szCs w:val="21"/>
                <w:highlight w:val="none"/>
              </w:rPr>
              <w:t>了解有限的，未能明晰</w:t>
            </w:r>
            <w:r>
              <w:rPr>
                <w:rFonts w:hint="eastAsia" w:ascii="宋体" w:hAnsi="宋体" w:eastAsia="宋体" w:cs="宋体"/>
                <w:color w:val="auto"/>
                <w:sz w:val="21"/>
                <w:szCs w:val="21"/>
                <w:highlight w:val="none"/>
                <w:lang w:eastAsia="zh-CN"/>
              </w:rPr>
              <w:t>江东新区产业</w:t>
            </w:r>
            <w:r>
              <w:rPr>
                <w:rFonts w:hint="eastAsia" w:ascii="宋体" w:hAnsi="宋体" w:eastAsia="宋体" w:cs="宋体"/>
                <w:color w:val="auto"/>
                <w:sz w:val="21"/>
                <w:szCs w:val="21"/>
                <w:highlight w:val="none"/>
              </w:rPr>
              <w:t>优势的，得0-</w:t>
            </w:r>
            <w:r>
              <w:rPr>
                <w:rFonts w:ascii="宋体" w:hAnsi="宋体" w:eastAsia="宋体" w:cs="宋体"/>
                <w:color w:val="auto"/>
                <w:sz w:val="21"/>
                <w:szCs w:val="21"/>
                <w:highlight w:val="none"/>
              </w:rPr>
              <w:t>5</w:t>
            </w:r>
            <w:r>
              <w:rPr>
                <w:rFonts w:hint="eastAsia" w:ascii="宋体" w:hAnsi="宋体" w:eastAsia="宋体" w:cs="宋体"/>
                <w:color w:val="auto"/>
                <w:sz w:val="21"/>
                <w:szCs w:val="21"/>
                <w:highlight w:val="none"/>
              </w:rPr>
              <w:t>分。</w:t>
            </w:r>
          </w:p>
        </w:tc>
        <w:tc>
          <w:tcPr>
            <w:tcW w:w="512" w:type="pct"/>
            <w:tcBorders>
              <w:bottom w:val="single" w:color="auto" w:sz="4" w:space="0"/>
            </w:tcBorders>
            <w:vAlign w:val="center"/>
          </w:tcPr>
          <w:p>
            <w:pPr>
              <w:widowControl w:val="0"/>
              <w:ind w:firstLine="0" w:firstLineChars="0"/>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blHeader/>
          <w:jc w:val="center"/>
        </w:trPr>
        <w:tc>
          <w:tcPr>
            <w:tcW w:w="676" w:type="dxa"/>
            <w:vAlign w:val="center"/>
          </w:tcPr>
          <w:p>
            <w:pPr>
              <w:widowControl w:val="0"/>
              <w:ind w:firstLine="0" w:firstLineChars="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w:t>
            </w:r>
          </w:p>
        </w:tc>
        <w:tc>
          <w:tcPr>
            <w:tcW w:w="1543" w:type="dxa"/>
            <w:vAlign w:val="center"/>
          </w:tcPr>
          <w:p>
            <w:pPr>
              <w:widowControl w:val="0"/>
              <w:spacing w:line="240" w:lineRule="auto"/>
              <w:ind w:firstLine="0" w:firstLineChars="0"/>
              <w:jc w:val="center"/>
              <w:rPr>
                <w:rFonts w:ascii="宋体" w:hAnsi="宋体"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对江东新区</w:t>
            </w:r>
            <w:r>
              <w:rPr>
                <w:rFonts w:hint="eastAsia" w:ascii="Times New Roman" w:hAnsi="Times New Roman" w:eastAsia="宋体" w:cs="Times New Roman"/>
                <w:color w:val="auto"/>
                <w:sz w:val="21"/>
                <w:szCs w:val="21"/>
                <w:highlight w:val="none"/>
                <w:lang w:val="en-US" w:eastAsia="zh-CN"/>
              </w:rPr>
              <w:t>CBD起步区南片区功能定位、产业方向和空间布局</w:t>
            </w:r>
            <w:r>
              <w:rPr>
                <w:rFonts w:hint="eastAsia" w:ascii="Times New Roman" w:hAnsi="Times New Roman" w:eastAsia="宋体" w:cs="Times New Roman"/>
                <w:color w:val="auto"/>
                <w:sz w:val="21"/>
                <w:szCs w:val="21"/>
                <w:highlight w:val="none"/>
              </w:rPr>
              <w:t>的初步思路</w:t>
            </w:r>
          </w:p>
        </w:tc>
        <w:tc>
          <w:tcPr>
            <w:tcW w:w="1291"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宋体" w:hAnsi="宋体"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2</w:t>
            </w:r>
            <w:r>
              <w:rPr>
                <w:rFonts w:ascii="Times New Roman" w:hAnsi="Times New Roman" w:eastAsia="宋体" w:cs="Times New Roman"/>
                <w:color w:val="auto"/>
                <w:sz w:val="21"/>
                <w:szCs w:val="21"/>
                <w:highlight w:val="none"/>
              </w:rPr>
              <w:t>0</w:t>
            </w:r>
          </w:p>
        </w:tc>
        <w:tc>
          <w:tcPr>
            <w:tcW w:w="4861"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iCs/>
                <w:color w:val="auto"/>
                <w:sz w:val="21"/>
                <w:szCs w:val="21"/>
                <w:highlight w:val="none"/>
              </w:rPr>
              <w:t>供应商</w:t>
            </w:r>
            <w:r>
              <w:rPr>
                <w:rFonts w:hint="eastAsia" w:ascii="宋体" w:hAnsi="宋体" w:eastAsia="宋体" w:cs="宋体"/>
                <w:color w:val="auto"/>
                <w:sz w:val="21"/>
                <w:szCs w:val="21"/>
                <w:highlight w:val="none"/>
              </w:rPr>
              <w:t>提交的服务方案对</w:t>
            </w:r>
            <w:r>
              <w:rPr>
                <w:rFonts w:hint="eastAsia" w:ascii="宋体" w:hAnsi="宋体" w:eastAsia="宋体" w:cs="宋体"/>
                <w:color w:val="auto"/>
                <w:sz w:val="21"/>
                <w:szCs w:val="21"/>
                <w:highlight w:val="none"/>
                <w:lang w:val="en-US" w:eastAsia="zh-CN"/>
              </w:rPr>
              <w:t>CBD起步区南片区功能定位、产业方向和空间布局的</w:t>
            </w:r>
            <w:r>
              <w:rPr>
                <w:rFonts w:hint="eastAsia" w:ascii="宋体" w:hAnsi="宋体" w:eastAsia="宋体" w:cs="宋体"/>
                <w:color w:val="auto"/>
                <w:sz w:val="21"/>
                <w:szCs w:val="21"/>
                <w:highlight w:val="none"/>
              </w:rPr>
              <w:t>初步思考</w:t>
            </w:r>
            <w:r>
              <w:rPr>
                <w:rFonts w:hint="eastAsia" w:ascii="宋体" w:hAnsi="宋体" w:eastAsia="宋体" w:cs="宋体"/>
                <w:color w:val="auto"/>
                <w:sz w:val="21"/>
                <w:szCs w:val="21"/>
                <w:highlight w:val="none"/>
                <w:lang w:eastAsia="zh-CN"/>
              </w:rPr>
              <w:t>。</w:t>
            </w:r>
          </w:p>
          <w:p>
            <w:pPr>
              <w:spacing w:line="360" w:lineRule="exact"/>
              <w:ind w:firstLine="0" w:firstLineChars="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优：结合</w:t>
            </w:r>
            <w:r>
              <w:rPr>
                <w:rFonts w:hint="eastAsia" w:ascii="宋体" w:hAnsi="宋体" w:eastAsia="宋体" w:cs="宋体"/>
                <w:color w:val="auto"/>
                <w:sz w:val="21"/>
                <w:szCs w:val="21"/>
                <w:highlight w:val="none"/>
                <w:lang w:val="en-US" w:eastAsia="zh-CN"/>
              </w:rPr>
              <w:t>CBD起步区南片区的整体</w:t>
            </w:r>
            <w:r>
              <w:rPr>
                <w:rFonts w:hint="eastAsia" w:ascii="宋体" w:hAnsi="宋体" w:eastAsia="宋体" w:cs="宋体"/>
                <w:color w:val="auto"/>
                <w:sz w:val="21"/>
                <w:szCs w:val="21"/>
                <w:highlight w:val="none"/>
              </w:rPr>
              <w:t>发展逻辑，能够较为合理地初步提出</w:t>
            </w:r>
            <w:r>
              <w:rPr>
                <w:rFonts w:hint="eastAsia" w:ascii="宋体" w:hAnsi="宋体" w:eastAsia="宋体" w:cs="宋体"/>
                <w:color w:val="auto"/>
                <w:sz w:val="21"/>
                <w:szCs w:val="21"/>
                <w:highlight w:val="none"/>
                <w:lang w:val="en-US" w:eastAsia="zh-CN"/>
              </w:rPr>
              <w:t>CBD起步区南片区功能定位、产业方向和空间布局</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，得</w:t>
            </w:r>
            <w:r>
              <w:rPr>
                <w:rFonts w:ascii="宋体" w:hAnsi="宋体" w:eastAsia="宋体" w:cs="宋体"/>
                <w:color w:val="auto"/>
                <w:sz w:val="21"/>
                <w:szCs w:val="21"/>
                <w:highlight w:val="none"/>
              </w:rPr>
              <w:t>16</w:t>
            </w:r>
            <w:r>
              <w:rPr>
                <w:rFonts w:hint="eastAsia" w:ascii="宋体" w:hAnsi="宋体" w:eastAsia="宋体" w:cs="宋体"/>
                <w:color w:val="auto"/>
                <w:sz w:val="21"/>
                <w:szCs w:val="21"/>
                <w:highlight w:val="none"/>
              </w:rPr>
              <w:t>-</w:t>
            </w:r>
            <w:r>
              <w:rPr>
                <w:rFonts w:ascii="宋体" w:hAnsi="宋体" w:eastAsia="宋体" w:cs="宋体"/>
                <w:color w:val="auto"/>
                <w:sz w:val="21"/>
                <w:szCs w:val="21"/>
                <w:highlight w:val="none"/>
              </w:rPr>
              <w:t>20</w:t>
            </w:r>
            <w:r>
              <w:rPr>
                <w:rFonts w:hint="eastAsia" w:ascii="宋体" w:hAnsi="宋体" w:eastAsia="宋体" w:cs="宋体"/>
                <w:color w:val="auto"/>
                <w:sz w:val="21"/>
                <w:szCs w:val="21"/>
                <w:highlight w:val="none"/>
              </w:rPr>
              <w:t>分；</w:t>
            </w:r>
          </w:p>
          <w:p>
            <w:pPr>
              <w:spacing w:line="360" w:lineRule="exact"/>
              <w:ind w:firstLine="0" w:firstLineChars="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良：结合</w:t>
            </w:r>
            <w:r>
              <w:rPr>
                <w:rFonts w:hint="eastAsia" w:ascii="宋体" w:hAnsi="宋体" w:eastAsia="宋体" w:cs="宋体"/>
                <w:color w:val="auto"/>
                <w:sz w:val="21"/>
                <w:szCs w:val="21"/>
                <w:highlight w:val="none"/>
                <w:lang w:val="en-US" w:eastAsia="zh-CN"/>
              </w:rPr>
              <w:t>CBD起步区南片区的整体</w:t>
            </w:r>
            <w:r>
              <w:rPr>
                <w:rFonts w:hint="eastAsia" w:ascii="宋体" w:hAnsi="宋体" w:eastAsia="宋体" w:cs="宋体"/>
                <w:color w:val="auto"/>
                <w:sz w:val="21"/>
                <w:szCs w:val="21"/>
                <w:highlight w:val="none"/>
              </w:rPr>
              <w:t>发展逻辑，</w:t>
            </w:r>
            <w:r>
              <w:rPr>
                <w:rFonts w:hint="eastAsia" w:ascii="宋体" w:hAnsi="宋体" w:eastAsia="宋体" w:cs="宋体"/>
                <w:color w:val="auto"/>
                <w:sz w:val="21"/>
                <w:szCs w:val="21"/>
                <w:highlight w:val="none"/>
                <w:lang w:eastAsia="zh-CN"/>
              </w:rPr>
              <w:t>对</w:t>
            </w:r>
            <w:r>
              <w:rPr>
                <w:rFonts w:hint="eastAsia" w:ascii="宋体" w:hAnsi="宋体" w:eastAsia="宋体" w:cs="宋体"/>
                <w:color w:val="auto"/>
                <w:sz w:val="21"/>
                <w:szCs w:val="21"/>
                <w:highlight w:val="none"/>
                <w:lang w:val="en-US" w:eastAsia="zh-CN"/>
              </w:rPr>
              <w:t>CBD起步区南片区功能定位、产业方向和空间布局</w:t>
            </w:r>
            <w:r>
              <w:rPr>
                <w:rFonts w:hint="eastAsia" w:ascii="宋体" w:hAnsi="宋体" w:eastAsia="宋体" w:cs="宋体"/>
                <w:color w:val="auto"/>
                <w:sz w:val="21"/>
                <w:szCs w:val="21"/>
                <w:highlight w:val="none"/>
              </w:rPr>
              <w:t>具有一定思考，但与实际情况存有偏离的，得9-1</w:t>
            </w:r>
            <w:r>
              <w:rPr>
                <w:rFonts w:ascii="宋体" w:hAnsi="宋体" w:eastAsia="宋体" w:cs="宋体"/>
                <w:color w:val="auto"/>
                <w:sz w:val="21"/>
                <w:szCs w:val="21"/>
                <w:highlight w:val="none"/>
              </w:rPr>
              <w:t>5</w:t>
            </w:r>
            <w:r>
              <w:rPr>
                <w:rFonts w:hint="eastAsia" w:ascii="宋体" w:hAnsi="宋体" w:eastAsia="宋体" w:cs="宋体"/>
                <w:color w:val="auto"/>
                <w:sz w:val="21"/>
                <w:szCs w:val="21"/>
                <w:highlight w:val="none"/>
              </w:rPr>
              <w:t>分；</w:t>
            </w:r>
          </w:p>
          <w:p>
            <w:pPr>
              <w:spacing w:line="360" w:lineRule="exact"/>
              <w:ind w:firstLine="0" w:firstLineChars="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差：对江东新区</w:t>
            </w:r>
            <w:r>
              <w:rPr>
                <w:rFonts w:hint="eastAsia" w:ascii="宋体" w:hAnsi="宋体" w:eastAsia="宋体" w:cs="宋体"/>
                <w:color w:val="auto"/>
                <w:sz w:val="21"/>
                <w:szCs w:val="21"/>
                <w:highlight w:val="none"/>
                <w:lang w:val="en-US" w:eastAsia="zh-CN"/>
              </w:rPr>
              <w:t>CBD起步区南片区的整体</w:t>
            </w:r>
            <w:r>
              <w:rPr>
                <w:rFonts w:hint="eastAsia" w:ascii="宋体" w:hAnsi="宋体" w:eastAsia="宋体" w:cs="宋体"/>
                <w:color w:val="auto"/>
                <w:sz w:val="21"/>
                <w:szCs w:val="21"/>
                <w:highlight w:val="none"/>
              </w:rPr>
              <w:t>发展逻辑思考不足，未能提出基本思路见解或提出的初步思路与实际情况差异较大的，得0-</w:t>
            </w:r>
            <w:r>
              <w:rPr>
                <w:rFonts w:ascii="宋体" w:hAnsi="宋体" w:eastAsia="宋体" w:cs="宋体"/>
                <w:color w:val="auto"/>
                <w:sz w:val="21"/>
                <w:szCs w:val="21"/>
                <w:highlight w:val="none"/>
              </w:rPr>
              <w:t>8</w:t>
            </w:r>
            <w:r>
              <w:rPr>
                <w:rFonts w:hint="eastAsia" w:ascii="宋体" w:hAnsi="宋体" w:eastAsia="宋体" w:cs="宋体"/>
                <w:color w:val="auto"/>
                <w:sz w:val="21"/>
                <w:szCs w:val="21"/>
                <w:highlight w:val="none"/>
              </w:rPr>
              <w:t>分。</w:t>
            </w:r>
          </w:p>
        </w:tc>
        <w:tc>
          <w:tcPr>
            <w:tcW w:w="512" w:type="pct"/>
            <w:vAlign w:val="center"/>
          </w:tcPr>
          <w:p>
            <w:pPr>
              <w:widowControl w:val="0"/>
              <w:ind w:firstLine="0" w:firstLineChars="0"/>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blHeader/>
          <w:jc w:val="center"/>
        </w:trPr>
        <w:tc>
          <w:tcPr>
            <w:tcW w:w="676" w:type="dxa"/>
            <w:vAlign w:val="center"/>
          </w:tcPr>
          <w:p>
            <w:pPr>
              <w:widowControl w:val="0"/>
              <w:ind w:firstLine="0" w:firstLineChars="0"/>
              <w:jc w:val="center"/>
              <w:rPr>
                <w:rFonts w:ascii="宋体" w:hAnsi="宋体" w:eastAsia="宋体" w:cs="Times New Roman"/>
                <w:color w:val="auto"/>
                <w:sz w:val="21"/>
                <w:szCs w:val="21"/>
                <w:highlight w:val="none"/>
              </w:rPr>
            </w:pPr>
            <w:r>
              <w:rPr>
                <w:rFonts w:ascii="宋体" w:hAnsi="宋体" w:eastAsia="宋体" w:cs="Times New Roman"/>
                <w:color w:val="auto"/>
                <w:sz w:val="21"/>
                <w:szCs w:val="21"/>
                <w:highlight w:val="none"/>
              </w:rPr>
              <w:t>3</w:t>
            </w:r>
          </w:p>
        </w:tc>
        <w:tc>
          <w:tcPr>
            <w:tcW w:w="1543" w:type="dxa"/>
            <w:vAlign w:val="center"/>
          </w:tcPr>
          <w:p>
            <w:pPr>
              <w:widowControl w:val="0"/>
              <w:spacing w:line="240" w:lineRule="auto"/>
              <w:ind w:firstLine="0" w:firstLineChars="0"/>
              <w:jc w:val="center"/>
              <w:rPr>
                <w:rFonts w:ascii="宋体" w:hAnsi="宋体" w:eastAsia="宋体" w:cs="Times New Roman"/>
                <w:color w:val="auto"/>
                <w:sz w:val="21"/>
                <w:szCs w:val="21"/>
                <w:highlight w:val="none"/>
              </w:rPr>
            </w:pPr>
            <w:r>
              <w:rPr>
                <w:rFonts w:hint="eastAsia" w:ascii="Times New Roman" w:hAnsi="Times New Roman" w:eastAsia="宋体" w:cs="Times New Roman"/>
                <w:color w:val="auto"/>
                <w:sz w:val="21"/>
                <w:szCs w:val="24"/>
                <w:highlight w:val="none"/>
              </w:rPr>
              <w:t>工作计划与时间安排</w:t>
            </w:r>
          </w:p>
        </w:tc>
        <w:tc>
          <w:tcPr>
            <w:tcW w:w="1291"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宋体" w:hAnsi="宋体" w:eastAsia="宋体" w:cs="Times New Roman"/>
                <w:color w:val="auto"/>
                <w:sz w:val="21"/>
                <w:szCs w:val="21"/>
                <w:highlight w:val="none"/>
              </w:rPr>
            </w:pPr>
            <w:r>
              <w:rPr>
                <w:rFonts w:ascii="Times New Roman" w:hAnsi="Times New Roman" w:eastAsia="宋体" w:cs="Times New Roman"/>
                <w:color w:val="auto"/>
                <w:sz w:val="21"/>
                <w:szCs w:val="21"/>
                <w:highlight w:val="none"/>
              </w:rPr>
              <w:t>5</w:t>
            </w:r>
            <w:r>
              <w:rPr>
                <w:rFonts w:hint="eastAsia" w:ascii="Times New Roman" w:hAnsi="Times New Roman" w:eastAsia="宋体" w:cs="Times New Roman"/>
                <w:color w:val="auto"/>
                <w:sz w:val="21"/>
                <w:szCs w:val="21"/>
                <w:highlight w:val="none"/>
              </w:rPr>
              <w:t>分</w:t>
            </w:r>
          </w:p>
        </w:tc>
        <w:tc>
          <w:tcPr>
            <w:tcW w:w="4861"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结合工作内容提交的工作计划与时间安排情况</w:t>
            </w:r>
            <w:r>
              <w:rPr>
                <w:rFonts w:hint="eastAsia" w:ascii="宋体" w:hAnsi="宋体" w:eastAsia="宋体" w:cs="宋体"/>
                <w:color w:val="auto"/>
                <w:sz w:val="21"/>
                <w:szCs w:val="21"/>
                <w:highlight w:val="none"/>
                <w:lang w:eastAsia="zh-CN"/>
              </w:rPr>
              <w:t>。</w:t>
            </w:r>
          </w:p>
          <w:p>
            <w:pPr>
              <w:spacing w:line="360" w:lineRule="exact"/>
              <w:ind w:firstLine="0" w:firstLineChars="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工作计划方案合理、路径明确的，得</w:t>
            </w:r>
            <w:r>
              <w:rPr>
                <w:rFonts w:ascii="宋体" w:hAnsi="宋体" w:eastAsia="宋体" w:cs="宋体"/>
                <w:color w:val="auto"/>
                <w:sz w:val="21"/>
                <w:szCs w:val="21"/>
                <w:highlight w:val="none"/>
              </w:rPr>
              <w:t>4</w:t>
            </w:r>
            <w:r>
              <w:rPr>
                <w:rFonts w:hint="eastAsia" w:ascii="宋体" w:hAnsi="宋体" w:eastAsia="宋体" w:cs="宋体"/>
                <w:color w:val="auto"/>
                <w:sz w:val="21"/>
                <w:szCs w:val="21"/>
                <w:highlight w:val="none"/>
              </w:rPr>
              <w:t>-</w:t>
            </w:r>
            <w:r>
              <w:rPr>
                <w:rFonts w:ascii="宋体" w:hAnsi="宋体" w:eastAsia="宋体" w:cs="宋体"/>
                <w:color w:val="auto"/>
                <w:sz w:val="21"/>
                <w:szCs w:val="21"/>
                <w:highlight w:val="none"/>
              </w:rPr>
              <w:t>5</w:t>
            </w:r>
            <w:r>
              <w:rPr>
                <w:rFonts w:hint="eastAsia" w:ascii="宋体" w:hAnsi="宋体" w:eastAsia="宋体" w:cs="宋体"/>
                <w:color w:val="auto"/>
                <w:sz w:val="21"/>
                <w:szCs w:val="21"/>
                <w:highlight w:val="none"/>
              </w:rPr>
              <w:t>分；</w:t>
            </w:r>
          </w:p>
          <w:p>
            <w:pPr>
              <w:spacing w:line="360" w:lineRule="exact"/>
              <w:ind w:firstLine="0" w:firstLineChars="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工作计划方案合理、路径较明确的，得</w:t>
            </w:r>
            <w:r>
              <w:rPr>
                <w:rFonts w:ascii="宋体" w:hAnsi="宋体" w:eastAsia="宋体" w:cs="宋体"/>
                <w:color w:val="auto"/>
                <w:sz w:val="21"/>
                <w:szCs w:val="21"/>
                <w:highlight w:val="none"/>
              </w:rPr>
              <w:t>2</w:t>
            </w:r>
            <w:r>
              <w:rPr>
                <w:rFonts w:hint="eastAsia" w:ascii="宋体" w:hAnsi="宋体" w:eastAsia="宋体" w:cs="宋体"/>
                <w:color w:val="auto"/>
                <w:sz w:val="21"/>
                <w:szCs w:val="21"/>
                <w:highlight w:val="none"/>
              </w:rPr>
              <w:t>-</w:t>
            </w:r>
            <w:r>
              <w:rPr>
                <w:rFonts w:ascii="宋体" w:hAnsi="宋体" w:eastAsia="宋体" w:cs="宋体"/>
                <w:color w:val="auto"/>
                <w:sz w:val="21"/>
                <w:szCs w:val="21"/>
                <w:highlight w:val="none"/>
              </w:rPr>
              <w:t>3</w:t>
            </w:r>
            <w:r>
              <w:rPr>
                <w:rFonts w:hint="eastAsia" w:ascii="宋体" w:hAnsi="宋体" w:eastAsia="宋体" w:cs="宋体"/>
                <w:color w:val="auto"/>
                <w:sz w:val="21"/>
                <w:szCs w:val="21"/>
                <w:highlight w:val="none"/>
              </w:rPr>
              <w:t>分；</w:t>
            </w:r>
          </w:p>
          <w:p>
            <w:pPr>
              <w:spacing w:line="360" w:lineRule="exact"/>
              <w:ind w:firstLine="0" w:firstLineChars="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工作计划方案一般、路径不明确的，得0-</w:t>
            </w:r>
            <w:r>
              <w:rPr>
                <w:rFonts w:ascii="宋体" w:hAnsi="宋体" w:eastAsia="宋体" w:cs="宋体"/>
                <w:color w:val="auto"/>
                <w:sz w:val="21"/>
                <w:szCs w:val="21"/>
                <w:highlight w:val="none"/>
              </w:rPr>
              <w:t>1</w:t>
            </w:r>
            <w:r>
              <w:rPr>
                <w:rFonts w:hint="eastAsia" w:ascii="宋体" w:hAnsi="宋体" w:eastAsia="宋体" w:cs="宋体"/>
                <w:color w:val="auto"/>
                <w:sz w:val="21"/>
                <w:szCs w:val="21"/>
                <w:highlight w:val="none"/>
              </w:rPr>
              <w:t>分。</w:t>
            </w:r>
          </w:p>
        </w:tc>
        <w:tc>
          <w:tcPr>
            <w:tcW w:w="512" w:type="pct"/>
            <w:vAlign w:val="center"/>
          </w:tcPr>
          <w:p>
            <w:pPr>
              <w:widowControl w:val="0"/>
              <w:ind w:firstLine="0" w:firstLineChars="0"/>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blHeader/>
          <w:jc w:val="center"/>
        </w:trPr>
        <w:tc>
          <w:tcPr>
            <w:tcW w:w="676" w:type="dxa"/>
            <w:vAlign w:val="center"/>
          </w:tcPr>
          <w:p>
            <w:pPr>
              <w:widowControl w:val="0"/>
              <w:ind w:firstLine="0" w:firstLineChars="0"/>
              <w:jc w:val="center"/>
              <w:rPr>
                <w:rFonts w:hint="eastAsia" w:ascii="宋体" w:hAnsi="宋体" w:eastAsia="宋体" w:cs="Times New Roman"/>
                <w:color w:val="auto"/>
                <w:sz w:val="21"/>
                <w:szCs w:val="21"/>
                <w:highlight w:val="none"/>
              </w:rPr>
            </w:pPr>
            <w:r>
              <w:rPr>
                <w:rFonts w:ascii="宋体" w:hAnsi="宋体" w:eastAsia="宋体" w:cs="Times New Roman"/>
                <w:color w:val="auto"/>
                <w:sz w:val="21"/>
                <w:szCs w:val="21"/>
                <w:highlight w:val="none"/>
              </w:rPr>
              <w:t>4</w:t>
            </w:r>
          </w:p>
        </w:tc>
        <w:tc>
          <w:tcPr>
            <w:tcW w:w="1543" w:type="dxa"/>
            <w:vAlign w:val="center"/>
          </w:tcPr>
          <w:p>
            <w:pPr>
              <w:widowControl w:val="0"/>
              <w:spacing w:line="240" w:lineRule="auto"/>
              <w:ind w:firstLine="0" w:firstLineChars="0"/>
              <w:jc w:val="center"/>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质量承诺及控制措施</w:t>
            </w:r>
          </w:p>
        </w:tc>
        <w:tc>
          <w:tcPr>
            <w:tcW w:w="1291"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3</w:t>
            </w:r>
            <w:r>
              <w:rPr>
                <w:rFonts w:hint="eastAsia" w:ascii="Times New Roman" w:hAnsi="Times New Roman" w:eastAsia="宋体" w:cs="Times New Roman"/>
                <w:color w:val="auto"/>
                <w:sz w:val="21"/>
                <w:szCs w:val="21"/>
                <w:highlight w:val="none"/>
              </w:rPr>
              <w:t>分</w:t>
            </w:r>
          </w:p>
        </w:tc>
        <w:tc>
          <w:tcPr>
            <w:tcW w:w="4861"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服务质量承诺完整、保证体系健全、控制措施非常有效得</w:t>
            </w:r>
            <w:r>
              <w:rPr>
                <w:rFonts w:ascii="宋体" w:hAnsi="宋体" w:eastAsia="宋体" w:cs="宋体"/>
                <w:color w:val="auto"/>
                <w:sz w:val="21"/>
                <w:szCs w:val="21"/>
                <w:highlight w:val="none"/>
              </w:rPr>
              <w:t>3</w:t>
            </w:r>
            <w:r>
              <w:rPr>
                <w:rFonts w:hint="eastAsia" w:ascii="宋体" w:hAnsi="宋体" w:eastAsia="宋体" w:cs="宋体"/>
                <w:color w:val="auto"/>
                <w:sz w:val="21"/>
                <w:szCs w:val="21"/>
                <w:highlight w:val="none"/>
              </w:rPr>
              <w:t>分；</w:t>
            </w:r>
          </w:p>
          <w:p>
            <w:pPr>
              <w:spacing w:line="360" w:lineRule="exact"/>
              <w:ind w:firstLine="0" w:firstLineChars="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服务质量承诺较完整、保证体系较健全、控制措施一般得2分；</w:t>
            </w:r>
          </w:p>
          <w:p>
            <w:pPr>
              <w:spacing w:line="360" w:lineRule="exact"/>
              <w:ind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服务质量承诺完整性较差、保证体系一般、控制措施较差得0-1分。</w:t>
            </w:r>
          </w:p>
        </w:tc>
        <w:tc>
          <w:tcPr>
            <w:tcW w:w="512" w:type="pct"/>
            <w:vAlign w:val="center"/>
          </w:tcPr>
          <w:p>
            <w:pPr>
              <w:widowControl w:val="0"/>
              <w:ind w:firstLine="0" w:firstLineChars="0"/>
              <w:jc w:val="center"/>
              <w:rPr>
                <w:rFonts w:ascii="宋体" w:hAnsi="宋体" w:eastAsia="宋体" w:cs="Times New Roman"/>
                <w:color w:val="auto"/>
                <w:sz w:val="21"/>
                <w:szCs w:val="21"/>
                <w:highlight w:val="none"/>
              </w:rPr>
            </w:pPr>
          </w:p>
        </w:tc>
      </w:tr>
    </w:tbl>
    <w:p>
      <w:pPr>
        <w:pStyle w:val="2"/>
        <w:rPr>
          <w:color w:val="auto"/>
        </w:rPr>
      </w:pPr>
    </w:p>
    <w:p>
      <w:pPr>
        <w:pageBreakBefore/>
        <w:ind w:firstLine="482"/>
        <w:jc w:val="left"/>
        <w:rPr>
          <w:rFonts w:ascii="宋体" w:hAnsi="宋体" w:eastAsia="宋体" w:cs="黑体"/>
          <w:b/>
          <w:bCs/>
          <w:color w:val="auto"/>
          <w:kern w:val="0"/>
          <w:sz w:val="24"/>
          <w:szCs w:val="24"/>
        </w:rPr>
      </w:pPr>
      <w:r>
        <w:rPr>
          <w:rFonts w:hint="eastAsia" w:ascii="宋体" w:hAnsi="宋体" w:eastAsia="宋体" w:cs="黑体"/>
          <w:b/>
          <w:bCs/>
          <w:color w:val="auto"/>
          <w:kern w:val="0"/>
          <w:sz w:val="24"/>
          <w:szCs w:val="24"/>
        </w:rPr>
        <w:t>附表5</w:t>
      </w:r>
      <w:r>
        <w:rPr>
          <w:rFonts w:ascii="宋体" w:hAnsi="宋体" w:eastAsia="宋体" w:cs="黑体"/>
          <w:b/>
          <w:bCs/>
          <w:color w:val="auto"/>
          <w:kern w:val="0"/>
          <w:sz w:val="24"/>
          <w:szCs w:val="24"/>
        </w:rPr>
        <w:t>:</w:t>
      </w:r>
    </w:p>
    <w:p>
      <w:pPr>
        <w:widowControl w:val="0"/>
        <w:ind w:firstLine="438"/>
        <w:jc w:val="center"/>
        <w:rPr>
          <w:rFonts w:ascii="宋体" w:hAnsi="宋体" w:eastAsia="宋体" w:cs="方正小标宋简体"/>
          <w:b/>
          <w:bCs/>
          <w:color w:val="auto"/>
          <w:spacing w:val="-11"/>
          <w:sz w:val="24"/>
          <w:szCs w:val="24"/>
        </w:rPr>
      </w:pPr>
      <w:r>
        <w:rPr>
          <w:rFonts w:hint="eastAsia" w:ascii="宋体" w:hAnsi="宋体" w:eastAsia="宋体" w:cs="方正小标宋简体"/>
          <w:b/>
          <w:bCs/>
          <w:color w:val="auto"/>
          <w:spacing w:val="-11"/>
          <w:sz w:val="24"/>
          <w:szCs w:val="24"/>
        </w:rPr>
        <w:t>价格</w:t>
      </w:r>
      <w:r>
        <w:rPr>
          <w:rFonts w:ascii="宋体" w:hAnsi="宋体" w:eastAsia="宋体" w:cs="方正小标宋简体"/>
          <w:b/>
          <w:bCs/>
          <w:color w:val="auto"/>
          <w:spacing w:val="-11"/>
          <w:sz w:val="24"/>
          <w:szCs w:val="24"/>
        </w:rPr>
        <w:t>评审因素及分值分配表</w:t>
      </w:r>
    </w:p>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8"/>
        <w:gridCol w:w="1658"/>
        <w:gridCol w:w="1130"/>
        <w:gridCol w:w="4975"/>
        <w:gridCol w:w="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5" w:type="pct"/>
            <w:vAlign w:val="center"/>
          </w:tcPr>
          <w:p>
            <w:pPr>
              <w:widowControl w:val="0"/>
              <w:ind w:firstLine="0" w:firstLineChars="0"/>
              <w:jc w:val="center"/>
              <w:rPr>
                <w:rFonts w:ascii="宋体" w:hAnsi="宋体" w:eastAsia="宋体" w:cs="Times New Roman"/>
                <w:b/>
                <w:bCs/>
                <w:color w:val="auto"/>
                <w:sz w:val="21"/>
                <w:szCs w:val="21"/>
              </w:rPr>
            </w:pPr>
            <w:r>
              <w:rPr>
                <w:rFonts w:ascii="宋体" w:hAnsi="宋体" w:eastAsia="宋体" w:cs="Times New Roman"/>
                <w:b/>
                <w:bCs/>
                <w:color w:val="auto"/>
                <w:sz w:val="21"/>
                <w:szCs w:val="21"/>
              </w:rPr>
              <w:t>序号</w:t>
            </w:r>
          </w:p>
        </w:tc>
        <w:tc>
          <w:tcPr>
            <w:tcW w:w="904" w:type="pct"/>
            <w:vAlign w:val="center"/>
          </w:tcPr>
          <w:p>
            <w:pPr>
              <w:widowControl w:val="0"/>
              <w:ind w:firstLine="0" w:firstLineChars="0"/>
              <w:jc w:val="center"/>
              <w:rPr>
                <w:rFonts w:ascii="宋体" w:hAnsi="宋体" w:eastAsia="宋体" w:cs="Times New Roman"/>
                <w:b/>
                <w:bCs/>
                <w:color w:val="auto"/>
                <w:sz w:val="21"/>
                <w:szCs w:val="21"/>
              </w:rPr>
            </w:pPr>
            <w:r>
              <w:rPr>
                <w:rFonts w:ascii="宋体" w:hAnsi="宋体" w:eastAsia="宋体" w:cs="Times New Roman"/>
                <w:b/>
                <w:bCs/>
                <w:color w:val="auto"/>
                <w:sz w:val="21"/>
                <w:szCs w:val="21"/>
              </w:rPr>
              <w:t>评审内容</w:t>
            </w:r>
          </w:p>
        </w:tc>
        <w:tc>
          <w:tcPr>
            <w:tcW w:w="616" w:type="pct"/>
            <w:vAlign w:val="center"/>
          </w:tcPr>
          <w:p>
            <w:pPr>
              <w:widowControl w:val="0"/>
              <w:ind w:firstLine="0" w:firstLineChars="0"/>
              <w:jc w:val="center"/>
              <w:rPr>
                <w:rFonts w:ascii="宋体" w:hAnsi="宋体" w:eastAsia="宋体" w:cs="Times New Roman"/>
                <w:b/>
                <w:bCs/>
                <w:color w:val="auto"/>
                <w:sz w:val="21"/>
                <w:szCs w:val="21"/>
              </w:rPr>
            </w:pPr>
            <w:r>
              <w:rPr>
                <w:rFonts w:hint="eastAsia" w:ascii="宋体" w:hAnsi="宋体" w:eastAsia="宋体" w:cs="Times New Roman"/>
                <w:b/>
                <w:bCs/>
                <w:color w:val="auto"/>
                <w:sz w:val="21"/>
                <w:szCs w:val="21"/>
              </w:rPr>
              <w:t>标准分</w:t>
            </w:r>
          </w:p>
        </w:tc>
        <w:tc>
          <w:tcPr>
            <w:tcW w:w="2712" w:type="pct"/>
            <w:vAlign w:val="center"/>
          </w:tcPr>
          <w:p>
            <w:pPr>
              <w:widowControl w:val="0"/>
              <w:ind w:firstLine="0" w:firstLineChars="0"/>
              <w:jc w:val="center"/>
              <w:rPr>
                <w:rFonts w:ascii="宋体" w:hAnsi="宋体" w:eastAsia="宋体" w:cs="Times New Roman"/>
                <w:b/>
                <w:bCs/>
                <w:color w:val="auto"/>
                <w:sz w:val="21"/>
                <w:szCs w:val="21"/>
              </w:rPr>
            </w:pPr>
            <w:r>
              <w:rPr>
                <w:rFonts w:ascii="宋体" w:hAnsi="宋体" w:eastAsia="宋体" w:cs="Times New Roman"/>
                <w:b/>
                <w:bCs/>
                <w:color w:val="auto"/>
                <w:sz w:val="21"/>
                <w:szCs w:val="21"/>
              </w:rPr>
              <w:t>评  审  标  准</w:t>
            </w:r>
          </w:p>
        </w:tc>
        <w:tc>
          <w:tcPr>
            <w:tcW w:w="393" w:type="pct"/>
            <w:vAlign w:val="center"/>
          </w:tcPr>
          <w:p>
            <w:pPr>
              <w:widowControl w:val="0"/>
              <w:ind w:firstLine="0" w:firstLineChars="0"/>
              <w:jc w:val="center"/>
              <w:rPr>
                <w:rFonts w:ascii="宋体" w:hAnsi="宋体" w:eastAsia="宋体" w:cs="Times New Roman"/>
                <w:b/>
                <w:bCs/>
                <w:color w:val="auto"/>
                <w:sz w:val="21"/>
                <w:szCs w:val="21"/>
              </w:rPr>
            </w:pPr>
            <w:r>
              <w:rPr>
                <w:rFonts w:ascii="宋体" w:hAnsi="宋体" w:eastAsia="宋体" w:cs="Times New Roman"/>
                <w:b/>
                <w:bCs/>
                <w:color w:val="auto"/>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5" w:type="pct"/>
            <w:vAlign w:val="center"/>
          </w:tcPr>
          <w:p>
            <w:pPr>
              <w:widowControl w:val="0"/>
              <w:ind w:firstLine="0" w:firstLineChars="0"/>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1687" w:type="dxa"/>
            <w:tcBorders>
              <w:top w:val="single" w:color="auto" w:sz="4" w:space="0"/>
              <w:left w:val="single" w:color="auto" w:sz="4" w:space="0"/>
              <w:bottom w:val="single" w:color="auto" w:sz="4" w:space="0"/>
              <w:right w:val="single" w:color="auto" w:sz="4" w:space="0"/>
            </w:tcBorders>
            <w:vAlign w:val="center"/>
          </w:tcPr>
          <w:p>
            <w:pPr>
              <w:widowControl w:val="0"/>
              <w:ind w:firstLine="0" w:firstLineChars="0"/>
              <w:jc w:val="center"/>
              <w:rPr>
                <w:rFonts w:ascii="宋体" w:hAnsi="宋体" w:eastAsia="宋体" w:cs="Times New Roman"/>
                <w:color w:val="auto"/>
                <w:sz w:val="21"/>
                <w:szCs w:val="21"/>
              </w:rPr>
            </w:pPr>
            <w:r>
              <w:rPr>
                <w:rFonts w:hint="eastAsia" w:ascii="宋体" w:hAnsi="宋体" w:eastAsia="宋体" w:cs="Times New Roman"/>
                <w:color w:val="auto"/>
                <w:sz w:val="21"/>
                <w:szCs w:val="21"/>
              </w:rPr>
              <w:t>项目报价</w:t>
            </w:r>
          </w:p>
        </w:tc>
        <w:tc>
          <w:tcPr>
            <w:tcW w:w="1149" w:type="dxa"/>
            <w:tcBorders>
              <w:top w:val="single" w:color="auto" w:sz="4" w:space="0"/>
              <w:left w:val="single" w:color="auto" w:sz="4" w:space="0"/>
              <w:bottom w:val="single" w:color="auto" w:sz="4" w:space="0"/>
              <w:right w:val="single" w:color="auto" w:sz="4" w:space="0"/>
            </w:tcBorders>
            <w:vAlign w:val="center"/>
          </w:tcPr>
          <w:p>
            <w:pPr>
              <w:widowControl w:val="0"/>
              <w:ind w:firstLine="0" w:firstLineChars="0"/>
              <w:jc w:val="center"/>
              <w:rPr>
                <w:rFonts w:ascii="宋体" w:hAnsi="宋体" w:eastAsia="宋体" w:cs="Times New Roman"/>
                <w:color w:val="auto"/>
                <w:sz w:val="21"/>
                <w:szCs w:val="21"/>
              </w:rPr>
            </w:pPr>
            <w:r>
              <w:rPr>
                <w:rFonts w:hint="eastAsia" w:ascii="宋体" w:hAnsi="宋体" w:eastAsia="宋体" w:cs="Times New Roman"/>
                <w:color w:val="auto"/>
                <w:sz w:val="21"/>
                <w:szCs w:val="21"/>
              </w:rPr>
              <w:t>20分</w:t>
            </w:r>
          </w:p>
        </w:tc>
        <w:tc>
          <w:tcPr>
            <w:tcW w:w="5061" w:type="dxa"/>
            <w:tcBorders>
              <w:top w:val="single" w:color="auto" w:sz="4" w:space="0"/>
              <w:left w:val="single" w:color="auto" w:sz="4" w:space="0"/>
              <w:bottom w:val="single" w:color="auto" w:sz="4" w:space="0"/>
              <w:right w:val="single" w:color="auto" w:sz="4" w:space="0"/>
            </w:tcBorders>
            <w:vAlign w:val="center"/>
          </w:tcPr>
          <w:p>
            <w:pPr>
              <w:widowControl w:val="0"/>
              <w:ind w:firstLine="0" w:firstLineChars="0"/>
              <w:rPr>
                <w:rFonts w:ascii="宋体" w:hAnsi="宋体" w:eastAsia="宋体" w:cs="Times New Roman"/>
                <w:color w:val="auto"/>
                <w:sz w:val="21"/>
                <w:szCs w:val="21"/>
              </w:rPr>
            </w:pPr>
            <w:r>
              <w:rPr>
                <w:rFonts w:hint="eastAsia" w:ascii="宋体" w:hAnsi="宋体" w:eastAsia="宋体" w:cs="Times New Roman"/>
                <w:color w:val="auto"/>
                <w:sz w:val="21"/>
                <w:szCs w:val="21"/>
              </w:rPr>
              <w:t xml:space="preserve">价格分采用低价优先法计算，即满足招标文件要求且投标价格最低的投标报价为评标基准价，其价格分为满分。其他供应商的价格分统一按照下列公式计算： </w:t>
            </w:r>
          </w:p>
          <w:p>
            <w:pPr>
              <w:widowControl w:val="0"/>
              <w:ind w:firstLine="0" w:firstLineChars="0"/>
              <w:rPr>
                <w:rFonts w:ascii="宋体" w:hAnsi="宋体" w:eastAsia="宋体" w:cs="Times New Roman"/>
                <w:color w:val="auto"/>
                <w:sz w:val="21"/>
                <w:szCs w:val="21"/>
              </w:rPr>
            </w:pPr>
            <w:r>
              <w:rPr>
                <w:rFonts w:hint="eastAsia" w:ascii="宋体" w:hAnsi="宋体" w:eastAsia="宋体" w:cs="Times New Roman"/>
                <w:color w:val="auto"/>
                <w:sz w:val="21"/>
                <w:szCs w:val="21"/>
              </w:rPr>
              <w:t xml:space="preserve"> 投标报价得分=(评标基准价／投标报价)×价格分</w:t>
            </w:r>
          </w:p>
        </w:tc>
        <w:tc>
          <w:tcPr>
            <w:tcW w:w="393" w:type="pct"/>
            <w:vAlign w:val="center"/>
          </w:tcPr>
          <w:p>
            <w:pPr>
              <w:widowControl w:val="0"/>
              <w:ind w:firstLine="0" w:firstLineChars="0"/>
              <w:rPr>
                <w:rFonts w:ascii="宋体" w:hAnsi="宋体" w:eastAsia="宋体" w:cs="Times New Roman"/>
                <w:color w:val="auto"/>
                <w:sz w:val="21"/>
                <w:szCs w:val="21"/>
              </w:rPr>
            </w:pPr>
          </w:p>
        </w:tc>
      </w:tr>
    </w:tbl>
    <w:p>
      <w:pPr>
        <w:widowControl w:val="0"/>
        <w:ind w:firstLine="480"/>
        <w:rPr>
          <w:rFonts w:ascii="Times New Roman" w:hAnsi="宋体" w:eastAsia="宋体" w:cs="黑体"/>
          <w:color w:val="auto"/>
          <w:kern w:val="0"/>
          <w:sz w:val="24"/>
          <w:szCs w:val="24"/>
        </w:rPr>
      </w:pPr>
    </w:p>
    <w:p>
      <w:pPr>
        <w:ind w:firstLine="0" w:firstLineChars="0"/>
        <w:jc w:val="left"/>
        <w:rPr>
          <w:rFonts w:ascii="宋体" w:hAnsi="宋体" w:eastAsia="宋体" w:cs="Times New Roman"/>
          <w:b/>
          <w:color w:val="auto"/>
          <w:sz w:val="21"/>
          <w:szCs w:val="21"/>
        </w:rPr>
      </w:pPr>
    </w:p>
    <w:p>
      <w:pPr>
        <w:pageBreakBefore/>
        <w:widowControl w:val="0"/>
        <w:autoSpaceDE w:val="0"/>
        <w:autoSpaceDN w:val="0"/>
        <w:adjustRightInd w:val="0"/>
        <w:ind w:firstLine="723"/>
        <w:jc w:val="center"/>
        <w:rPr>
          <w:rFonts w:ascii="宋体" w:hAnsi="宋体" w:eastAsia="宋体" w:cs="宋体"/>
          <w:b/>
          <w:bCs/>
          <w:color w:val="auto"/>
          <w:sz w:val="36"/>
          <w:szCs w:val="36"/>
        </w:rPr>
      </w:pPr>
      <w:r>
        <w:rPr>
          <w:rFonts w:hint="eastAsia" w:ascii="宋体" w:hAnsi="宋体" w:eastAsia="宋体" w:cs="宋体"/>
          <w:b/>
          <w:bCs/>
          <w:color w:val="auto"/>
          <w:sz w:val="36"/>
          <w:szCs w:val="36"/>
        </w:rPr>
        <w:t>第五章   比选</w:t>
      </w:r>
      <w:r>
        <w:rPr>
          <w:rFonts w:hint="eastAsia" w:ascii="宋体" w:hAnsi="宋体" w:eastAsia="宋体" w:cs="宋体"/>
          <w:b/>
          <w:bCs/>
          <w:color w:val="auto"/>
          <w:kern w:val="0"/>
          <w:sz w:val="36"/>
          <w:szCs w:val="36"/>
        </w:rPr>
        <w:t>响应文件格式</w:t>
      </w:r>
    </w:p>
    <w:p>
      <w:pPr>
        <w:ind w:firstLine="482"/>
        <w:jc w:val="left"/>
        <w:rPr>
          <w:rFonts w:ascii="宋体" w:hAnsi="宋体" w:eastAsia="宋体" w:cs="Times New Roman"/>
          <w:b/>
          <w:bCs/>
          <w:color w:val="auto"/>
          <w:sz w:val="24"/>
          <w:szCs w:val="24"/>
        </w:rPr>
      </w:pPr>
      <w:r>
        <w:rPr>
          <w:rFonts w:hint="eastAsia" w:ascii="宋体" w:hAnsi="宋体" w:eastAsia="宋体" w:cs="Times New Roman"/>
          <w:b/>
          <w:bCs/>
          <w:color w:val="auto"/>
          <w:sz w:val="24"/>
          <w:szCs w:val="24"/>
        </w:rPr>
        <w:t>附件1：响应函</w:t>
      </w:r>
    </w:p>
    <w:p>
      <w:pPr>
        <w:widowControl w:val="0"/>
        <w:adjustRightInd w:val="0"/>
        <w:snapToGrid w:val="0"/>
        <w:ind w:firstLine="480"/>
        <w:rPr>
          <w:rFonts w:ascii="宋体" w:hAnsi="宋体" w:eastAsia="宋体" w:cs="Times New Roman"/>
          <w:color w:val="auto"/>
          <w:sz w:val="24"/>
          <w:szCs w:val="24"/>
          <w:u w:val="single"/>
        </w:rPr>
      </w:pPr>
    </w:p>
    <w:p>
      <w:pPr>
        <w:widowControl w:val="0"/>
        <w:adjustRightInd w:val="0"/>
        <w:snapToGrid w:val="0"/>
        <w:ind w:firstLine="480"/>
        <w:rPr>
          <w:rFonts w:ascii="宋体" w:hAnsi="宋体" w:eastAsia="宋体" w:cs="Times New Roman"/>
          <w:color w:val="auto"/>
          <w:sz w:val="24"/>
          <w:szCs w:val="24"/>
          <w:u w:val="single"/>
        </w:rPr>
      </w:pPr>
      <w:r>
        <w:rPr>
          <w:rFonts w:hint="eastAsia" w:ascii="宋体" w:hAnsi="宋体" w:eastAsia="宋体" w:cs="Times New Roman"/>
          <w:color w:val="auto"/>
          <w:sz w:val="24"/>
          <w:szCs w:val="24"/>
          <w:u w:val="single"/>
        </w:rPr>
        <w:t>海口江东新区管理局：</w:t>
      </w:r>
    </w:p>
    <w:p>
      <w:pPr>
        <w:widowControl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根据贵局</w:t>
      </w:r>
      <w:r>
        <w:rPr>
          <w:rFonts w:hint="eastAsia" w:ascii="宋体" w:hAnsi="宋体" w:eastAsia="宋体" w:cs="Times New Roman"/>
          <w:color w:val="auto"/>
          <w:sz w:val="24"/>
          <w:szCs w:val="24"/>
          <w:u w:val="single"/>
          <w:lang w:eastAsia="zh-CN"/>
        </w:rPr>
        <w:t>海口江东新区CBD起步区南片区概念设计方案</w:t>
      </w:r>
      <w:r>
        <w:rPr>
          <w:rFonts w:hint="eastAsia" w:ascii="宋体" w:hAnsi="宋体" w:eastAsia="宋体" w:cs="Times New Roman"/>
          <w:color w:val="auto"/>
          <w:sz w:val="24"/>
          <w:szCs w:val="24"/>
        </w:rPr>
        <w:t>项目采购文件（以下简称《采购文件》）的要求，</w:t>
      </w:r>
      <w:r>
        <w:rPr>
          <w:rFonts w:hint="eastAsia" w:ascii="宋体" w:hAnsi="宋体" w:eastAsia="宋体" w:cs="Times New Roman"/>
          <w:color w:val="auto"/>
          <w:sz w:val="24"/>
          <w:szCs w:val="24"/>
          <w:u w:val="single"/>
        </w:rPr>
        <w:t xml:space="preserve">       （全名及职衔）</w:t>
      </w:r>
      <w:r>
        <w:rPr>
          <w:rFonts w:hint="eastAsia" w:ascii="宋体" w:hAnsi="宋体" w:eastAsia="宋体" w:cs="Times New Roman"/>
          <w:color w:val="auto"/>
          <w:sz w:val="24"/>
          <w:szCs w:val="24"/>
        </w:rPr>
        <w:t>经正式授权并以（比选单位名称）的名义报价。提交下列响应文件正本1份，副本4份：</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1.响应函；</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2.报价表；</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 xml:space="preserve">3.法定代表人身份证明书； </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4.法定代表人授权书；</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5.委托人及受托人身份证复印件；</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6.资质文件：</w:t>
      </w:r>
    </w:p>
    <w:p>
      <w:pPr>
        <w:widowControl w:val="0"/>
        <w:ind w:firstLine="480"/>
        <w:rPr>
          <w:rFonts w:ascii="宋体" w:hAnsi="宋体" w:eastAsia="宋体" w:cs="宋体"/>
          <w:color w:val="auto"/>
          <w:sz w:val="24"/>
          <w:szCs w:val="24"/>
        </w:rPr>
      </w:pPr>
      <w:r>
        <w:rPr>
          <w:rFonts w:hint="eastAsia" w:ascii="宋体" w:hAnsi="宋体" w:eastAsia="宋体" w:cs="宋体"/>
          <w:color w:val="auto"/>
          <w:sz w:val="24"/>
          <w:szCs w:val="24"/>
        </w:rPr>
        <w:t>（1）营业执照（复印件）；</w:t>
      </w:r>
    </w:p>
    <w:p>
      <w:pPr>
        <w:widowControl w:val="0"/>
        <w:ind w:firstLine="480"/>
        <w:rPr>
          <w:rFonts w:ascii="宋体" w:hAnsi="宋体" w:eastAsia="宋体" w:cs="宋体"/>
          <w:color w:val="auto"/>
          <w:sz w:val="24"/>
          <w:szCs w:val="24"/>
        </w:rPr>
      </w:pPr>
      <w:r>
        <w:rPr>
          <w:rFonts w:hint="eastAsia" w:ascii="宋体" w:hAnsi="宋体" w:eastAsia="宋体" w:cs="宋体"/>
          <w:color w:val="auto"/>
          <w:sz w:val="24"/>
          <w:szCs w:val="24"/>
        </w:rPr>
        <w:t>（2）提供202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年至响应文件接受截止日任意1个月的纳税凭证（银行出具的纳税凭证或税务机关出具的证明的复印件）或免税证明（复印件）；</w:t>
      </w:r>
    </w:p>
    <w:p>
      <w:pPr>
        <w:widowControl w:val="0"/>
        <w:ind w:firstLine="480"/>
        <w:rPr>
          <w:rFonts w:ascii="宋体" w:hAnsi="宋体" w:eastAsia="宋体" w:cs="宋体"/>
          <w:color w:val="auto"/>
          <w:sz w:val="24"/>
          <w:szCs w:val="24"/>
        </w:rPr>
      </w:pPr>
      <w:r>
        <w:rPr>
          <w:rFonts w:hint="eastAsia" w:ascii="宋体" w:hAnsi="宋体" w:eastAsia="宋体" w:cs="宋体"/>
          <w:color w:val="auto"/>
          <w:sz w:val="24"/>
          <w:szCs w:val="24"/>
        </w:rPr>
        <w:t>（3）提供202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年至响应文件接受截止日任意1个月的社会保障资金缴纳记录（专用收据或社会保险缴纳清单）或免缴纳证明（复印件）；</w:t>
      </w:r>
    </w:p>
    <w:p>
      <w:pPr>
        <w:widowControl w:val="0"/>
        <w:ind w:firstLine="480"/>
        <w:rPr>
          <w:rFonts w:ascii="宋体" w:hAnsi="宋体" w:eastAsia="宋体" w:cs="宋体"/>
          <w:color w:val="auto"/>
          <w:sz w:val="24"/>
          <w:szCs w:val="24"/>
        </w:rPr>
      </w:pPr>
      <w:r>
        <w:rPr>
          <w:rFonts w:hint="eastAsia" w:ascii="宋体" w:hAnsi="宋体" w:eastAsia="宋体" w:cs="宋体"/>
          <w:color w:val="auto"/>
          <w:sz w:val="24"/>
          <w:szCs w:val="24"/>
        </w:rPr>
        <w:t>（4）提供</w:t>
      </w:r>
      <w:r>
        <w:rPr>
          <w:rFonts w:ascii="宋体" w:hAnsi="宋体" w:eastAsia="宋体" w:cs="宋体"/>
          <w:color w:val="auto"/>
          <w:sz w:val="24"/>
          <w:szCs w:val="24"/>
        </w:rPr>
        <w:t>202</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年度经审计的财务审计报告或</w:t>
      </w:r>
      <w:r>
        <w:rPr>
          <w:rFonts w:ascii="宋体" w:hAnsi="宋体" w:eastAsia="宋体" w:cs="宋体"/>
          <w:color w:val="auto"/>
          <w:sz w:val="24"/>
          <w:szCs w:val="24"/>
        </w:rPr>
        <w:t>202</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年度财务报表（含资产负债表、利润表、现金流量表）；</w:t>
      </w:r>
    </w:p>
    <w:p>
      <w:pPr>
        <w:widowControl w:val="0"/>
        <w:ind w:firstLine="480"/>
        <w:rPr>
          <w:rFonts w:ascii="宋体" w:hAnsi="宋体" w:eastAsia="宋体" w:cs="宋体"/>
          <w:color w:val="auto"/>
          <w:sz w:val="24"/>
          <w:szCs w:val="24"/>
        </w:rPr>
      </w:pPr>
      <w:r>
        <w:rPr>
          <w:rFonts w:hint="eastAsia" w:ascii="宋体" w:hAnsi="宋体" w:eastAsia="宋体" w:cs="宋体"/>
          <w:color w:val="auto"/>
          <w:sz w:val="24"/>
          <w:szCs w:val="24"/>
        </w:rPr>
        <w:t>（5）提供有效的参加政府采购活动前3年内在经营活动中没有重大违法记录的书面声明；</w:t>
      </w:r>
    </w:p>
    <w:p>
      <w:pPr>
        <w:widowControl w:val="0"/>
        <w:ind w:firstLine="480"/>
        <w:rPr>
          <w:rFonts w:ascii="宋体" w:hAnsi="宋体" w:eastAsia="宋体" w:cs="宋体"/>
          <w:color w:val="auto"/>
          <w:sz w:val="24"/>
          <w:szCs w:val="24"/>
        </w:rPr>
      </w:pPr>
      <w:r>
        <w:rPr>
          <w:rFonts w:hint="eastAsia" w:ascii="宋体" w:hAnsi="宋体" w:eastAsia="宋体" w:cs="宋体"/>
          <w:color w:val="auto"/>
          <w:sz w:val="24"/>
          <w:szCs w:val="24"/>
        </w:rPr>
        <w:t>（6）未被“信用中国”网站（www.creditchina.gov.cn）中列入失信被执行人和重大税收违法案件当事人名单、未被中国政府采购网（www.ccgp.gov.cn）列入政府采购严重违法失信行为记录名单（提供网站查询截图）；</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7.承诺函；</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8.商务评审所需的材料；</w:t>
      </w:r>
    </w:p>
    <w:p>
      <w:pPr>
        <w:widowControl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9.服务方案；</w:t>
      </w:r>
    </w:p>
    <w:p>
      <w:pPr>
        <w:widowControl w:val="0"/>
        <w:adjustRightInd w:val="0"/>
        <w:snapToGrid w:val="0"/>
        <w:ind w:firstLine="480"/>
        <w:rPr>
          <w:rFonts w:ascii="宋体" w:hAnsi="宋体" w:eastAsia="宋体" w:cs="宋体"/>
          <w:color w:val="auto"/>
          <w:sz w:val="24"/>
          <w:szCs w:val="24"/>
        </w:rPr>
      </w:pPr>
      <w:r>
        <w:rPr>
          <w:rFonts w:hint="eastAsia" w:ascii="宋体" w:hAnsi="宋体" w:eastAsia="宋体" w:cs="宋体"/>
          <w:color w:val="auto"/>
          <w:sz w:val="24"/>
          <w:szCs w:val="24"/>
        </w:rPr>
        <w:t>10.符合本比选项目要求的其他材料。</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签字代表在此声明并同意：</w:t>
      </w:r>
    </w:p>
    <w:p>
      <w:pPr>
        <w:widowControl w:val="0"/>
        <w:adjustRightInd w:val="0"/>
        <w:snapToGrid w:val="0"/>
        <w:ind w:firstLine="480"/>
        <w:rPr>
          <w:rFonts w:ascii="宋体" w:hAnsi="宋体" w:eastAsia="宋体" w:cs="Times New Roman"/>
          <w:color w:val="auto"/>
          <w:sz w:val="24"/>
          <w:szCs w:val="24"/>
          <w:u w:val="single"/>
        </w:rPr>
      </w:pPr>
      <w:r>
        <w:rPr>
          <w:rFonts w:hint="eastAsia" w:ascii="宋体" w:hAnsi="宋体" w:eastAsia="宋体" w:cs="Times New Roman"/>
          <w:color w:val="auto"/>
          <w:sz w:val="24"/>
          <w:szCs w:val="24"/>
        </w:rPr>
        <w:t>1.我们愿意遵守采购文件中的各项规定，提供符合采购文件所要求的</w:t>
      </w:r>
      <w:r>
        <w:rPr>
          <w:rFonts w:hint="eastAsia" w:ascii="宋体" w:hAnsi="宋体" w:eastAsia="宋体" w:cs="Times New Roman"/>
          <w:color w:val="auto"/>
          <w:sz w:val="24"/>
          <w:szCs w:val="24"/>
          <w:u w:val="single"/>
        </w:rPr>
        <w:t>（</w:t>
      </w:r>
      <w:r>
        <w:rPr>
          <w:rFonts w:hint="eastAsia" w:ascii="宋体" w:hAnsi="宋体" w:eastAsia="宋体" w:cs="Times New Roman"/>
          <w:color w:val="auto"/>
          <w:sz w:val="24"/>
          <w:szCs w:val="24"/>
          <w:u w:val="single"/>
          <w:lang w:eastAsia="zh-CN"/>
        </w:rPr>
        <w:t>海口江东新区CBD起步区南片区概念设计方案</w:t>
      </w:r>
      <w:r>
        <w:rPr>
          <w:rFonts w:hint="eastAsia" w:ascii="宋体" w:hAnsi="宋体" w:eastAsia="宋体" w:cs="Times New Roman"/>
          <w:color w:val="auto"/>
          <w:sz w:val="24"/>
          <w:szCs w:val="24"/>
          <w:u w:val="single"/>
        </w:rPr>
        <w:t>）</w:t>
      </w:r>
      <w:r>
        <w:rPr>
          <w:rFonts w:hint="eastAsia" w:ascii="宋体" w:hAnsi="宋体" w:eastAsia="宋体" w:cs="Times New Roman"/>
          <w:color w:val="auto"/>
          <w:sz w:val="24"/>
          <w:szCs w:val="24"/>
        </w:rPr>
        <w:t>，总价人民币为：。</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2.我们同意本响应文件自响应文件接受截止日起90天内有效。如果我们的报价被接受，则直至协议生效时止，本响应文件始终有效。</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3.我们已经详细地阅读了全部比选文件及附件，包括澄清及参考文件（如果有的话），我们完全理解并同意放弃对这方面有不明及误解的权利。</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4.我们同意按贵司的要求提供有关资料，并保证真实性（附承诺函）。</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 xml:space="preserve">　　　　　　　　   </w:t>
      </w:r>
    </w:p>
    <w:p>
      <w:pPr>
        <w:widowControl w:val="0"/>
        <w:adjustRightInd w:val="0"/>
        <w:snapToGrid w:val="0"/>
        <w:ind w:firstLine="480"/>
        <w:rPr>
          <w:rFonts w:ascii="宋体" w:hAnsi="宋体" w:eastAsia="宋体" w:cs="Times New Roman"/>
          <w:color w:val="auto"/>
          <w:sz w:val="24"/>
          <w:szCs w:val="24"/>
        </w:rPr>
      </w:pPr>
    </w:p>
    <w:p>
      <w:pPr>
        <w:keepNext/>
        <w:keepLines/>
        <w:widowControl w:val="0"/>
        <w:ind w:firstLine="643"/>
        <w:outlineLvl w:val="2"/>
        <w:rPr>
          <w:rFonts w:ascii="Times New Roman" w:hAnsi="Times New Roman" w:eastAsia="宋体" w:cs="Times New Roman"/>
          <w:b/>
          <w:bCs/>
          <w:color w:val="auto"/>
          <w:szCs w:val="32"/>
        </w:rPr>
      </w:pPr>
    </w:p>
    <w:p>
      <w:pPr>
        <w:widowControl w:val="0"/>
        <w:ind w:firstLine="420"/>
        <w:rPr>
          <w:rFonts w:ascii="Times New Roman" w:hAnsi="Times New Roman" w:eastAsia="宋体" w:cs="Times New Roman"/>
          <w:color w:val="auto"/>
          <w:sz w:val="21"/>
          <w:szCs w:val="24"/>
        </w:rPr>
      </w:pP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比选单位（公章）：                          日    期：</w:t>
      </w:r>
    </w:p>
    <w:p>
      <w:pPr>
        <w:widowControl w:val="0"/>
        <w:ind w:firstLine="640"/>
        <w:rPr>
          <w:rFonts w:ascii="宋体" w:hAnsi="宋体" w:eastAsia="宋体" w:cs="Times New Roman"/>
          <w:color w:val="auto"/>
          <w:szCs w:val="32"/>
        </w:rPr>
        <w:sectPr>
          <w:headerReference r:id="rId13" w:type="default"/>
          <w:footerReference r:id="rId14" w:type="default"/>
          <w:pgSz w:w="11906" w:h="16838"/>
          <w:pgMar w:top="1440" w:right="1523" w:bottom="1440" w:left="1423" w:header="851" w:footer="992" w:gutter="0"/>
          <w:cols w:space="720" w:num="1"/>
          <w:docGrid w:linePitch="312" w:charSpace="0"/>
        </w:sectPr>
      </w:pPr>
    </w:p>
    <w:p>
      <w:pPr>
        <w:widowControl w:val="0"/>
        <w:ind w:firstLine="482"/>
        <w:rPr>
          <w:rFonts w:ascii="宋体" w:hAnsi="宋体" w:eastAsia="宋体" w:cs="Times New Roman"/>
          <w:color w:val="auto"/>
          <w:szCs w:val="32"/>
        </w:rPr>
      </w:pPr>
      <w:r>
        <w:rPr>
          <w:rFonts w:hint="eastAsia" w:ascii="宋体" w:hAnsi="宋体" w:eastAsia="宋体" w:cs="Times New Roman"/>
          <w:b/>
          <w:bCs/>
          <w:color w:val="auto"/>
          <w:sz w:val="24"/>
          <w:szCs w:val="24"/>
        </w:rPr>
        <w:t>附件2：报价表</w:t>
      </w:r>
    </w:p>
    <w:p>
      <w:pPr>
        <w:topLinePunct/>
        <w:adjustRightInd w:val="0"/>
        <w:ind w:firstLine="640"/>
        <w:jc w:val="center"/>
        <w:rPr>
          <w:rFonts w:ascii="宋体" w:hAnsi="宋体" w:eastAsia="宋体" w:cs="宋体"/>
          <w:color w:val="auto"/>
          <w:szCs w:val="32"/>
        </w:rPr>
      </w:pPr>
      <w:r>
        <w:rPr>
          <w:rFonts w:hint="eastAsia" w:ascii="宋体" w:hAnsi="宋体" w:eastAsia="宋体" w:cs="宋体"/>
          <w:color w:val="auto"/>
          <w:szCs w:val="32"/>
        </w:rPr>
        <w:t>报价表</w:t>
      </w:r>
    </w:p>
    <w:tbl>
      <w:tblPr>
        <w:tblStyle w:val="24"/>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05"/>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5" w:hRule="atLeast"/>
          <w:jc w:val="center"/>
        </w:trPr>
        <w:tc>
          <w:tcPr>
            <w:tcW w:w="2405" w:type="dxa"/>
            <w:vAlign w:val="center"/>
          </w:tcPr>
          <w:p>
            <w:pPr>
              <w:topLinePunct/>
              <w:spacing w:line="288" w:lineRule="auto"/>
              <w:ind w:left="214" w:leftChars="67" w:right="157" w:rightChars="49" w:firstLine="482"/>
              <w:jc w:val="center"/>
              <w:rPr>
                <w:rFonts w:ascii="宋体" w:hAnsi="宋体" w:eastAsia="宋体" w:cs="宋体"/>
                <w:b/>
                <w:color w:val="auto"/>
                <w:sz w:val="24"/>
              </w:rPr>
            </w:pPr>
            <w:r>
              <w:rPr>
                <w:rFonts w:hint="eastAsia" w:ascii="宋体" w:hAnsi="宋体" w:eastAsia="宋体" w:cs="宋体"/>
                <w:b/>
                <w:color w:val="auto"/>
                <w:sz w:val="24"/>
              </w:rPr>
              <w:t>项目名称</w:t>
            </w:r>
          </w:p>
        </w:tc>
        <w:tc>
          <w:tcPr>
            <w:tcW w:w="6946" w:type="dxa"/>
            <w:vAlign w:val="center"/>
          </w:tcPr>
          <w:p>
            <w:pPr>
              <w:pStyle w:val="11"/>
              <w:tabs>
                <w:tab w:val="left" w:pos="5580"/>
              </w:tabs>
              <w:topLinePunct/>
              <w:spacing w:before="120" w:line="288" w:lineRule="auto"/>
              <w:ind w:left="96" w:leftChars="30" w:right="96" w:rightChars="30"/>
              <w:rPr>
                <w:rFonts w:hint="eastAsia" w:hAnsi="宋体" w:eastAsia="宋体" w:cs="宋体"/>
                <w:color w:val="auto"/>
                <w:sz w:val="24"/>
                <w:szCs w:val="24"/>
                <w:lang w:eastAsia="zh-CN"/>
              </w:rPr>
            </w:pPr>
            <w:r>
              <w:rPr>
                <w:rFonts w:hint="eastAsia" w:hAnsi="宋体" w:eastAsia="宋体" w:cs="宋体"/>
                <w:color w:val="auto"/>
                <w:sz w:val="24"/>
                <w:szCs w:val="24"/>
                <w:lang w:eastAsia="zh-CN"/>
              </w:rPr>
              <w:t>海口江东新区CBD起步区南片区概念设计方案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9" w:hRule="atLeast"/>
          <w:jc w:val="center"/>
        </w:trPr>
        <w:tc>
          <w:tcPr>
            <w:tcW w:w="2405" w:type="dxa"/>
            <w:vAlign w:val="center"/>
          </w:tcPr>
          <w:p>
            <w:pPr>
              <w:topLinePunct/>
              <w:spacing w:line="288" w:lineRule="auto"/>
              <w:ind w:left="-19" w:leftChars="-6" w:firstLine="482"/>
              <w:jc w:val="center"/>
              <w:rPr>
                <w:rFonts w:ascii="宋体" w:hAnsi="宋体" w:eastAsia="宋体" w:cs="宋体"/>
                <w:b/>
                <w:color w:val="auto"/>
                <w:sz w:val="24"/>
              </w:rPr>
            </w:pPr>
            <w:r>
              <w:rPr>
                <w:rFonts w:hint="eastAsia" w:ascii="宋体" w:hAnsi="宋体" w:eastAsia="宋体" w:cs="宋体"/>
                <w:b/>
                <w:color w:val="auto"/>
                <w:sz w:val="24"/>
              </w:rPr>
              <w:t>响应文件总价</w:t>
            </w:r>
          </w:p>
        </w:tc>
        <w:tc>
          <w:tcPr>
            <w:tcW w:w="6946" w:type="dxa"/>
            <w:vAlign w:val="center"/>
          </w:tcPr>
          <w:p>
            <w:pPr>
              <w:pStyle w:val="11"/>
              <w:tabs>
                <w:tab w:val="left" w:pos="5580"/>
              </w:tabs>
              <w:topLinePunct/>
              <w:spacing w:before="120" w:line="288" w:lineRule="auto"/>
              <w:ind w:left="96" w:leftChars="30" w:right="96" w:rightChars="30"/>
              <w:rPr>
                <w:rFonts w:hAnsi="宋体" w:eastAsia="宋体" w:cs="宋体"/>
                <w:color w:val="auto"/>
                <w:sz w:val="24"/>
                <w:szCs w:val="24"/>
              </w:rPr>
            </w:pPr>
            <w:r>
              <w:rPr>
                <w:rFonts w:hint="eastAsia" w:hAnsi="宋体" w:eastAsia="宋体" w:cs="宋体"/>
                <w:color w:val="auto"/>
                <w:sz w:val="24"/>
                <w:szCs w:val="24"/>
              </w:rPr>
              <w:t>人民币（小写金额）：</w:t>
            </w:r>
            <w:r>
              <w:rPr>
                <w:rFonts w:hint="eastAsia" w:hAnsi="宋体" w:eastAsia="宋体" w:cs="宋体"/>
                <w:color w:val="auto"/>
                <w:sz w:val="24"/>
                <w:szCs w:val="24"/>
                <w:u w:val="single"/>
              </w:rPr>
              <w:t xml:space="preserve">                          </w:t>
            </w:r>
            <w:r>
              <w:rPr>
                <w:rFonts w:hint="eastAsia" w:hAnsi="宋体" w:eastAsia="宋体" w:cs="宋体"/>
                <w:color w:val="auto"/>
                <w:sz w:val="24"/>
                <w:szCs w:val="24"/>
              </w:rPr>
              <w:t>元</w:t>
            </w:r>
          </w:p>
          <w:p>
            <w:pPr>
              <w:pStyle w:val="11"/>
              <w:tabs>
                <w:tab w:val="left" w:pos="5580"/>
              </w:tabs>
              <w:topLinePunct/>
              <w:spacing w:before="120" w:line="288" w:lineRule="auto"/>
              <w:ind w:left="96" w:leftChars="30" w:right="96" w:rightChars="30"/>
              <w:rPr>
                <w:rFonts w:hAnsi="宋体" w:eastAsia="宋体" w:cs="宋体"/>
                <w:color w:val="auto"/>
                <w:sz w:val="24"/>
                <w:szCs w:val="24"/>
              </w:rPr>
            </w:pPr>
            <w:r>
              <w:rPr>
                <w:rFonts w:hint="eastAsia" w:hAnsi="宋体" w:eastAsia="宋体" w:cs="宋体"/>
                <w:color w:val="auto"/>
                <w:sz w:val="24"/>
                <w:szCs w:val="24"/>
              </w:rPr>
              <w:t>人民币（大写金额）：</w:t>
            </w:r>
            <w:r>
              <w:rPr>
                <w:rFonts w:hint="eastAsia" w:hAnsi="宋体" w:eastAsia="宋体" w:cs="宋体"/>
                <w:color w:val="auto"/>
                <w:sz w:val="24"/>
                <w:szCs w:val="24"/>
                <w:u w:val="single"/>
              </w:rPr>
              <w:t xml:space="preserve">                          </w:t>
            </w:r>
            <w:r>
              <w:rPr>
                <w:rFonts w:hint="eastAsia" w:hAnsi="宋体" w:eastAsia="宋体" w:cs="宋体"/>
                <w:color w:val="auto"/>
                <w:sz w:val="24"/>
                <w:szCs w:val="24"/>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3" w:hRule="atLeast"/>
          <w:jc w:val="center"/>
        </w:trPr>
        <w:tc>
          <w:tcPr>
            <w:tcW w:w="2405" w:type="dxa"/>
            <w:vAlign w:val="center"/>
          </w:tcPr>
          <w:p>
            <w:pPr>
              <w:topLinePunct/>
              <w:spacing w:line="288" w:lineRule="auto"/>
              <w:ind w:left="-19" w:leftChars="-6" w:firstLine="482"/>
              <w:jc w:val="center"/>
              <w:rPr>
                <w:rFonts w:ascii="宋体" w:hAnsi="宋体" w:eastAsia="宋体" w:cs="宋体"/>
                <w:b/>
                <w:color w:val="auto"/>
                <w:sz w:val="24"/>
              </w:rPr>
            </w:pPr>
            <w:r>
              <w:rPr>
                <w:rFonts w:hint="eastAsia" w:ascii="宋体" w:hAnsi="宋体" w:eastAsia="宋体" w:cs="宋体"/>
                <w:b/>
                <w:color w:val="auto"/>
                <w:sz w:val="24"/>
              </w:rPr>
              <w:t>服务期</w:t>
            </w:r>
          </w:p>
        </w:tc>
        <w:tc>
          <w:tcPr>
            <w:tcW w:w="6946" w:type="dxa"/>
            <w:vAlign w:val="center"/>
          </w:tcPr>
          <w:p>
            <w:pPr>
              <w:pStyle w:val="11"/>
              <w:tabs>
                <w:tab w:val="left" w:pos="5580"/>
              </w:tabs>
              <w:topLinePunct/>
              <w:spacing w:before="120" w:line="288" w:lineRule="auto"/>
              <w:ind w:left="96" w:leftChars="30" w:right="96" w:rightChars="30"/>
              <w:rPr>
                <w:rFonts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1" w:hRule="atLeast"/>
          <w:jc w:val="center"/>
        </w:trPr>
        <w:tc>
          <w:tcPr>
            <w:tcW w:w="2405" w:type="dxa"/>
            <w:vAlign w:val="center"/>
          </w:tcPr>
          <w:p>
            <w:pPr>
              <w:topLinePunct/>
              <w:spacing w:line="288" w:lineRule="auto"/>
              <w:ind w:left="-19" w:leftChars="-6" w:firstLine="482"/>
              <w:jc w:val="center"/>
              <w:rPr>
                <w:rFonts w:ascii="宋体" w:hAnsi="宋体" w:eastAsia="宋体" w:cs="宋体"/>
                <w:b/>
                <w:color w:val="auto"/>
                <w:sz w:val="24"/>
              </w:rPr>
            </w:pPr>
            <w:r>
              <w:rPr>
                <w:rFonts w:hint="eastAsia" w:ascii="宋体" w:hAnsi="宋体" w:eastAsia="宋体" w:cs="宋体"/>
                <w:b/>
                <w:color w:val="auto"/>
                <w:sz w:val="24"/>
              </w:rPr>
              <w:t>服务地点</w:t>
            </w:r>
          </w:p>
        </w:tc>
        <w:tc>
          <w:tcPr>
            <w:tcW w:w="6946" w:type="dxa"/>
            <w:vAlign w:val="center"/>
          </w:tcPr>
          <w:p>
            <w:pPr>
              <w:pStyle w:val="11"/>
              <w:tabs>
                <w:tab w:val="left" w:pos="5580"/>
              </w:tabs>
              <w:topLinePunct/>
              <w:spacing w:before="120" w:line="288" w:lineRule="auto"/>
              <w:ind w:left="96" w:leftChars="30" w:right="96" w:rightChars="30"/>
              <w:rPr>
                <w:rFonts w:hAnsi="宋体" w:eastAsia="宋体" w:cs="宋体"/>
                <w:color w:val="auto"/>
                <w:sz w:val="24"/>
                <w:szCs w:val="24"/>
              </w:rPr>
            </w:pPr>
            <w:r>
              <w:rPr>
                <w:rFonts w:hint="eastAsia" w:hAnsi="宋体" w:eastAsia="宋体" w:cs="宋体"/>
                <w:color w:val="auto"/>
                <w:sz w:val="24"/>
                <w:szCs w:val="24"/>
              </w:rPr>
              <w:t>海口江东新区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2" w:hRule="atLeast"/>
          <w:jc w:val="center"/>
        </w:trPr>
        <w:tc>
          <w:tcPr>
            <w:tcW w:w="2405" w:type="dxa"/>
            <w:vAlign w:val="center"/>
          </w:tcPr>
          <w:p>
            <w:pPr>
              <w:topLinePunct/>
              <w:spacing w:line="288" w:lineRule="auto"/>
              <w:ind w:firstLine="482"/>
              <w:jc w:val="center"/>
              <w:rPr>
                <w:rFonts w:ascii="宋体" w:hAnsi="宋体" w:eastAsia="宋体" w:cs="宋体"/>
                <w:b/>
                <w:color w:val="auto"/>
                <w:sz w:val="24"/>
              </w:rPr>
            </w:pPr>
            <w:r>
              <w:rPr>
                <w:rFonts w:hint="eastAsia" w:ascii="宋体" w:hAnsi="宋体" w:eastAsia="宋体" w:cs="宋体"/>
                <w:b/>
                <w:color w:val="auto"/>
                <w:sz w:val="24"/>
              </w:rPr>
              <w:t>其他声明</w:t>
            </w:r>
          </w:p>
          <w:p>
            <w:pPr>
              <w:topLinePunct/>
              <w:spacing w:line="288" w:lineRule="auto"/>
              <w:ind w:firstLine="482"/>
              <w:jc w:val="center"/>
              <w:rPr>
                <w:rFonts w:ascii="宋体" w:hAnsi="宋体" w:eastAsia="宋体" w:cs="宋体"/>
                <w:b/>
                <w:color w:val="auto"/>
                <w:sz w:val="24"/>
              </w:rPr>
            </w:pPr>
            <w:r>
              <w:rPr>
                <w:rFonts w:hint="eastAsia" w:ascii="宋体" w:hAnsi="宋体" w:eastAsia="宋体" w:cs="宋体"/>
                <w:b/>
                <w:color w:val="auto"/>
                <w:sz w:val="24"/>
              </w:rPr>
              <w:t>（如有）</w:t>
            </w:r>
          </w:p>
        </w:tc>
        <w:tc>
          <w:tcPr>
            <w:tcW w:w="6946" w:type="dxa"/>
            <w:vAlign w:val="center"/>
          </w:tcPr>
          <w:p>
            <w:pPr>
              <w:pStyle w:val="11"/>
              <w:tabs>
                <w:tab w:val="left" w:pos="5580"/>
              </w:tabs>
              <w:topLinePunct/>
              <w:spacing w:before="120" w:line="288" w:lineRule="auto"/>
              <w:ind w:left="96" w:leftChars="30" w:right="96" w:rightChars="30"/>
              <w:rPr>
                <w:rFonts w:hAnsi="宋体" w:eastAsia="宋体" w:cs="宋体"/>
                <w:color w:val="auto"/>
                <w:sz w:val="24"/>
                <w:szCs w:val="24"/>
              </w:rPr>
            </w:pPr>
          </w:p>
        </w:tc>
      </w:tr>
    </w:tbl>
    <w:p>
      <w:pPr>
        <w:pStyle w:val="11"/>
        <w:tabs>
          <w:tab w:val="left" w:pos="5580"/>
        </w:tabs>
        <w:topLinePunct/>
        <w:spacing w:before="120"/>
        <w:rPr>
          <w:rFonts w:hAnsi="宋体" w:eastAsia="宋体" w:cs="宋体"/>
          <w:color w:val="auto"/>
          <w:sz w:val="24"/>
        </w:rPr>
      </w:pPr>
    </w:p>
    <w:p>
      <w:pPr>
        <w:pStyle w:val="11"/>
        <w:tabs>
          <w:tab w:val="left" w:pos="5580"/>
        </w:tabs>
        <w:topLinePunct/>
        <w:spacing w:before="120"/>
        <w:ind w:firstLine="480"/>
        <w:rPr>
          <w:rFonts w:hAnsi="宋体" w:eastAsia="宋体" w:cs="宋体"/>
          <w:color w:val="auto"/>
          <w:sz w:val="24"/>
        </w:rPr>
      </w:pPr>
      <w:r>
        <w:rPr>
          <w:rFonts w:hint="eastAsia" w:hAnsi="宋体" w:eastAsia="宋体" w:cs="宋体"/>
          <w:color w:val="auto"/>
          <w:sz w:val="24"/>
        </w:rPr>
        <w:t>供应商（加盖公章章）：</w:t>
      </w:r>
    </w:p>
    <w:p>
      <w:pPr>
        <w:pStyle w:val="11"/>
        <w:tabs>
          <w:tab w:val="left" w:pos="5580"/>
        </w:tabs>
        <w:topLinePunct/>
        <w:spacing w:before="120"/>
        <w:ind w:firstLine="480"/>
        <w:rPr>
          <w:rFonts w:hAnsi="宋体" w:eastAsia="宋体" w:cs="宋体"/>
          <w:color w:val="auto"/>
          <w:sz w:val="24"/>
          <w:u w:val="single"/>
        </w:rPr>
      </w:pPr>
      <w:r>
        <w:rPr>
          <w:rFonts w:hint="eastAsia" w:hAnsi="宋体" w:eastAsia="宋体" w:cs="宋体"/>
          <w:color w:val="auto"/>
          <w:sz w:val="24"/>
        </w:rPr>
        <w:t>供应商授权代表（签字或盖人名章）：</w:t>
      </w:r>
    </w:p>
    <w:p>
      <w:pPr>
        <w:pStyle w:val="11"/>
        <w:tabs>
          <w:tab w:val="left" w:pos="5580"/>
        </w:tabs>
        <w:topLinePunct/>
        <w:spacing w:before="120"/>
        <w:ind w:firstLine="480"/>
        <w:rPr>
          <w:rFonts w:hAnsi="宋体" w:eastAsia="宋体" w:cs="宋体"/>
          <w:color w:val="auto"/>
          <w:sz w:val="24"/>
        </w:rPr>
      </w:pPr>
      <w:r>
        <w:rPr>
          <w:rFonts w:hint="eastAsia" w:hAnsi="宋体" w:eastAsia="宋体" w:cs="宋体"/>
          <w:color w:val="auto"/>
          <w:sz w:val="24"/>
        </w:rPr>
        <w:t>日期：</w:t>
      </w:r>
    </w:p>
    <w:p>
      <w:pPr>
        <w:pStyle w:val="11"/>
        <w:tabs>
          <w:tab w:val="left" w:pos="5580"/>
        </w:tabs>
        <w:topLinePunct/>
        <w:spacing w:before="120"/>
        <w:ind w:firstLine="480"/>
        <w:rPr>
          <w:rFonts w:hAnsi="宋体" w:eastAsia="宋体" w:cs="宋体"/>
          <w:color w:val="auto"/>
          <w:sz w:val="24"/>
          <w:u w:val="single"/>
        </w:rPr>
      </w:pPr>
    </w:p>
    <w:p>
      <w:pPr>
        <w:pStyle w:val="11"/>
        <w:tabs>
          <w:tab w:val="left" w:pos="5580"/>
        </w:tabs>
        <w:topLinePunct/>
        <w:spacing w:before="120"/>
        <w:ind w:firstLine="480"/>
        <w:rPr>
          <w:rFonts w:hAnsi="宋体" w:eastAsia="宋体" w:cs="宋体"/>
          <w:color w:val="auto"/>
          <w:sz w:val="24"/>
          <w:u w:val="single"/>
        </w:rPr>
      </w:pPr>
    </w:p>
    <w:p>
      <w:pPr>
        <w:pStyle w:val="11"/>
        <w:tabs>
          <w:tab w:val="left" w:pos="5580"/>
        </w:tabs>
        <w:topLinePunct/>
        <w:spacing w:before="120"/>
        <w:ind w:firstLine="480"/>
        <w:rPr>
          <w:rFonts w:hAnsi="宋体" w:eastAsia="宋体" w:cs="宋体"/>
          <w:color w:val="auto"/>
          <w:sz w:val="24"/>
          <w:u w:val="single"/>
        </w:rPr>
      </w:pPr>
    </w:p>
    <w:p>
      <w:pPr>
        <w:widowControl w:val="0"/>
        <w:ind w:firstLine="480"/>
        <w:rPr>
          <w:rFonts w:ascii="宋体" w:hAnsi="宋体" w:eastAsia="宋体" w:cs="宋体"/>
          <w:color w:val="auto"/>
          <w:szCs w:val="32"/>
        </w:rPr>
      </w:pPr>
      <w:r>
        <w:rPr>
          <w:rFonts w:hint="eastAsia" w:ascii="宋体" w:hAnsi="宋体" w:eastAsia="宋体" w:cs="宋体"/>
          <w:color w:val="auto"/>
          <w:sz w:val="24"/>
        </w:rPr>
        <w:br w:type="page"/>
      </w:r>
    </w:p>
    <w:p>
      <w:pPr>
        <w:widowControl w:val="0"/>
        <w:ind w:firstLine="482"/>
        <w:rPr>
          <w:rFonts w:ascii="楷体_GB2312" w:hAnsi="Times New Roman" w:eastAsia="楷体_GB2312" w:cs="Times New Roman"/>
          <w:b/>
          <w:color w:val="auto"/>
          <w:sz w:val="24"/>
          <w:szCs w:val="24"/>
        </w:rPr>
      </w:pPr>
      <w:r>
        <w:rPr>
          <w:rFonts w:hint="eastAsia" w:ascii="宋体" w:hAnsi="宋体" w:eastAsia="宋体" w:cs="Times New Roman"/>
          <w:b/>
          <w:bCs/>
          <w:color w:val="auto"/>
          <w:sz w:val="24"/>
          <w:szCs w:val="24"/>
        </w:rPr>
        <w:t>附件3：</w:t>
      </w:r>
    </w:p>
    <w:p>
      <w:pPr>
        <w:widowControl w:val="0"/>
        <w:ind w:firstLine="480"/>
        <w:jc w:val="center"/>
        <w:rPr>
          <w:rFonts w:ascii="楷体_GB2312" w:hAnsi="Times New Roman" w:eastAsia="楷体_GB2312" w:cs="Times New Roman"/>
          <w:color w:val="auto"/>
          <w:sz w:val="24"/>
          <w:szCs w:val="24"/>
        </w:rPr>
      </w:pPr>
    </w:p>
    <w:p>
      <w:pPr>
        <w:adjustRightInd w:val="0"/>
        <w:snapToGrid w:val="0"/>
        <w:ind w:firstLine="482"/>
        <w:jc w:val="center"/>
        <w:rPr>
          <w:rFonts w:ascii="宋体" w:hAnsi="宋体" w:eastAsia="宋体" w:cs="Arial"/>
          <w:b/>
          <w:color w:val="auto"/>
          <w:kern w:val="0"/>
          <w:sz w:val="24"/>
          <w:szCs w:val="24"/>
        </w:rPr>
      </w:pPr>
      <w:r>
        <w:rPr>
          <w:rFonts w:hint="eastAsia" w:ascii="宋体" w:hAnsi="宋体" w:eastAsia="宋体" w:cs="Arial"/>
          <w:b/>
          <w:color w:val="auto"/>
          <w:kern w:val="0"/>
          <w:sz w:val="24"/>
          <w:szCs w:val="24"/>
        </w:rPr>
        <w:t>法定代表人身份证明书</w:t>
      </w:r>
    </w:p>
    <w:p>
      <w:pPr>
        <w:widowControl w:val="0"/>
        <w:ind w:firstLine="480"/>
        <w:rPr>
          <w:rFonts w:ascii="楷体_GB2312" w:hAnsi="Times New Roman" w:eastAsia="楷体_GB2312" w:cs="Times New Roman"/>
          <w:color w:val="auto"/>
          <w:sz w:val="24"/>
          <w:szCs w:val="24"/>
        </w:rPr>
      </w:pPr>
    </w:p>
    <w:p>
      <w:pPr>
        <w:widowControl w:val="0"/>
        <w:ind w:firstLine="480"/>
        <w:rPr>
          <w:rFonts w:ascii="宋体" w:hAnsi="宋体" w:eastAsia="宋体" w:cs="宋体"/>
          <w:color w:val="auto"/>
          <w:sz w:val="24"/>
          <w:szCs w:val="24"/>
        </w:rPr>
      </w:pPr>
    </w:p>
    <w:p>
      <w:pPr>
        <w:widowControl w:val="0"/>
        <w:ind w:firstLine="480"/>
        <w:rPr>
          <w:rFonts w:ascii="宋体" w:hAnsi="宋体" w:eastAsia="宋体" w:cs="宋体"/>
          <w:color w:val="auto"/>
          <w:sz w:val="24"/>
          <w:szCs w:val="24"/>
          <w:u w:val="single"/>
        </w:rPr>
      </w:pPr>
      <w:r>
        <w:rPr>
          <w:rFonts w:hint="eastAsia" w:ascii="宋体" w:hAnsi="宋体" w:eastAsia="宋体" w:cs="宋体"/>
          <w:color w:val="auto"/>
          <w:sz w:val="24"/>
          <w:szCs w:val="24"/>
        </w:rPr>
        <w:t xml:space="preserve">姓    名：         性别：       年龄：            职务： </w:t>
      </w:r>
    </w:p>
    <w:p>
      <w:pPr>
        <w:widowControl w:val="0"/>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系 </w:t>
      </w:r>
      <w:r>
        <w:rPr>
          <w:rFonts w:hint="eastAsia" w:ascii="宋体" w:hAnsi="宋体" w:eastAsia="宋体" w:cs="宋体"/>
          <w:color w:val="auto"/>
          <w:sz w:val="24"/>
          <w:szCs w:val="24"/>
          <w:u w:val="single"/>
        </w:rPr>
        <w:t xml:space="preserve">   （比选单位名称）  </w:t>
      </w:r>
      <w:r>
        <w:rPr>
          <w:rFonts w:hint="eastAsia" w:ascii="宋体" w:hAnsi="宋体" w:eastAsia="宋体" w:cs="宋体"/>
          <w:color w:val="auto"/>
          <w:sz w:val="24"/>
          <w:szCs w:val="24"/>
        </w:rPr>
        <w:t>的法定代表人。</w:t>
      </w:r>
    </w:p>
    <w:p>
      <w:pPr>
        <w:widowControl w:val="0"/>
        <w:ind w:firstLine="480"/>
        <w:rPr>
          <w:rFonts w:ascii="宋体" w:hAnsi="宋体" w:eastAsia="宋体" w:cs="宋体"/>
          <w:color w:val="auto"/>
          <w:sz w:val="24"/>
          <w:szCs w:val="24"/>
        </w:rPr>
      </w:pPr>
    </w:p>
    <w:p>
      <w:pPr>
        <w:widowControl w:val="0"/>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 特此证明。</w:t>
      </w:r>
    </w:p>
    <w:p>
      <w:pPr>
        <w:widowControl w:val="0"/>
        <w:ind w:firstLine="480"/>
        <w:rPr>
          <w:rFonts w:ascii="楷体_GB2312" w:hAnsi="Times New Roman" w:eastAsia="楷体_GB2312" w:cs="Times New Roman"/>
          <w:color w:val="auto"/>
          <w:sz w:val="24"/>
          <w:szCs w:val="24"/>
        </w:rPr>
      </w:pPr>
    </w:p>
    <w:p>
      <w:pPr>
        <w:widowControl w:val="0"/>
        <w:ind w:firstLine="480"/>
        <w:rPr>
          <w:rFonts w:ascii="楷体_GB2312" w:hAnsi="Times New Roman" w:eastAsia="楷体_GB2312" w:cs="Times New Roman"/>
          <w:color w:val="auto"/>
          <w:sz w:val="24"/>
          <w:szCs w:val="24"/>
        </w:rPr>
      </w:pPr>
    </w:p>
    <w:p>
      <w:pPr>
        <w:widowControl w:val="0"/>
        <w:ind w:firstLine="480"/>
        <w:rPr>
          <w:rFonts w:ascii="楷体_GB2312" w:hAnsi="Times New Roman" w:eastAsia="楷体_GB2312" w:cs="Times New Roman"/>
          <w:color w:val="auto"/>
          <w:sz w:val="24"/>
          <w:szCs w:val="24"/>
        </w:rPr>
      </w:pPr>
    </w:p>
    <w:p>
      <w:pPr>
        <w:widowControl w:val="0"/>
        <w:ind w:firstLine="480"/>
        <w:rPr>
          <w:rFonts w:ascii="楷体_GB2312" w:hAnsi="Times New Roman" w:eastAsia="楷体_GB2312" w:cs="Times New Roman"/>
          <w:color w:val="auto"/>
          <w:sz w:val="24"/>
          <w:szCs w:val="24"/>
        </w:rPr>
      </w:pPr>
    </w:p>
    <w:p>
      <w:pPr>
        <w:widowControl w:val="0"/>
        <w:ind w:firstLine="480"/>
        <w:rPr>
          <w:rFonts w:ascii="楷体_GB2312" w:hAnsi="Times New Roman" w:eastAsia="楷体_GB2312" w:cs="Times New Roman"/>
          <w:color w:val="auto"/>
          <w:sz w:val="24"/>
          <w:szCs w:val="24"/>
        </w:rPr>
      </w:pPr>
    </w:p>
    <w:p>
      <w:pPr>
        <w:widowControl w:val="0"/>
        <w:ind w:firstLine="480"/>
        <w:rPr>
          <w:rFonts w:ascii="楷体_GB2312" w:hAnsi="Times New Roman" w:eastAsia="楷体_GB2312" w:cs="Times New Roman"/>
          <w:color w:val="auto"/>
          <w:sz w:val="24"/>
          <w:szCs w:val="24"/>
        </w:rPr>
      </w:pPr>
    </w:p>
    <w:p>
      <w:pPr>
        <w:widowControl w:val="0"/>
        <w:ind w:firstLine="480"/>
        <w:rPr>
          <w:rFonts w:ascii="楷体_GB2312" w:hAnsi="Times New Roman" w:eastAsia="楷体_GB2312" w:cs="Times New Roman"/>
          <w:color w:val="auto"/>
          <w:sz w:val="24"/>
          <w:szCs w:val="24"/>
        </w:rPr>
      </w:pPr>
    </w:p>
    <w:p>
      <w:pPr>
        <w:widowControl w:val="0"/>
        <w:ind w:firstLine="480"/>
        <w:rPr>
          <w:rFonts w:ascii="宋体" w:hAnsi="宋体" w:eastAsia="宋体" w:cs="宋体"/>
          <w:color w:val="auto"/>
          <w:sz w:val="24"/>
          <w:szCs w:val="24"/>
        </w:rPr>
      </w:pPr>
    </w:p>
    <w:p>
      <w:pPr>
        <w:widowControl w:val="0"/>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比选单位（公章）：                </w:t>
      </w:r>
    </w:p>
    <w:p>
      <w:pPr>
        <w:widowControl w:val="0"/>
        <w:ind w:firstLine="480"/>
        <w:rPr>
          <w:rFonts w:ascii="宋体" w:hAnsi="宋体" w:eastAsia="宋体" w:cs="宋体"/>
          <w:color w:val="auto"/>
          <w:sz w:val="24"/>
          <w:szCs w:val="24"/>
        </w:rPr>
      </w:pPr>
    </w:p>
    <w:p>
      <w:pPr>
        <w:widowControl w:val="0"/>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                                     日期： </w:t>
      </w:r>
      <w:r>
        <w:rPr>
          <w:rFonts w:hint="eastAsia" w:ascii="宋体" w:hAnsi="宋体" w:eastAsia="宋体" w:cs="宋体"/>
          <w:color w:val="auto"/>
          <w:sz w:val="24"/>
          <w:szCs w:val="24"/>
          <w:u w:val="single"/>
        </w:rPr>
        <w:t xml:space="preserve"> 202</w:t>
      </w:r>
      <w:r>
        <w:rPr>
          <w:rFonts w:hint="eastAsia" w:ascii="宋体" w:hAnsi="宋体" w:eastAsia="宋体" w:cs="宋体"/>
          <w:color w:val="auto"/>
          <w:sz w:val="24"/>
          <w:szCs w:val="24"/>
          <w:u w:val="single"/>
          <w:lang w:val="en-US" w:eastAsia="zh-CN"/>
        </w:rPr>
        <w:t>2</w:t>
      </w:r>
      <w:r>
        <w:rPr>
          <w:rFonts w:hint="eastAsia" w:ascii="宋体" w:hAnsi="宋体" w:eastAsia="宋体" w:cs="宋体"/>
          <w:color w:val="auto"/>
          <w:sz w:val="24"/>
          <w:szCs w:val="24"/>
        </w:rPr>
        <w:t xml:space="preserve"> 年  月  日 </w:t>
      </w:r>
    </w:p>
    <w:p>
      <w:pPr>
        <w:ind w:firstLine="640"/>
        <w:jc w:val="left"/>
        <w:rPr>
          <w:rFonts w:ascii="宋体" w:hAnsi="宋体" w:eastAsia="宋体" w:cs="宋体"/>
          <w:color w:val="auto"/>
          <w:szCs w:val="32"/>
        </w:rPr>
      </w:pPr>
    </w:p>
    <w:p>
      <w:pPr>
        <w:ind w:firstLine="640"/>
        <w:jc w:val="left"/>
        <w:rPr>
          <w:rFonts w:ascii="宋体" w:hAnsi="宋体" w:eastAsia="宋体" w:cs="Times New Roman"/>
          <w:color w:val="auto"/>
          <w:szCs w:val="32"/>
        </w:rPr>
      </w:pPr>
    </w:p>
    <w:p>
      <w:pPr>
        <w:ind w:firstLine="640"/>
        <w:jc w:val="left"/>
        <w:rPr>
          <w:rFonts w:ascii="宋体" w:hAnsi="宋体" w:eastAsia="宋体" w:cs="Times New Roman"/>
          <w:color w:val="auto"/>
          <w:szCs w:val="32"/>
        </w:rPr>
      </w:pPr>
    </w:p>
    <w:p>
      <w:pPr>
        <w:ind w:firstLine="640"/>
        <w:jc w:val="left"/>
        <w:rPr>
          <w:rFonts w:ascii="宋体" w:hAnsi="宋体" w:eastAsia="宋体" w:cs="Times New Roman"/>
          <w:color w:val="auto"/>
          <w:szCs w:val="32"/>
        </w:rPr>
      </w:pPr>
    </w:p>
    <w:p>
      <w:pPr>
        <w:ind w:firstLine="640"/>
        <w:jc w:val="left"/>
        <w:rPr>
          <w:rFonts w:ascii="宋体" w:hAnsi="宋体" w:eastAsia="宋体" w:cs="Times New Roman"/>
          <w:color w:val="auto"/>
          <w:szCs w:val="32"/>
        </w:rPr>
      </w:pPr>
    </w:p>
    <w:p>
      <w:pPr>
        <w:ind w:firstLine="640"/>
        <w:jc w:val="left"/>
        <w:rPr>
          <w:rFonts w:ascii="宋体" w:hAnsi="宋体" w:eastAsia="宋体" w:cs="Times New Roman"/>
          <w:color w:val="auto"/>
          <w:szCs w:val="32"/>
        </w:rPr>
      </w:pPr>
    </w:p>
    <w:p>
      <w:pPr>
        <w:ind w:firstLine="640"/>
        <w:jc w:val="left"/>
        <w:rPr>
          <w:rFonts w:ascii="宋体" w:hAnsi="宋体" w:eastAsia="宋体" w:cs="Times New Roman"/>
          <w:color w:val="auto"/>
          <w:szCs w:val="32"/>
        </w:rPr>
      </w:pPr>
    </w:p>
    <w:p>
      <w:pPr>
        <w:ind w:firstLine="482"/>
        <w:jc w:val="left"/>
        <w:rPr>
          <w:rFonts w:ascii="宋体" w:hAnsi="宋体" w:eastAsia="宋体" w:cs="Times New Roman"/>
          <w:b/>
          <w:bCs/>
          <w:color w:val="auto"/>
          <w:sz w:val="24"/>
          <w:szCs w:val="24"/>
        </w:rPr>
      </w:pPr>
      <w:r>
        <w:rPr>
          <w:rFonts w:hint="eastAsia" w:ascii="宋体" w:hAnsi="宋体" w:eastAsia="宋体" w:cs="Times New Roman"/>
          <w:b/>
          <w:bCs/>
          <w:color w:val="auto"/>
          <w:sz w:val="24"/>
          <w:szCs w:val="24"/>
        </w:rPr>
        <w:t>附件4：</w:t>
      </w:r>
    </w:p>
    <w:p>
      <w:pPr>
        <w:adjustRightInd w:val="0"/>
        <w:snapToGrid w:val="0"/>
        <w:ind w:firstLine="482"/>
        <w:jc w:val="center"/>
        <w:rPr>
          <w:rFonts w:ascii="宋体" w:hAnsi="宋体" w:eastAsia="宋体" w:cs="Arial"/>
          <w:b/>
          <w:color w:val="auto"/>
          <w:kern w:val="0"/>
          <w:sz w:val="24"/>
          <w:szCs w:val="24"/>
        </w:rPr>
      </w:pPr>
      <w:r>
        <w:rPr>
          <w:rFonts w:hint="eastAsia" w:ascii="宋体" w:hAnsi="宋体" w:eastAsia="宋体" w:cs="Arial"/>
          <w:b/>
          <w:color w:val="auto"/>
          <w:kern w:val="0"/>
          <w:sz w:val="24"/>
          <w:szCs w:val="24"/>
        </w:rPr>
        <w:t>授权委托书</w:t>
      </w:r>
    </w:p>
    <w:p>
      <w:pPr>
        <w:adjustRightInd w:val="0"/>
        <w:snapToGrid w:val="0"/>
        <w:ind w:firstLine="480"/>
        <w:jc w:val="center"/>
        <w:rPr>
          <w:rFonts w:ascii="宋体" w:hAnsi="宋体" w:eastAsia="宋体" w:cs="Arial"/>
          <w:color w:val="auto"/>
          <w:kern w:val="0"/>
          <w:sz w:val="24"/>
          <w:szCs w:val="24"/>
        </w:rPr>
      </w:pPr>
    </w:p>
    <w:p>
      <w:pPr>
        <w:widowControl w:val="0"/>
        <w:ind w:firstLine="480"/>
        <w:jc w:val="left"/>
        <w:rPr>
          <w:rFonts w:ascii="宋体" w:hAnsi="宋体" w:eastAsia="宋体" w:cs="Times New Roman"/>
          <w:color w:val="auto"/>
          <w:sz w:val="24"/>
          <w:szCs w:val="24"/>
          <w:u w:val="single"/>
        </w:rPr>
      </w:pPr>
      <w:r>
        <w:rPr>
          <w:rFonts w:hint="eastAsia" w:ascii="宋体" w:hAnsi="宋体" w:eastAsia="宋体" w:cs="Arial"/>
          <w:color w:val="auto"/>
          <w:kern w:val="0"/>
          <w:sz w:val="24"/>
          <w:szCs w:val="24"/>
          <w:u w:val="single"/>
        </w:rPr>
        <w:t xml:space="preserve">     （比选单位名称）     </w:t>
      </w:r>
      <w:r>
        <w:rPr>
          <w:rFonts w:hint="eastAsia" w:ascii="宋体" w:hAnsi="宋体" w:eastAsia="宋体" w:cs="Arial"/>
          <w:color w:val="auto"/>
          <w:kern w:val="0"/>
          <w:sz w:val="24"/>
          <w:szCs w:val="24"/>
        </w:rPr>
        <w:t>法定代表人授权我司员工全权负责</w:t>
      </w:r>
      <w:r>
        <w:rPr>
          <w:rFonts w:hint="eastAsia" w:ascii="宋体" w:hAnsi="宋体" w:eastAsia="宋体" w:cs="Arial"/>
          <w:color w:val="auto"/>
          <w:kern w:val="0"/>
          <w:sz w:val="24"/>
          <w:szCs w:val="24"/>
          <w:lang w:eastAsia="zh-CN"/>
        </w:rPr>
        <w:t>海口江东新区CBD起步区南片区概念设计方案</w:t>
      </w:r>
      <w:r>
        <w:rPr>
          <w:rFonts w:hint="eastAsia" w:ascii="宋体" w:hAnsi="宋体" w:eastAsia="宋体" w:cs="Arial"/>
          <w:color w:val="auto"/>
          <w:kern w:val="0"/>
          <w:sz w:val="24"/>
          <w:szCs w:val="24"/>
        </w:rPr>
        <w:t>项目的一切相关事宜。本授权书于_______年_____月_____日签字生效，特此声明。</w:t>
      </w:r>
    </w:p>
    <w:p>
      <w:pPr>
        <w:widowControl w:val="0"/>
        <w:adjustRightInd w:val="0"/>
        <w:snapToGrid w:val="0"/>
        <w:ind w:firstLine="480"/>
        <w:rPr>
          <w:rFonts w:ascii="宋体" w:hAnsi="宋体" w:eastAsia="宋体" w:cs="Arial"/>
          <w:color w:val="auto"/>
          <w:kern w:val="0"/>
          <w:sz w:val="24"/>
          <w:szCs w:val="24"/>
        </w:rPr>
      </w:pPr>
    </w:p>
    <w:p>
      <w:pPr>
        <w:widowControl w:val="0"/>
        <w:adjustRightInd w:val="0"/>
        <w:snapToGrid w:val="0"/>
        <w:ind w:firstLine="480"/>
        <w:rPr>
          <w:rFonts w:ascii="宋体" w:hAnsi="宋体" w:eastAsia="宋体" w:cs="Arial"/>
          <w:color w:val="auto"/>
          <w:kern w:val="0"/>
          <w:sz w:val="24"/>
          <w:szCs w:val="24"/>
        </w:rPr>
      </w:pPr>
    </w:p>
    <w:p>
      <w:pPr>
        <w:adjustRightInd w:val="0"/>
        <w:snapToGrid w:val="0"/>
        <w:ind w:firstLine="480"/>
        <w:rPr>
          <w:rFonts w:ascii="宋体" w:hAnsi="宋体" w:eastAsia="宋体" w:cs="Arial"/>
          <w:color w:val="auto"/>
          <w:kern w:val="0"/>
          <w:sz w:val="24"/>
          <w:szCs w:val="24"/>
        </w:rPr>
      </w:pP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 xml:space="preserve">比选单位（公章）：                                                         </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 xml:space="preserve">                                         法定代表人签字：</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 xml:space="preserve">                                           （或法人章）</w:t>
      </w:r>
    </w:p>
    <w:p>
      <w:pPr>
        <w:widowControl w:val="0"/>
        <w:adjustRightInd w:val="0"/>
        <w:snapToGrid w:val="0"/>
        <w:ind w:firstLine="480"/>
        <w:rPr>
          <w:rFonts w:ascii="宋体" w:hAnsi="宋体" w:eastAsia="宋体" w:cs="Times New Roman"/>
          <w:color w:val="auto"/>
          <w:sz w:val="28"/>
          <w:szCs w:val="28"/>
        </w:rPr>
      </w:pPr>
      <w:r>
        <w:rPr>
          <w:rFonts w:hint="eastAsia" w:ascii="宋体" w:hAnsi="宋体" w:eastAsia="宋体" w:cs="Times New Roman"/>
          <w:color w:val="auto"/>
          <w:sz w:val="24"/>
          <w:szCs w:val="24"/>
        </w:rPr>
        <w:t xml:space="preserve">                                         被授权人签字：</w:t>
      </w:r>
      <w:r>
        <w:rPr>
          <w:rFonts w:hint="eastAsia" w:ascii="宋体" w:hAnsi="宋体" w:eastAsia="宋体" w:cs="Times New Roman"/>
          <w:color w:val="auto"/>
          <w:sz w:val="28"/>
          <w:szCs w:val="28"/>
        </w:rPr>
        <w:t> </w:t>
      </w:r>
      <w:bookmarkStart w:id="44" w:name="_Toc217437902"/>
    </w:p>
    <w:p>
      <w:pPr>
        <w:widowControl w:val="0"/>
        <w:ind w:firstLine="420"/>
        <w:rPr>
          <w:rFonts w:ascii="Times New Roman" w:hAnsi="Times New Roman" w:eastAsia="宋体" w:cs="Times New Roman"/>
          <w:color w:val="auto"/>
          <w:sz w:val="21"/>
          <w:szCs w:val="24"/>
        </w:rPr>
      </w:pPr>
    </w:p>
    <w:p>
      <w:pPr>
        <w:widowControl w:val="0"/>
        <w:ind w:firstLine="420"/>
        <w:rPr>
          <w:rFonts w:ascii="Times New Roman" w:hAnsi="Times New Roman" w:eastAsia="宋体" w:cs="Times New Roman"/>
          <w:color w:val="auto"/>
          <w:sz w:val="21"/>
          <w:szCs w:val="24"/>
        </w:rPr>
      </w:pPr>
    </w:p>
    <w:p>
      <w:pPr>
        <w:widowControl w:val="0"/>
        <w:ind w:firstLine="420"/>
        <w:rPr>
          <w:rFonts w:ascii="Times New Roman" w:hAnsi="Times New Roman" w:eastAsia="宋体" w:cs="Times New Roman"/>
          <w:color w:val="auto"/>
          <w:sz w:val="21"/>
          <w:szCs w:val="24"/>
        </w:rPr>
      </w:pPr>
    </w:p>
    <w:p>
      <w:pPr>
        <w:widowControl w:val="0"/>
        <w:ind w:firstLine="420"/>
        <w:rPr>
          <w:rFonts w:ascii="Times New Roman" w:hAnsi="Times New Roman" w:eastAsia="宋体" w:cs="Times New Roman"/>
          <w:color w:val="auto"/>
          <w:sz w:val="21"/>
          <w:szCs w:val="24"/>
        </w:rPr>
      </w:pPr>
    </w:p>
    <w:p>
      <w:pPr>
        <w:widowControl w:val="0"/>
        <w:ind w:firstLine="420"/>
        <w:rPr>
          <w:rFonts w:ascii="Times New Roman" w:hAnsi="Times New Roman" w:eastAsia="宋体" w:cs="Times New Roman"/>
          <w:color w:val="auto"/>
          <w:sz w:val="21"/>
          <w:szCs w:val="24"/>
        </w:rPr>
      </w:pPr>
    </w:p>
    <w:p>
      <w:pPr>
        <w:widowControl w:val="0"/>
        <w:ind w:firstLine="420"/>
        <w:rPr>
          <w:rFonts w:ascii="Times New Roman" w:hAnsi="Times New Roman" w:eastAsia="宋体" w:cs="Times New Roman"/>
          <w:color w:val="auto"/>
          <w:sz w:val="21"/>
          <w:szCs w:val="24"/>
        </w:rPr>
      </w:pPr>
    </w:p>
    <w:p>
      <w:pPr>
        <w:widowControl w:val="0"/>
        <w:ind w:firstLine="420"/>
        <w:rPr>
          <w:rFonts w:ascii="Times New Roman" w:hAnsi="Times New Roman" w:eastAsia="宋体" w:cs="Times New Roman"/>
          <w:color w:val="auto"/>
          <w:sz w:val="21"/>
          <w:szCs w:val="24"/>
        </w:rPr>
      </w:pPr>
    </w:p>
    <w:p>
      <w:pPr>
        <w:widowControl w:val="0"/>
        <w:ind w:firstLine="420"/>
        <w:rPr>
          <w:rFonts w:ascii="Times New Roman" w:hAnsi="Times New Roman" w:eastAsia="宋体" w:cs="Times New Roman"/>
          <w:color w:val="auto"/>
          <w:sz w:val="21"/>
          <w:szCs w:val="24"/>
        </w:rPr>
      </w:pPr>
    </w:p>
    <w:p>
      <w:pPr>
        <w:widowControl w:val="0"/>
        <w:ind w:firstLine="420"/>
        <w:rPr>
          <w:rFonts w:ascii="Times New Roman" w:hAnsi="Times New Roman" w:eastAsia="宋体" w:cs="Times New Roman"/>
          <w:color w:val="auto"/>
          <w:sz w:val="21"/>
          <w:szCs w:val="24"/>
        </w:rPr>
      </w:pPr>
    </w:p>
    <w:p>
      <w:pPr>
        <w:widowControl w:val="0"/>
        <w:ind w:firstLine="420"/>
        <w:rPr>
          <w:rFonts w:ascii="Times New Roman" w:hAnsi="Times New Roman" w:eastAsia="宋体" w:cs="Times New Roman"/>
          <w:color w:val="auto"/>
          <w:sz w:val="21"/>
          <w:szCs w:val="24"/>
        </w:rPr>
      </w:pPr>
    </w:p>
    <w:p>
      <w:pPr>
        <w:ind w:firstLine="482"/>
        <w:jc w:val="left"/>
        <w:rPr>
          <w:rFonts w:ascii="宋体" w:hAnsi="宋体" w:eastAsia="宋体" w:cs="Times New Roman"/>
          <w:b/>
          <w:bCs/>
          <w:color w:val="auto"/>
          <w:sz w:val="24"/>
          <w:szCs w:val="24"/>
        </w:rPr>
      </w:pPr>
    </w:p>
    <w:p>
      <w:pPr>
        <w:pageBreakBefore/>
        <w:ind w:firstLine="482"/>
        <w:jc w:val="left"/>
        <w:rPr>
          <w:rFonts w:ascii="宋体" w:hAnsi="宋体" w:eastAsia="宋体" w:cs="Times New Roman"/>
          <w:b/>
          <w:bCs/>
          <w:color w:val="auto"/>
          <w:sz w:val="24"/>
          <w:szCs w:val="24"/>
        </w:rPr>
      </w:pPr>
      <w:r>
        <w:rPr>
          <w:rFonts w:hint="eastAsia" w:ascii="宋体" w:hAnsi="宋体" w:eastAsia="宋体" w:cs="Times New Roman"/>
          <w:b/>
          <w:bCs/>
          <w:color w:val="auto"/>
          <w:sz w:val="24"/>
          <w:szCs w:val="24"/>
        </w:rPr>
        <w:t>附件5：</w:t>
      </w:r>
    </w:p>
    <w:p>
      <w:pPr>
        <w:widowControl w:val="0"/>
        <w:ind w:firstLine="420"/>
        <w:rPr>
          <w:rFonts w:ascii="Times New Roman" w:hAnsi="Times New Roman" w:eastAsia="宋体" w:cs="Times New Roman"/>
          <w:color w:val="auto"/>
          <w:sz w:val="21"/>
          <w:szCs w:val="24"/>
        </w:rPr>
      </w:pPr>
    </w:p>
    <w:p>
      <w:pPr>
        <w:widowControl w:val="0"/>
        <w:ind w:firstLine="482"/>
        <w:jc w:val="center"/>
        <w:rPr>
          <w:rFonts w:ascii="宋体" w:hAnsi="宋体" w:eastAsia="宋体" w:cs="Times New Roman"/>
          <w:b/>
          <w:bCs/>
          <w:color w:val="auto"/>
          <w:sz w:val="24"/>
          <w:szCs w:val="24"/>
        </w:rPr>
      </w:pPr>
      <w:r>
        <w:rPr>
          <w:rFonts w:hint="eastAsia" w:ascii="宋体" w:hAnsi="宋体" w:eastAsia="宋体" w:cs="Times New Roman"/>
          <w:b/>
          <w:bCs/>
          <w:color w:val="auto"/>
          <w:sz w:val="24"/>
          <w:szCs w:val="24"/>
        </w:rPr>
        <w:t>承诺函</w:t>
      </w:r>
    </w:p>
    <w:p>
      <w:pPr>
        <w:widowControl w:val="0"/>
        <w:ind w:firstLine="482"/>
        <w:rPr>
          <w:rFonts w:ascii="宋体" w:hAnsi="宋体" w:eastAsia="宋体" w:cs="Times New Roman"/>
          <w:b/>
          <w:bCs/>
          <w:color w:val="auto"/>
          <w:sz w:val="24"/>
          <w:szCs w:val="24"/>
        </w:rPr>
      </w:pPr>
    </w:p>
    <w:p>
      <w:pPr>
        <w:widowControl w:val="0"/>
        <w:ind w:firstLine="480"/>
        <w:jc w:val="left"/>
        <w:rPr>
          <w:rFonts w:ascii="宋体" w:hAnsi="宋体" w:eastAsia="宋体" w:cs="Arial"/>
          <w:color w:val="auto"/>
          <w:kern w:val="0"/>
          <w:sz w:val="24"/>
          <w:szCs w:val="24"/>
        </w:rPr>
      </w:pPr>
      <w:r>
        <w:rPr>
          <w:rFonts w:hint="eastAsia" w:ascii="宋体" w:hAnsi="宋体" w:eastAsia="宋体" w:cs="Arial"/>
          <w:color w:val="auto"/>
          <w:kern w:val="0"/>
          <w:sz w:val="24"/>
          <w:szCs w:val="24"/>
        </w:rPr>
        <w:t>本公司郑重作以下承诺和声明：</w:t>
      </w:r>
    </w:p>
    <w:p>
      <w:pPr>
        <w:widowControl w:val="0"/>
        <w:ind w:firstLine="480"/>
        <w:jc w:val="left"/>
        <w:rPr>
          <w:rFonts w:ascii="宋体" w:hAnsi="宋体" w:eastAsia="宋体" w:cs="Arial"/>
          <w:color w:val="auto"/>
          <w:kern w:val="0"/>
          <w:sz w:val="24"/>
          <w:szCs w:val="24"/>
        </w:rPr>
      </w:pPr>
      <w:r>
        <w:rPr>
          <w:rFonts w:hint="eastAsia" w:ascii="宋体" w:hAnsi="宋体" w:eastAsia="宋体" w:cs="Arial"/>
          <w:color w:val="auto"/>
          <w:kern w:val="0"/>
          <w:sz w:val="24"/>
          <w:szCs w:val="24"/>
        </w:rPr>
        <w:t>在本项目的投标过程中，自觉遵守相关法律法规，不提供虚假材料、不参与围标串标、不以其他违法违规行为骗取中标，一旦违背承诺，本公司愿无条件接受采购单位取消中标资格、没收投标保证金、解除合同、拒绝后续投标等处理。</w:t>
      </w:r>
    </w:p>
    <w:p>
      <w:pPr>
        <w:widowControl w:val="0"/>
        <w:ind w:firstLine="480"/>
        <w:jc w:val="left"/>
        <w:rPr>
          <w:rFonts w:ascii="宋体" w:hAnsi="宋体" w:eastAsia="宋体" w:cs="Arial"/>
          <w:color w:val="auto"/>
          <w:kern w:val="0"/>
          <w:sz w:val="24"/>
          <w:szCs w:val="24"/>
        </w:rPr>
      </w:pPr>
      <w:r>
        <w:rPr>
          <w:rFonts w:hint="eastAsia" w:ascii="宋体" w:hAnsi="宋体" w:eastAsia="宋体" w:cs="Arial"/>
          <w:color w:val="auto"/>
          <w:kern w:val="0"/>
          <w:sz w:val="24"/>
          <w:szCs w:val="24"/>
        </w:rPr>
        <w:t>特此声明。</w:t>
      </w:r>
    </w:p>
    <w:p>
      <w:pPr>
        <w:widowControl w:val="0"/>
        <w:ind w:firstLine="480"/>
        <w:jc w:val="left"/>
        <w:rPr>
          <w:rFonts w:ascii="宋体" w:hAnsi="宋体" w:eastAsia="宋体" w:cs="Arial"/>
          <w:color w:val="auto"/>
          <w:kern w:val="0"/>
          <w:sz w:val="24"/>
          <w:szCs w:val="24"/>
        </w:rPr>
      </w:pPr>
    </w:p>
    <w:p>
      <w:pPr>
        <w:widowControl w:val="0"/>
        <w:ind w:firstLine="480"/>
        <w:jc w:val="left"/>
        <w:rPr>
          <w:rFonts w:ascii="宋体" w:hAnsi="宋体" w:eastAsia="宋体" w:cs="Arial"/>
          <w:color w:val="auto"/>
          <w:kern w:val="0"/>
          <w:sz w:val="24"/>
          <w:szCs w:val="24"/>
        </w:rPr>
      </w:pPr>
    </w:p>
    <w:p>
      <w:pPr>
        <w:widowControl w:val="0"/>
        <w:ind w:firstLine="480"/>
        <w:jc w:val="left"/>
        <w:rPr>
          <w:rFonts w:ascii="宋体" w:hAnsi="宋体" w:eastAsia="宋体" w:cs="Arial"/>
          <w:color w:val="auto"/>
          <w:kern w:val="0"/>
          <w:sz w:val="24"/>
          <w:szCs w:val="24"/>
        </w:rPr>
      </w:pPr>
    </w:p>
    <w:p>
      <w:pPr>
        <w:widowControl w:val="0"/>
        <w:ind w:firstLine="480"/>
        <w:jc w:val="center"/>
        <w:rPr>
          <w:rFonts w:ascii="宋体" w:hAnsi="宋体" w:eastAsia="宋体" w:cs="Arial"/>
          <w:color w:val="auto"/>
          <w:kern w:val="0"/>
          <w:sz w:val="24"/>
          <w:szCs w:val="24"/>
        </w:rPr>
      </w:pPr>
      <w:r>
        <w:rPr>
          <w:rFonts w:hint="eastAsia" w:ascii="宋体" w:hAnsi="宋体" w:eastAsia="宋体" w:cs="Arial"/>
          <w:color w:val="auto"/>
          <w:kern w:val="0"/>
          <w:sz w:val="24"/>
          <w:szCs w:val="24"/>
        </w:rPr>
        <w:t>承诺人（单位名称）：</w:t>
      </w:r>
    </w:p>
    <w:p>
      <w:pPr>
        <w:widowControl w:val="0"/>
        <w:ind w:firstLine="480"/>
        <w:jc w:val="center"/>
        <w:rPr>
          <w:rFonts w:ascii="Times New Roman" w:hAnsi="Times New Roman" w:eastAsia="宋体" w:cs="Times New Roman"/>
          <w:color w:val="auto"/>
          <w:sz w:val="21"/>
          <w:szCs w:val="24"/>
        </w:rPr>
        <w:sectPr>
          <w:pgSz w:w="11906" w:h="16838"/>
          <w:pgMar w:top="1440" w:right="1366" w:bottom="1440" w:left="1423" w:header="851" w:footer="992" w:gutter="0"/>
          <w:cols w:space="720" w:num="1"/>
          <w:docGrid w:linePitch="312" w:charSpace="0"/>
        </w:sectPr>
      </w:pPr>
      <w:r>
        <w:rPr>
          <w:rFonts w:hint="eastAsia" w:ascii="宋体" w:hAnsi="宋体" w:eastAsia="宋体" w:cs="Arial"/>
          <w:color w:val="auto"/>
          <w:kern w:val="0"/>
          <w:sz w:val="24"/>
          <w:szCs w:val="24"/>
        </w:rPr>
        <w:t>日期：</w:t>
      </w:r>
    </w:p>
    <w:bookmarkEnd w:id="44"/>
    <w:p>
      <w:pPr>
        <w:widowControl w:val="0"/>
        <w:numPr>
          <w:ilvl w:val="0"/>
          <w:numId w:val="3"/>
        </w:numPr>
        <w:spacing w:line="240" w:lineRule="auto"/>
        <w:ind w:firstLine="643" w:firstLineChars="0"/>
        <w:jc w:val="center"/>
        <w:rPr>
          <w:rFonts w:ascii="黑体" w:hAnsi="黑体" w:eastAsia="黑体" w:cs="Times New Roman"/>
          <w:color w:val="auto"/>
          <w:kern w:val="0"/>
          <w:szCs w:val="24"/>
        </w:rPr>
      </w:pPr>
      <w:r>
        <w:rPr>
          <w:rFonts w:hint="eastAsia" w:ascii="宋体" w:hAnsi="宋体" w:eastAsia="宋体" w:cs="Times New Roman"/>
          <w:b/>
          <w:bCs/>
          <w:color w:val="auto"/>
          <w:szCs w:val="32"/>
        </w:rPr>
        <w:t xml:space="preserve">  项目</w:t>
      </w:r>
      <w:r>
        <w:rPr>
          <w:rFonts w:hint="eastAsia" w:ascii="黑体" w:hAnsi="黑体" w:eastAsia="黑体" w:cs="Times New Roman"/>
          <w:color w:val="auto"/>
          <w:kern w:val="0"/>
          <w:szCs w:val="24"/>
        </w:rPr>
        <w:t>合同模板</w:t>
      </w:r>
    </w:p>
    <w:p>
      <w:pPr>
        <w:pStyle w:val="2"/>
      </w:pPr>
    </w:p>
    <w:p>
      <w:pPr>
        <w:widowControl w:val="0"/>
        <w:spacing w:after="120" w:afterLines="50"/>
        <w:ind w:firstLine="482"/>
        <w:rPr>
          <w:rFonts w:ascii="宋体" w:hAnsi="宋体" w:eastAsia="宋体" w:cs="仿宋"/>
          <w:b/>
          <w:bCs/>
          <w:color w:val="auto"/>
          <w:sz w:val="24"/>
          <w:szCs w:val="24"/>
          <w:highlight w:val="none"/>
        </w:rPr>
      </w:pPr>
      <w:bookmarkStart w:id="45" w:name="_Hlk16456413"/>
      <w:r>
        <w:rPr>
          <w:rFonts w:hint="eastAsia" w:ascii="宋体" w:hAnsi="宋体" w:eastAsia="宋体" w:cs="仿宋"/>
          <w:b/>
          <w:bCs/>
          <w:color w:val="auto"/>
          <w:sz w:val="24"/>
          <w:szCs w:val="24"/>
          <w:highlight w:val="none"/>
        </w:rPr>
        <w:t>甲方（委托方）：海口江东新区管理局</w:t>
      </w:r>
    </w:p>
    <w:p>
      <w:pPr>
        <w:widowControl w:val="0"/>
        <w:spacing w:after="120" w:afterLines="50"/>
        <w:ind w:firstLine="482"/>
        <w:rPr>
          <w:rFonts w:ascii="宋体" w:hAnsi="宋体" w:eastAsia="宋体" w:cs="仿宋"/>
          <w:b/>
          <w:bCs/>
          <w:color w:val="auto"/>
          <w:sz w:val="24"/>
          <w:szCs w:val="24"/>
          <w:highlight w:val="none"/>
        </w:rPr>
      </w:pPr>
      <w:r>
        <w:rPr>
          <w:rFonts w:hint="eastAsia" w:ascii="宋体" w:hAnsi="宋体" w:eastAsia="宋体" w:cs="仿宋"/>
          <w:b/>
          <w:bCs/>
          <w:color w:val="auto"/>
          <w:sz w:val="24"/>
          <w:szCs w:val="24"/>
          <w:highlight w:val="none"/>
        </w:rPr>
        <w:t>乙方（承接方）：</w:t>
      </w:r>
    </w:p>
    <w:p>
      <w:pPr>
        <w:overflowPunct w:val="0"/>
        <w:autoSpaceDE w:val="0"/>
        <w:autoSpaceDN w:val="0"/>
        <w:spacing w:after="120" w:afterLines="50"/>
        <w:ind w:firstLine="464"/>
        <w:jc w:val="left"/>
        <w:rPr>
          <w:rFonts w:ascii="宋体" w:hAnsi="宋体" w:eastAsia="宋体" w:cs="Times New Roman"/>
          <w:color w:val="auto"/>
          <w:spacing w:val="-4"/>
          <w:kern w:val="0"/>
          <w:sz w:val="24"/>
          <w:szCs w:val="24"/>
          <w:highlight w:val="none"/>
          <w:lang w:val="de-DE"/>
        </w:rPr>
      </w:pPr>
      <w:r>
        <w:rPr>
          <w:rFonts w:hint="eastAsia" w:ascii="宋体" w:hAnsi="宋体" w:eastAsia="宋体" w:cs="Times New Roman"/>
          <w:color w:val="auto"/>
          <w:spacing w:val="-4"/>
          <w:kern w:val="0"/>
          <w:sz w:val="24"/>
          <w:szCs w:val="24"/>
          <w:highlight w:val="none"/>
          <w:lang w:val="de-DE"/>
        </w:rPr>
        <w:t>依据《中华人民共和国民法典》和有关法规的规定，甲乙双方经过友好协商，就乙方为甲方提供</w:t>
      </w:r>
      <w:r>
        <w:rPr>
          <w:rFonts w:hint="eastAsia" w:ascii="宋体" w:hAnsi="宋体" w:eastAsia="宋体" w:cs="Times New Roman"/>
          <w:color w:val="auto"/>
          <w:spacing w:val="-4"/>
          <w:kern w:val="0"/>
          <w:sz w:val="24"/>
          <w:szCs w:val="24"/>
          <w:highlight w:val="none"/>
        </w:rPr>
        <w:t>《</w:t>
      </w:r>
      <w:r>
        <w:rPr>
          <w:rFonts w:hint="eastAsia" w:ascii="宋体" w:hAnsi="宋体" w:eastAsia="宋体" w:cs="Times New Roman"/>
          <w:color w:val="auto"/>
          <w:sz w:val="24"/>
          <w:szCs w:val="24"/>
          <w:highlight w:val="none"/>
        </w:rPr>
        <w:t>海口</w:t>
      </w:r>
      <w:r>
        <w:rPr>
          <w:rFonts w:hint="eastAsia" w:ascii="宋体" w:hAnsi="宋体" w:eastAsia="宋体" w:cs="Times New Roman"/>
          <w:color w:val="auto"/>
          <w:sz w:val="24"/>
          <w:szCs w:val="24"/>
          <w:highlight w:val="none"/>
          <w:lang w:val="en-US" w:eastAsia="zh-CN"/>
        </w:rPr>
        <w:t>江东新区CBD起步区南片区概念设计方案</w:t>
      </w:r>
      <w:r>
        <w:rPr>
          <w:rFonts w:hint="eastAsia" w:ascii="宋体" w:hAnsi="宋体" w:eastAsia="宋体" w:cs="Times New Roman"/>
          <w:color w:val="auto"/>
          <w:spacing w:val="-4"/>
          <w:kern w:val="0"/>
          <w:sz w:val="24"/>
          <w:szCs w:val="24"/>
          <w:highlight w:val="none"/>
        </w:rPr>
        <w:t>》咨询服务</w:t>
      </w:r>
      <w:r>
        <w:rPr>
          <w:rFonts w:ascii="宋体" w:hAnsi="宋体" w:eastAsia="宋体" w:cs="Times New Roman"/>
          <w:color w:val="auto"/>
          <w:spacing w:val="-4"/>
          <w:kern w:val="0"/>
          <w:sz w:val="24"/>
          <w:szCs w:val="24"/>
          <w:highlight w:val="none"/>
          <w:lang w:val="de-DE"/>
        </w:rPr>
        <w:t>。</w:t>
      </w:r>
      <w:r>
        <w:rPr>
          <w:rFonts w:hint="eastAsia" w:ascii="宋体" w:hAnsi="宋体" w:eastAsia="宋体" w:cs="Times New Roman"/>
          <w:color w:val="auto"/>
          <w:spacing w:val="-4"/>
          <w:kern w:val="0"/>
          <w:sz w:val="24"/>
          <w:szCs w:val="24"/>
          <w:highlight w:val="none"/>
          <w:lang w:val="de-DE"/>
        </w:rPr>
        <w:t>双方达成如下协议，以资共同遵守。</w:t>
      </w:r>
    </w:p>
    <w:p>
      <w:pPr>
        <w:widowControl w:val="0"/>
        <w:numPr>
          <w:ilvl w:val="0"/>
          <w:numId w:val="4"/>
        </w:numPr>
        <w:spacing w:after="120" w:afterLines="50"/>
        <w:ind w:firstLine="482" w:firstLineChars="0"/>
        <w:rPr>
          <w:rFonts w:ascii="宋体" w:hAnsi="宋体" w:eastAsia="宋体" w:cs="仿宋"/>
          <w:b/>
          <w:bCs/>
          <w:color w:val="auto"/>
          <w:sz w:val="24"/>
          <w:szCs w:val="24"/>
          <w:highlight w:val="none"/>
        </w:rPr>
      </w:pPr>
      <w:r>
        <w:rPr>
          <w:rFonts w:hint="eastAsia" w:ascii="宋体" w:hAnsi="宋体" w:eastAsia="宋体" w:cs="仿宋"/>
          <w:b/>
          <w:bCs/>
          <w:color w:val="auto"/>
          <w:sz w:val="24"/>
          <w:szCs w:val="24"/>
          <w:highlight w:val="none"/>
        </w:rPr>
        <w:t>委托事项</w:t>
      </w:r>
    </w:p>
    <w:p>
      <w:pPr>
        <w:overflowPunct w:val="0"/>
        <w:autoSpaceDE w:val="0"/>
        <w:autoSpaceDN w:val="0"/>
        <w:spacing w:after="120" w:afterLines="50"/>
        <w:ind w:firstLine="464"/>
        <w:jc w:val="left"/>
        <w:rPr>
          <w:rFonts w:ascii="宋体" w:hAnsi="宋体" w:eastAsia="宋体" w:cs="Times New Roman"/>
          <w:color w:val="auto"/>
          <w:spacing w:val="-4"/>
          <w:kern w:val="0"/>
          <w:sz w:val="24"/>
          <w:szCs w:val="24"/>
          <w:highlight w:val="none"/>
          <w:lang w:val="de-DE"/>
        </w:rPr>
      </w:pPr>
      <w:r>
        <w:rPr>
          <w:rFonts w:hint="eastAsia" w:ascii="宋体" w:hAnsi="宋体" w:eastAsia="宋体" w:cs="Times New Roman"/>
          <w:color w:val="auto"/>
          <w:spacing w:val="-4"/>
          <w:kern w:val="0"/>
          <w:sz w:val="24"/>
          <w:szCs w:val="24"/>
          <w:highlight w:val="none"/>
          <w:lang w:val="de-DE"/>
        </w:rPr>
        <w:t>乙方接受甲方委托，</w:t>
      </w:r>
      <w:r>
        <w:rPr>
          <w:rFonts w:hint="eastAsia" w:ascii="宋体" w:hAnsi="宋体" w:eastAsia="宋体" w:cs="Times New Roman"/>
          <w:color w:val="auto"/>
          <w:spacing w:val="-4"/>
          <w:kern w:val="0"/>
          <w:sz w:val="24"/>
          <w:szCs w:val="24"/>
          <w:highlight w:val="none"/>
        </w:rPr>
        <w:t>有偿提供</w:t>
      </w:r>
      <w:r>
        <w:rPr>
          <w:rFonts w:hint="eastAsia" w:ascii="宋体" w:hAnsi="宋体" w:eastAsia="宋体" w:cs="Times New Roman"/>
          <w:color w:val="auto"/>
          <w:sz w:val="24"/>
          <w:szCs w:val="24"/>
          <w:highlight w:val="none"/>
        </w:rPr>
        <w:t>海口</w:t>
      </w:r>
      <w:r>
        <w:rPr>
          <w:rFonts w:hint="eastAsia" w:ascii="宋体" w:hAnsi="宋体" w:eastAsia="宋体" w:cs="Times New Roman"/>
          <w:color w:val="auto"/>
          <w:sz w:val="24"/>
          <w:szCs w:val="24"/>
          <w:highlight w:val="none"/>
          <w:lang w:val="en-US" w:eastAsia="zh-CN"/>
        </w:rPr>
        <w:t>江东新区CBD起步区南片区概念设计方案</w:t>
      </w:r>
      <w:r>
        <w:rPr>
          <w:rFonts w:hint="eastAsia" w:ascii="宋体" w:hAnsi="宋体" w:eastAsia="宋体" w:cs="Times New Roman"/>
          <w:color w:val="auto"/>
          <w:spacing w:val="-4"/>
          <w:kern w:val="0"/>
          <w:sz w:val="24"/>
          <w:szCs w:val="24"/>
          <w:highlight w:val="none"/>
        </w:rPr>
        <w:t>的编制工作</w:t>
      </w:r>
      <w:r>
        <w:rPr>
          <w:rFonts w:hint="eastAsia" w:ascii="宋体" w:hAnsi="宋体" w:eastAsia="宋体" w:cs="Times New Roman"/>
          <w:color w:val="auto"/>
          <w:spacing w:val="-4"/>
          <w:kern w:val="0"/>
          <w:sz w:val="24"/>
          <w:szCs w:val="24"/>
          <w:highlight w:val="none"/>
          <w:lang w:val="de-DE"/>
        </w:rPr>
        <w:t>。</w:t>
      </w:r>
    </w:p>
    <w:p>
      <w:pPr>
        <w:widowControl w:val="0"/>
        <w:numPr>
          <w:ilvl w:val="0"/>
          <w:numId w:val="4"/>
        </w:numPr>
        <w:spacing w:after="120" w:afterLines="50"/>
        <w:ind w:firstLine="482" w:firstLineChars="0"/>
        <w:rPr>
          <w:rFonts w:ascii="宋体" w:hAnsi="宋体" w:eastAsia="宋体" w:cs="仿宋"/>
          <w:b/>
          <w:bCs/>
          <w:color w:val="auto"/>
          <w:sz w:val="24"/>
          <w:szCs w:val="24"/>
          <w:highlight w:val="none"/>
        </w:rPr>
      </w:pPr>
      <w:r>
        <w:rPr>
          <w:rFonts w:hint="eastAsia" w:ascii="宋体" w:hAnsi="宋体" w:eastAsia="宋体" w:cs="仿宋"/>
          <w:b/>
          <w:bCs/>
          <w:color w:val="auto"/>
          <w:sz w:val="24"/>
          <w:szCs w:val="24"/>
          <w:highlight w:val="none"/>
        </w:rPr>
        <w:t>服务内容</w:t>
      </w:r>
    </w:p>
    <w:p>
      <w:pPr>
        <w:widowControl w:val="0"/>
        <w:ind w:firstLine="480"/>
        <w:rPr>
          <w:rFonts w:hint="eastAsia" w:ascii="宋体" w:hAnsi="宋体" w:eastAsia="宋体" w:cs="Times New Roman"/>
          <w:bCs/>
          <w:color w:val="auto"/>
          <w:sz w:val="24"/>
          <w:szCs w:val="24"/>
          <w:highlight w:val="none"/>
          <w:lang w:eastAsia="zh-CN"/>
        </w:rPr>
      </w:pPr>
      <w:r>
        <w:rPr>
          <w:rFonts w:hint="eastAsia" w:ascii="宋体" w:hAnsi="宋体" w:eastAsia="宋体" w:cs="Times New Roman"/>
          <w:bCs/>
          <w:color w:val="auto"/>
          <w:sz w:val="24"/>
          <w:szCs w:val="24"/>
          <w:highlight w:val="none"/>
        </w:rPr>
        <w:t>重点关注</w:t>
      </w:r>
      <w:r>
        <w:rPr>
          <w:rFonts w:hint="eastAsia" w:ascii="宋体" w:hAnsi="宋体" w:eastAsia="宋体" w:cs="Times New Roman"/>
          <w:bCs/>
          <w:color w:val="auto"/>
          <w:sz w:val="24"/>
          <w:szCs w:val="24"/>
          <w:highlight w:val="none"/>
          <w:lang w:val="en-US" w:eastAsia="zh-CN"/>
        </w:rPr>
        <w:t>CBD起步区南片区的功能定位、产业定位、空间布局</w:t>
      </w:r>
      <w:r>
        <w:rPr>
          <w:rFonts w:hint="eastAsia" w:ascii="宋体" w:hAnsi="宋体" w:eastAsia="宋体" w:cs="Times New Roman"/>
          <w:bCs/>
          <w:color w:val="auto"/>
          <w:sz w:val="24"/>
          <w:szCs w:val="24"/>
          <w:highlight w:val="none"/>
          <w:lang w:eastAsia="zh-CN"/>
        </w:rPr>
        <w:t>：</w:t>
      </w:r>
    </w:p>
    <w:p>
      <w:pPr>
        <w:pStyle w:val="71"/>
        <w:ind w:firstLine="643"/>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 w:val="0"/>
          <w:bCs/>
          <w:color w:val="auto"/>
          <w:sz w:val="24"/>
          <w:szCs w:val="24"/>
          <w:highlight w:val="none"/>
          <w:lang w:val="en-US" w:eastAsia="zh-CN"/>
        </w:rPr>
        <w:t>明确该区域的功能定位</w:t>
      </w:r>
      <w:r>
        <w:rPr>
          <w:rFonts w:hint="eastAsia" w:ascii="宋体" w:hAnsi="宋体" w:eastAsia="宋体" w:cs="Times New Roman"/>
          <w:b w:val="0"/>
          <w:bCs/>
          <w:color w:val="auto"/>
          <w:sz w:val="24"/>
          <w:szCs w:val="24"/>
          <w:highlight w:val="none"/>
        </w:rPr>
        <w:t>。</w:t>
      </w:r>
      <w:r>
        <w:rPr>
          <w:rFonts w:hint="eastAsia" w:ascii="宋体" w:hAnsi="宋体" w:eastAsia="宋体" w:cs="Times New Roman"/>
          <w:bCs/>
          <w:color w:val="auto"/>
          <w:kern w:val="2"/>
          <w:sz w:val="24"/>
          <w:szCs w:val="24"/>
          <w:highlight w:val="none"/>
          <w:lang w:val="en-US" w:eastAsia="zh-CN" w:bidi="ar-SA"/>
        </w:rPr>
        <w:t>围绕贯彻落实江东新区</w:t>
      </w:r>
      <w:r>
        <w:rPr>
          <w:rFonts w:hint="eastAsia" w:ascii="宋体" w:hAnsi="宋体" w:eastAsia="宋体" w:cs="Times New Roman"/>
          <w:bCs/>
          <w:color w:val="auto"/>
          <w:sz w:val="24"/>
          <w:szCs w:val="24"/>
          <w:highlight w:val="none"/>
          <w:lang w:val="en-US" w:eastAsia="zh-CN"/>
        </w:rPr>
        <w:t>CBD</w:t>
      </w:r>
      <w:r>
        <w:rPr>
          <w:rFonts w:hint="eastAsia" w:ascii="宋体" w:hAnsi="宋体" w:eastAsia="宋体" w:cs="Times New Roman"/>
          <w:bCs/>
          <w:color w:val="auto"/>
          <w:kern w:val="2"/>
          <w:sz w:val="24"/>
          <w:szCs w:val="24"/>
          <w:highlight w:val="none"/>
          <w:lang w:val="en-US" w:eastAsia="zh-CN" w:bidi="ar-SA"/>
        </w:rPr>
        <w:t>起步区的重大战略和整体决策，以“服务协同提升江东新区起步区”为核心，系统梳理片区周边的基础设施和功能服务配套情况，明确CBD起步区南片区的整体功能定位。</w:t>
      </w:r>
    </w:p>
    <w:p>
      <w:pPr>
        <w:pStyle w:val="71"/>
        <w:ind w:firstLine="643"/>
        <w:rPr>
          <w:rFonts w:hint="eastAsia" w:ascii="宋体" w:hAnsi="宋体" w:eastAsia="宋体" w:cs="Times New Roman"/>
          <w:bCs/>
          <w:color w:val="auto"/>
          <w:sz w:val="24"/>
          <w:szCs w:val="24"/>
          <w:highlight w:val="none"/>
        </w:rPr>
      </w:pPr>
      <w:r>
        <w:rPr>
          <w:rFonts w:hint="eastAsia" w:ascii="宋体" w:hAnsi="宋体" w:eastAsia="宋体" w:cs="Times New Roman"/>
          <w:b w:val="0"/>
          <w:bCs/>
          <w:color w:val="auto"/>
          <w:sz w:val="24"/>
          <w:szCs w:val="24"/>
          <w:highlight w:val="none"/>
          <w:lang w:val="en-US" w:eastAsia="zh-CN"/>
        </w:rPr>
        <w:t>确定该区域的产业方向</w:t>
      </w:r>
      <w:r>
        <w:rPr>
          <w:rFonts w:hint="eastAsia" w:ascii="宋体" w:hAnsi="宋体" w:eastAsia="宋体" w:cs="Times New Roman"/>
          <w:b w:val="0"/>
          <w:bCs/>
          <w:color w:val="auto"/>
          <w:sz w:val="24"/>
          <w:szCs w:val="24"/>
          <w:highlight w:val="none"/>
        </w:rPr>
        <w:t>。</w:t>
      </w:r>
      <w:r>
        <w:rPr>
          <w:rFonts w:hint="eastAsia" w:ascii="宋体" w:hAnsi="宋体" w:eastAsia="宋体" w:cs="Times New Roman"/>
          <w:bCs/>
          <w:color w:val="auto"/>
          <w:kern w:val="2"/>
          <w:sz w:val="24"/>
          <w:szCs w:val="24"/>
          <w:highlight w:val="none"/>
          <w:lang w:val="en-US" w:eastAsia="zh-CN" w:bidi="ar-SA"/>
        </w:rPr>
        <w:t>在功能定位的基础上，面向总部商务精英、中小企业办公人群、当地居民三类人群的需求，结合周边产业布局，谋划</w:t>
      </w:r>
      <w:r>
        <w:rPr>
          <w:rFonts w:hint="eastAsia" w:ascii="宋体" w:hAnsi="宋体" w:eastAsia="宋体" w:cs="Times New Roman"/>
          <w:bCs/>
          <w:color w:val="auto"/>
          <w:sz w:val="24"/>
          <w:szCs w:val="24"/>
          <w:highlight w:val="none"/>
          <w:lang w:val="en-US" w:eastAsia="zh-CN"/>
        </w:rPr>
        <w:t>CBD</w:t>
      </w:r>
      <w:r>
        <w:rPr>
          <w:rFonts w:hint="eastAsia" w:ascii="宋体" w:hAnsi="宋体" w:eastAsia="宋体" w:cs="Times New Roman"/>
          <w:bCs/>
          <w:color w:val="auto"/>
          <w:kern w:val="2"/>
          <w:sz w:val="24"/>
          <w:szCs w:val="24"/>
          <w:highlight w:val="none"/>
          <w:lang w:val="en-US" w:eastAsia="zh-CN" w:bidi="ar-SA"/>
        </w:rPr>
        <w:t>起步区南片区的产业方向</w:t>
      </w:r>
      <w:r>
        <w:rPr>
          <w:rFonts w:hint="eastAsia" w:ascii="宋体" w:hAnsi="宋体" w:eastAsia="宋体" w:cs="Times New Roman"/>
          <w:bCs/>
          <w:color w:val="auto"/>
          <w:sz w:val="24"/>
          <w:szCs w:val="24"/>
          <w:highlight w:val="none"/>
        </w:rPr>
        <w:t>。</w:t>
      </w:r>
    </w:p>
    <w:p>
      <w:pPr>
        <w:pStyle w:val="71"/>
        <w:ind w:firstLine="643"/>
        <w:rPr>
          <w:rFonts w:hint="eastAsia" w:ascii="宋体" w:hAnsi="宋体" w:eastAsia="宋体" w:cs="Times New Roman"/>
          <w:bCs/>
          <w:color w:val="auto"/>
          <w:sz w:val="24"/>
          <w:szCs w:val="24"/>
          <w:highlight w:val="none"/>
        </w:rPr>
      </w:pPr>
      <w:r>
        <w:rPr>
          <w:rFonts w:hint="eastAsia" w:ascii="宋体" w:hAnsi="宋体" w:eastAsia="宋体" w:cs="Times New Roman"/>
          <w:b w:val="0"/>
          <w:bCs/>
          <w:color w:val="auto"/>
          <w:sz w:val="24"/>
          <w:szCs w:val="24"/>
          <w:highlight w:val="none"/>
          <w:lang w:val="en-US" w:eastAsia="zh-CN"/>
        </w:rPr>
        <w:t>统筹好该区域的空间布局</w:t>
      </w:r>
      <w:r>
        <w:rPr>
          <w:rFonts w:hint="eastAsia" w:ascii="宋体" w:hAnsi="宋体" w:eastAsia="宋体" w:cs="Times New Roman"/>
          <w:b w:val="0"/>
          <w:bCs/>
          <w:color w:val="auto"/>
          <w:sz w:val="24"/>
          <w:szCs w:val="24"/>
          <w:highlight w:val="none"/>
        </w:rPr>
        <w:t>。</w:t>
      </w:r>
      <w:r>
        <w:rPr>
          <w:rFonts w:hint="eastAsia" w:ascii="宋体" w:hAnsi="宋体" w:eastAsia="宋体" w:cs="Times New Roman"/>
          <w:bCs/>
          <w:color w:val="auto"/>
          <w:sz w:val="24"/>
          <w:szCs w:val="24"/>
          <w:highlight w:val="none"/>
        </w:rPr>
        <w:t>结合产业空间需求、居住空间需求、配套设施空间需求，对片区范围内的用地类型及相应规模进行概念性策划，并制定片区范围内的功能分区。结合政府投资计划和招商计划及用地需求，初步拟定产业项目和配套设施的用地布局，为片区详细规划的编制提供参考。</w:t>
      </w:r>
    </w:p>
    <w:p>
      <w:pPr>
        <w:widowControl w:val="0"/>
        <w:numPr>
          <w:ilvl w:val="0"/>
          <w:numId w:val="4"/>
        </w:numPr>
        <w:spacing w:after="120" w:afterLines="50"/>
        <w:ind w:firstLine="482" w:firstLineChars="0"/>
        <w:rPr>
          <w:rFonts w:ascii="宋体" w:hAnsi="宋体" w:eastAsia="宋体" w:cs="仿宋"/>
          <w:b/>
          <w:bCs/>
          <w:color w:val="auto"/>
          <w:sz w:val="24"/>
          <w:szCs w:val="24"/>
          <w:highlight w:val="none"/>
        </w:rPr>
      </w:pPr>
      <w:r>
        <w:rPr>
          <w:rFonts w:hint="eastAsia" w:ascii="宋体" w:hAnsi="宋体" w:eastAsia="宋体" w:cs="仿宋"/>
          <w:b/>
          <w:bCs/>
          <w:color w:val="auto"/>
          <w:sz w:val="24"/>
          <w:szCs w:val="24"/>
          <w:highlight w:val="none"/>
        </w:rPr>
        <w:t>项目工作时间安排</w:t>
      </w:r>
    </w:p>
    <w:p>
      <w:pPr>
        <w:overflowPunct w:val="0"/>
        <w:autoSpaceDE w:val="0"/>
        <w:autoSpaceDN w:val="0"/>
        <w:spacing w:afterLines="50"/>
        <w:ind w:firstLine="464"/>
        <w:jc w:val="left"/>
        <w:rPr>
          <w:rFonts w:ascii="宋体" w:hAnsi="宋体" w:eastAsia="宋体" w:cs="Times New Roman"/>
          <w:color w:val="auto"/>
          <w:spacing w:val="-4"/>
          <w:kern w:val="0"/>
          <w:sz w:val="24"/>
          <w:szCs w:val="24"/>
          <w:highlight w:val="none"/>
        </w:rPr>
      </w:pPr>
      <w:r>
        <w:rPr>
          <w:rFonts w:hint="eastAsia" w:ascii="宋体" w:hAnsi="宋体" w:eastAsia="宋体" w:cs="Times New Roman"/>
          <w:color w:val="auto"/>
          <w:spacing w:val="-4"/>
          <w:kern w:val="0"/>
          <w:sz w:val="24"/>
          <w:szCs w:val="24"/>
          <w:highlight w:val="none"/>
        </w:rPr>
        <w:t>本项目的交付成果为</w:t>
      </w:r>
      <w:r>
        <w:rPr>
          <w:rFonts w:hint="eastAsia" w:ascii="宋体" w:hAnsi="宋体" w:eastAsia="宋体" w:cs="Times New Roman"/>
          <w:bCs/>
          <w:color w:val="auto"/>
          <w:sz w:val="24"/>
          <w:szCs w:val="24"/>
          <w:highlight w:val="none"/>
        </w:rPr>
        <w:t>《海口</w:t>
      </w:r>
      <w:r>
        <w:rPr>
          <w:rFonts w:hint="eastAsia" w:ascii="宋体" w:hAnsi="宋体" w:eastAsia="宋体" w:cs="Times New Roman"/>
          <w:bCs/>
          <w:color w:val="auto"/>
          <w:sz w:val="24"/>
          <w:szCs w:val="24"/>
          <w:highlight w:val="none"/>
          <w:lang w:val="en-US" w:eastAsia="zh-CN"/>
        </w:rPr>
        <w:t>江东新区CBD起步区南片区概念设计方案</w:t>
      </w:r>
      <w:r>
        <w:rPr>
          <w:rFonts w:hint="eastAsia" w:ascii="宋体" w:hAnsi="宋体" w:eastAsia="宋体" w:cs="Times New Roman"/>
          <w:bCs/>
          <w:color w:val="auto"/>
          <w:sz w:val="24"/>
          <w:szCs w:val="24"/>
          <w:highlight w:val="none"/>
        </w:rPr>
        <w:t>》、文本word及汇报ppt</w:t>
      </w:r>
      <w:r>
        <w:rPr>
          <w:rFonts w:ascii="宋体" w:hAnsi="宋体" w:eastAsia="宋体" w:cs="Times New Roman"/>
          <w:color w:val="auto"/>
          <w:spacing w:val="-4"/>
          <w:kern w:val="0"/>
          <w:sz w:val="24"/>
          <w:szCs w:val="24"/>
          <w:highlight w:val="none"/>
        </w:rPr>
        <w:t>。</w:t>
      </w:r>
      <w:r>
        <w:rPr>
          <w:rFonts w:hint="eastAsia" w:ascii="宋体" w:hAnsi="宋体" w:eastAsia="宋体" w:cs="Times New Roman"/>
          <w:color w:val="auto"/>
          <w:spacing w:val="-4"/>
          <w:kern w:val="0"/>
          <w:sz w:val="24"/>
          <w:szCs w:val="24"/>
          <w:highlight w:val="none"/>
        </w:rPr>
        <w:t>乙方</w:t>
      </w:r>
      <w:r>
        <w:rPr>
          <w:rFonts w:hint="eastAsia" w:ascii="宋体" w:hAnsi="宋体" w:eastAsia="宋体" w:cs="Times New Roman"/>
          <w:bCs/>
          <w:color w:val="auto"/>
          <w:sz w:val="24"/>
          <w:szCs w:val="24"/>
          <w:highlight w:val="none"/>
        </w:rPr>
        <w:t>于</w:t>
      </w:r>
      <w:r>
        <w:rPr>
          <w:rFonts w:hint="eastAsia" w:ascii="宋体" w:hAnsi="宋体" w:eastAsia="宋体" w:cs="Times New Roman"/>
          <w:bCs/>
          <w:color w:val="auto"/>
          <w:sz w:val="24"/>
          <w:szCs w:val="24"/>
          <w:highlight w:val="none"/>
          <w:lang w:val="en-US" w:eastAsia="zh-CN"/>
        </w:rPr>
        <w:t>5</w:t>
      </w:r>
      <w:r>
        <w:rPr>
          <w:rFonts w:hint="eastAsia" w:ascii="宋体" w:hAnsi="宋体" w:eastAsia="宋体" w:cs="Times New Roman"/>
          <w:bCs/>
          <w:color w:val="auto"/>
          <w:sz w:val="24"/>
          <w:szCs w:val="24"/>
          <w:highlight w:val="none"/>
        </w:rPr>
        <w:t>月</w:t>
      </w:r>
      <w:r>
        <w:rPr>
          <w:rFonts w:hint="eastAsia" w:ascii="宋体" w:hAnsi="宋体" w:eastAsia="宋体" w:cs="Times New Roman"/>
          <w:bCs/>
          <w:color w:val="auto"/>
          <w:sz w:val="24"/>
          <w:szCs w:val="24"/>
          <w:highlight w:val="none"/>
          <w:lang w:val="en-US" w:eastAsia="zh-CN"/>
        </w:rPr>
        <w:t>31</w:t>
      </w:r>
      <w:r>
        <w:rPr>
          <w:rFonts w:hint="eastAsia" w:ascii="宋体" w:hAnsi="宋体" w:eastAsia="宋体" w:cs="Times New Roman"/>
          <w:bCs/>
          <w:color w:val="auto"/>
          <w:sz w:val="24"/>
          <w:szCs w:val="24"/>
          <w:highlight w:val="none"/>
        </w:rPr>
        <w:t>日前</w:t>
      </w:r>
      <w:r>
        <w:rPr>
          <w:rFonts w:ascii="宋体" w:hAnsi="宋体" w:eastAsia="宋体" w:cs="Times New Roman"/>
          <w:bCs/>
          <w:color w:val="auto"/>
          <w:sz w:val="24"/>
          <w:szCs w:val="24"/>
          <w:highlight w:val="none"/>
        </w:rPr>
        <w:t>完成上述工作的报告提交</w:t>
      </w:r>
      <w:r>
        <w:rPr>
          <w:rFonts w:hint="eastAsia" w:ascii="宋体" w:hAnsi="宋体" w:eastAsia="宋体" w:cs="Times New Roman"/>
          <w:bCs/>
          <w:color w:val="auto"/>
          <w:sz w:val="24"/>
          <w:szCs w:val="24"/>
          <w:highlight w:val="none"/>
        </w:rPr>
        <w:t>，其中自合同签订之日起2周内提交《海口</w:t>
      </w:r>
      <w:r>
        <w:rPr>
          <w:rFonts w:hint="eastAsia" w:ascii="宋体" w:hAnsi="宋体" w:eastAsia="宋体" w:cs="Times New Roman"/>
          <w:bCs/>
          <w:color w:val="auto"/>
          <w:sz w:val="24"/>
          <w:szCs w:val="24"/>
          <w:highlight w:val="none"/>
          <w:lang w:val="en-US" w:eastAsia="zh-CN"/>
        </w:rPr>
        <w:t>江东新区CBD起步区南片区概念设计方案</w:t>
      </w:r>
      <w:r>
        <w:rPr>
          <w:rFonts w:hint="eastAsia" w:ascii="宋体" w:hAnsi="宋体" w:eastAsia="宋体" w:cs="Times New Roman"/>
          <w:bCs/>
          <w:color w:val="auto"/>
          <w:sz w:val="24"/>
          <w:szCs w:val="24"/>
          <w:highlight w:val="none"/>
        </w:rPr>
        <w:t>》初步方案，自合同签订之日起</w:t>
      </w:r>
      <w:r>
        <w:rPr>
          <w:rFonts w:hint="eastAsia" w:ascii="宋体" w:hAnsi="宋体" w:eastAsia="宋体" w:cs="Times New Roman"/>
          <w:bCs/>
          <w:color w:val="auto"/>
          <w:sz w:val="24"/>
          <w:szCs w:val="24"/>
          <w:highlight w:val="none"/>
          <w:lang w:val="en-US" w:eastAsia="zh-CN"/>
        </w:rPr>
        <w:t>4</w:t>
      </w:r>
      <w:r>
        <w:rPr>
          <w:rFonts w:hint="eastAsia" w:ascii="宋体" w:hAnsi="宋体" w:eastAsia="宋体" w:cs="Times New Roman"/>
          <w:bCs/>
          <w:color w:val="auto"/>
          <w:sz w:val="24"/>
          <w:szCs w:val="24"/>
          <w:highlight w:val="none"/>
        </w:rPr>
        <w:t>周内提交《海口</w:t>
      </w:r>
      <w:r>
        <w:rPr>
          <w:rFonts w:hint="eastAsia" w:ascii="宋体" w:hAnsi="宋体" w:eastAsia="宋体" w:cs="Times New Roman"/>
          <w:bCs/>
          <w:color w:val="auto"/>
          <w:sz w:val="24"/>
          <w:szCs w:val="24"/>
          <w:highlight w:val="none"/>
          <w:lang w:val="en-US" w:eastAsia="zh-CN"/>
        </w:rPr>
        <w:t>江东新区CBD起步区南片区概念设计方案</w:t>
      </w:r>
      <w:r>
        <w:rPr>
          <w:rFonts w:hint="eastAsia" w:ascii="宋体" w:hAnsi="宋体" w:eastAsia="宋体" w:cs="Times New Roman"/>
          <w:bCs/>
          <w:color w:val="auto"/>
          <w:sz w:val="24"/>
          <w:szCs w:val="24"/>
          <w:highlight w:val="none"/>
        </w:rPr>
        <w:t>》</w:t>
      </w:r>
      <w:r>
        <w:rPr>
          <w:rFonts w:hint="eastAsia" w:ascii="宋体" w:hAnsi="宋体" w:eastAsia="宋体" w:cs="Times New Roman"/>
          <w:bCs/>
          <w:color w:val="auto"/>
          <w:sz w:val="24"/>
          <w:szCs w:val="24"/>
          <w:highlight w:val="none"/>
          <w:lang w:eastAsia="zh-CN"/>
        </w:rPr>
        <w:t>中期报告</w:t>
      </w:r>
      <w:r>
        <w:rPr>
          <w:rFonts w:hint="eastAsia" w:ascii="宋体" w:hAnsi="宋体" w:eastAsia="宋体" w:cs="Times New Roman"/>
          <w:bCs/>
          <w:color w:val="auto"/>
          <w:sz w:val="24"/>
          <w:szCs w:val="24"/>
          <w:highlight w:val="none"/>
        </w:rPr>
        <w:t>，</w:t>
      </w:r>
      <w:r>
        <w:rPr>
          <w:rFonts w:hint="eastAsia" w:ascii="宋体" w:hAnsi="宋体" w:eastAsia="宋体" w:cs="Times New Roman"/>
          <w:bCs/>
          <w:color w:val="auto"/>
          <w:sz w:val="24"/>
          <w:szCs w:val="24"/>
          <w:highlight w:val="none"/>
          <w:lang w:val="en-US" w:eastAsia="zh-CN"/>
        </w:rPr>
        <w:t>5月31日前</w:t>
      </w:r>
      <w:r>
        <w:rPr>
          <w:rFonts w:hint="eastAsia" w:ascii="宋体" w:hAnsi="宋体" w:eastAsia="宋体" w:cs="Times New Roman"/>
          <w:bCs/>
          <w:color w:val="auto"/>
          <w:sz w:val="24"/>
          <w:szCs w:val="24"/>
          <w:highlight w:val="none"/>
        </w:rPr>
        <w:t>内提交《海口</w:t>
      </w:r>
      <w:r>
        <w:rPr>
          <w:rFonts w:hint="eastAsia" w:ascii="宋体" w:hAnsi="宋体" w:eastAsia="宋体" w:cs="Times New Roman"/>
          <w:bCs/>
          <w:color w:val="auto"/>
          <w:sz w:val="24"/>
          <w:szCs w:val="24"/>
          <w:highlight w:val="none"/>
          <w:lang w:val="en-US" w:eastAsia="zh-CN"/>
        </w:rPr>
        <w:t>江东新区CBD起步区南片区概念设计方案</w:t>
      </w:r>
      <w:r>
        <w:rPr>
          <w:rFonts w:hint="eastAsia" w:ascii="宋体" w:hAnsi="宋体" w:eastAsia="宋体" w:cs="Times New Roman"/>
          <w:bCs/>
          <w:color w:val="auto"/>
          <w:sz w:val="24"/>
          <w:szCs w:val="24"/>
          <w:highlight w:val="none"/>
        </w:rPr>
        <w:t>》最终报告。</w:t>
      </w:r>
    </w:p>
    <w:p>
      <w:pPr>
        <w:overflowPunct w:val="0"/>
        <w:autoSpaceDE w:val="0"/>
        <w:autoSpaceDN w:val="0"/>
        <w:spacing w:after="120" w:afterLines="50"/>
        <w:ind w:firstLine="464"/>
        <w:jc w:val="left"/>
        <w:rPr>
          <w:rFonts w:hint="eastAsia" w:ascii="宋体" w:hAnsi="宋体" w:eastAsia="宋体" w:cs="Times New Roman"/>
          <w:color w:val="auto"/>
          <w:spacing w:val="-4"/>
          <w:kern w:val="0"/>
          <w:sz w:val="24"/>
          <w:szCs w:val="24"/>
          <w:highlight w:val="none"/>
        </w:rPr>
      </w:pPr>
    </w:p>
    <w:p>
      <w:pPr>
        <w:widowControl w:val="0"/>
        <w:numPr>
          <w:ilvl w:val="0"/>
          <w:numId w:val="4"/>
        </w:numPr>
        <w:spacing w:after="120" w:afterLines="50"/>
        <w:ind w:firstLine="482" w:firstLineChars="0"/>
        <w:rPr>
          <w:rFonts w:ascii="宋体" w:hAnsi="宋体" w:eastAsia="宋体" w:cs="仿宋"/>
          <w:b/>
          <w:bCs/>
          <w:color w:val="auto"/>
          <w:sz w:val="24"/>
          <w:szCs w:val="24"/>
          <w:highlight w:val="none"/>
        </w:rPr>
      </w:pPr>
      <w:r>
        <w:rPr>
          <w:rFonts w:hint="eastAsia" w:ascii="宋体" w:hAnsi="宋体" w:eastAsia="宋体" w:cs="仿宋"/>
          <w:b/>
          <w:bCs/>
          <w:color w:val="auto"/>
          <w:sz w:val="24"/>
          <w:szCs w:val="24"/>
          <w:highlight w:val="none"/>
        </w:rPr>
        <w:t>编制费用</w:t>
      </w:r>
    </w:p>
    <w:p>
      <w:pPr>
        <w:widowControl w:val="0"/>
        <w:snapToGrid w:val="0"/>
        <w:spacing w:after="120" w:afterLines="50"/>
        <w:ind w:firstLine="480"/>
        <w:rPr>
          <w:rFonts w:ascii="宋体" w:hAnsi="宋体" w:eastAsia="宋体" w:cs="仿宋"/>
          <w:b/>
          <w:bCs/>
          <w:color w:val="auto"/>
          <w:sz w:val="24"/>
          <w:szCs w:val="24"/>
          <w:highlight w:val="none"/>
        </w:rPr>
      </w:pPr>
      <w:r>
        <w:rPr>
          <w:rFonts w:hint="eastAsia" w:ascii="宋体" w:hAnsi="宋体" w:eastAsia="宋体" w:cs="仿宋"/>
          <w:color w:val="auto"/>
          <w:sz w:val="24"/>
          <w:szCs w:val="24"/>
          <w:highlight w:val="none"/>
        </w:rPr>
        <w:t>《</w:t>
      </w:r>
      <w:r>
        <w:rPr>
          <w:rFonts w:hint="eastAsia" w:ascii="宋体" w:hAnsi="宋体" w:eastAsia="宋体" w:cs="Times New Roman"/>
          <w:color w:val="auto"/>
          <w:sz w:val="24"/>
          <w:szCs w:val="24"/>
          <w:highlight w:val="none"/>
        </w:rPr>
        <w:t>海口</w:t>
      </w:r>
      <w:r>
        <w:rPr>
          <w:rFonts w:hint="eastAsia" w:ascii="宋体" w:hAnsi="宋体" w:eastAsia="宋体" w:cs="Times New Roman"/>
          <w:color w:val="auto"/>
          <w:sz w:val="24"/>
          <w:szCs w:val="24"/>
          <w:highlight w:val="none"/>
          <w:lang w:val="en-US" w:eastAsia="zh-CN"/>
        </w:rPr>
        <w:t>江东新区CBD起步区南片区概念设计方案</w:t>
      </w:r>
      <w:r>
        <w:rPr>
          <w:rFonts w:hint="eastAsia" w:ascii="宋体" w:hAnsi="宋体" w:eastAsia="宋体" w:cs="仿宋"/>
          <w:color w:val="auto"/>
          <w:sz w:val="24"/>
          <w:szCs w:val="24"/>
          <w:highlight w:val="none"/>
        </w:rPr>
        <w:t>》编制费用</w:t>
      </w:r>
      <w:r>
        <w:rPr>
          <w:rFonts w:ascii="宋体" w:hAnsi="宋体" w:eastAsia="宋体" w:cs="仿宋"/>
          <w:color w:val="auto"/>
          <w:sz w:val="24"/>
          <w:szCs w:val="24"/>
          <w:highlight w:val="none"/>
        </w:rPr>
        <w:t>（含税）</w:t>
      </w:r>
      <w:r>
        <w:rPr>
          <w:rFonts w:hint="eastAsia" w:ascii="宋体" w:hAnsi="宋体" w:eastAsia="宋体" w:cs="仿宋"/>
          <w:color w:val="auto"/>
          <w:sz w:val="24"/>
          <w:szCs w:val="24"/>
          <w:highlight w:val="none"/>
        </w:rPr>
        <w:t>为</w:t>
      </w:r>
      <w:r>
        <w:rPr>
          <w:rFonts w:ascii="宋体" w:hAnsi="宋体" w:eastAsia="宋体" w:cs="Calibri"/>
          <w:b/>
          <w:color w:val="auto"/>
          <w:sz w:val="24"/>
          <w:szCs w:val="24"/>
          <w:highlight w:val="none"/>
          <w:u w:val="single"/>
        </w:rPr>
        <w:t>¥</w:t>
      </w:r>
      <w:r>
        <w:rPr>
          <w:rFonts w:ascii="宋体" w:hAnsi="宋体" w:eastAsia="宋体" w:cs="仿宋"/>
          <w:b/>
          <w:color w:val="auto"/>
          <w:sz w:val="24"/>
          <w:szCs w:val="24"/>
          <w:highlight w:val="none"/>
          <w:u w:val="single"/>
        </w:rPr>
        <w:t xml:space="preserve">           </w:t>
      </w:r>
      <w:r>
        <w:rPr>
          <w:rFonts w:hint="eastAsia" w:ascii="宋体" w:hAnsi="宋体" w:eastAsia="宋体" w:cs="仿宋"/>
          <w:color w:val="auto"/>
          <w:sz w:val="24"/>
          <w:szCs w:val="24"/>
          <w:highlight w:val="none"/>
        </w:rPr>
        <w:t>元整(大写：</w:t>
      </w:r>
      <w:r>
        <w:rPr>
          <w:rFonts w:hint="eastAsia" w:ascii="宋体" w:hAnsi="宋体" w:eastAsia="宋体" w:cs="仿宋"/>
          <w:b/>
          <w:color w:val="auto"/>
          <w:sz w:val="24"/>
          <w:szCs w:val="24"/>
          <w:highlight w:val="none"/>
          <w:u w:val="single"/>
        </w:rPr>
        <w:t xml:space="preserve">人民币 </w:t>
      </w:r>
      <w:r>
        <w:rPr>
          <w:rFonts w:ascii="宋体" w:hAnsi="宋体" w:eastAsia="宋体" w:cs="仿宋"/>
          <w:b/>
          <w:color w:val="auto"/>
          <w:sz w:val="24"/>
          <w:szCs w:val="24"/>
          <w:highlight w:val="none"/>
          <w:u w:val="single"/>
        </w:rPr>
        <w:t xml:space="preserve">         </w:t>
      </w:r>
      <w:r>
        <w:rPr>
          <w:rFonts w:hint="eastAsia" w:ascii="宋体" w:hAnsi="宋体" w:eastAsia="宋体" w:cs="仿宋"/>
          <w:b/>
          <w:color w:val="auto"/>
          <w:sz w:val="24"/>
          <w:szCs w:val="24"/>
          <w:highlight w:val="none"/>
          <w:u w:val="single"/>
        </w:rPr>
        <w:t>元整</w:t>
      </w:r>
      <w:r>
        <w:rPr>
          <w:rFonts w:hint="eastAsia" w:ascii="宋体" w:hAnsi="宋体" w:eastAsia="宋体" w:cs="仿宋"/>
          <w:color w:val="auto"/>
          <w:sz w:val="24"/>
          <w:szCs w:val="24"/>
          <w:highlight w:val="none"/>
        </w:rPr>
        <w:t>)。</w:t>
      </w:r>
      <w:r>
        <w:rPr>
          <w:rFonts w:ascii="宋体" w:hAnsi="宋体" w:eastAsia="宋体" w:cs="仿宋"/>
          <w:color w:val="auto"/>
          <w:sz w:val="24"/>
          <w:szCs w:val="24"/>
          <w:highlight w:val="none"/>
        </w:rPr>
        <w:t>该费用包含乙方为履行本合同义务而发生的费用，包括但不限于</w:t>
      </w:r>
      <w:r>
        <w:rPr>
          <w:rFonts w:hint="eastAsia" w:ascii="宋体" w:hAnsi="宋体" w:eastAsia="宋体" w:cs="仿宋"/>
          <w:color w:val="auto"/>
          <w:sz w:val="24"/>
          <w:szCs w:val="24"/>
          <w:highlight w:val="none"/>
        </w:rPr>
        <w:t>资料费、差旅费、专家咨询费及与项目服务有关的税费。同时，</w:t>
      </w:r>
      <w:r>
        <w:rPr>
          <w:rFonts w:ascii="宋体" w:hAnsi="宋体" w:eastAsia="宋体" w:cs="仿宋"/>
          <w:color w:val="auto"/>
          <w:sz w:val="24"/>
          <w:szCs w:val="24"/>
          <w:highlight w:val="none"/>
        </w:rPr>
        <w:t>乙方需自行对其派出的服务人员进行管理，如若遭受（或造成）人身损害或财产损失的，由乙方自行承担，与甲方无关。</w:t>
      </w:r>
    </w:p>
    <w:p>
      <w:pPr>
        <w:widowControl w:val="0"/>
        <w:numPr>
          <w:ilvl w:val="0"/>
          <w:numId w:val="4"/>
        </w:numPr>
        <w:spacing w:afterLines="50"/>
        <w:ind w:firstLine="482" w:firstLineChars="0"/>
        <w:rPr>
          <w:rFonts w:ascii="宋体" w:hAnsi="宋体" w:eastAsia="宋体" w:cs="仿宋"/>
          <w:b/>
          <w:bCs/>
          <w:color w:val="auto"/>
          <w:sz w:val="24"/>
          <w:szCs w:val="24"/>
          <w:highlight w:val="none"/>
        </w:rPr>
      </w:pPr>
      <w:r>
        <w:rPr>
          <w:rFonts w:hint="eastAsia" w:ascii="宋体" w:hAnsi="宋体" w:eastAsia="宋体" w:cs="仿宋"/>
          <w:b/>
          <w:bCs/>
          <w:color w:val="auto"/>
          <w:sz w:val="24"/>
          <w:szCs w:val="24"/>
          <w:highlight w:val="none"/>
        </w:rPr>
        <w:t>编制费用支付进度及方式</w:t>
      </w:r>
    </w:p>
    <w:bookmarkEnd w:id="45"/>
    <w:p>
      <w:pPr>
        <w:widowControl w:val="0"/>
        <w:numPr>
          <w:ilvl w:val="0"/>
          <w:numId w:val="5"/>
        </w:numPr>
        <w:spacing w:afterLines="50"/>
        <w:ind w:firstLine="482" w:firstLineChars="0"/>
        <w:rPr>
          <w:rFonts w:ascii="宋体" w:hAnsi="宋体" w:eastAsia="宋体" w:cs="仿宋"/>
          <w:b/>
          <w:bCs/>
          <w:color w:val="auto"/>
          <w:kern w:val="0"/>
          <w:sz w:val="24"/>
          <w:szCs w:val="24"/>
          <w:highlight w:val="none"/>
        </w:rPr>
      </w:pPr>
      <w:r>
        <w:rPr>
          <w:rFonts w:hint="eastAsia" w:ascii="宋体" w:hAnsi="宋体" w:eastAsia="宋体" w:cs="仿宋"/>
          <w:b/>
          <w:bCs/>
          <w:color w:val="auto"/>
          <w:kern w:val="0"/>
          <w:sz w:val="24"/>
          <w:szCs w:val="24"/>
          <w:highlight w:val="none"/>
        </w:rPr>
        <w:t>支付进度</w:t>
      </w:r>
    </w:p>
    <w:p>
      <w:pPr>
        <w:widowControl w:val="0"/>
        <w:spacing w:afterLines="50"/>
        <w:ind w:firstLine="480"/>
        <w:jc w:val="left"/>
        <w:rPr>
          <w:rFonts w:ascii="宋体" w:hAnsi="宋体" w:eastAsia="宋体" w:cs="仿宋"/>
          <w:color w:val="auto"/>
          <w:sz w:val="24"/>
          <w:szCs w:val="24"/>
          <w:highlight w:val="none"/>
          <w:lang w:val="en-GB"/>
        </w:rPr>
      </w:pPr>
      <w:r>
        <w:rPr>
          <w:rFonts w:ascii="宋体" w:hAnsi="宋体" w:eastAsia="宋体" w:cs="仿宋"/>
          <w:color w:val="auto"/>
          <w:sz w:val="24"/>
          <w:szCs w:val="24"/>
          <w:highlight w:val="none"/>
          <w:lang w:val="en-GB"/>
        </w:rPr>
        <w:t>本合同采用分期付款</w:t>
      </w:r>
    </w:p>
    <w:p>
      <w:pPr>
        <w:ind w:firstLine="480" w:firstLineChars="200"/>
        <w:jc w:val="left"/>
        <w:textAlignment w:val="center"/>
        <w:rPr>
          <w:rFonts w:hint="default" w:ascii="宋体" w:hAnsi="宋体" w:eastAsia="宋体" w:cs="仿宋"/>
          <w:color w:val="auto"/>
          <w:sz w:val="24"/>
          <w:szCs w:val="24"/>
          <w:highlight w:val="none"/>
          <w:lang w:val="en-GB"/>
        </w:rPr>
      </w:pPr>
      <w:r>
        <w:rPr>
          <w:rFonts w:hint="eastAsia" w:ascii="宋体" w:hAnsi="宋体" w:eastAsia="宋体" w:cs="仿宋"/>
          <w:color w:val="auto"/>
          <w:sz w:val="24"/>
          <w:szCs w:val="24"/>
          <w:highlight w:val="none"/>
          <w:lang w:val="en-US" w:eastAsia="zh-CN"/>
        </w:rPr>
        <w:t>1.</w:t>
      </w:r>
      <w:r>
        <w:rPr>
          <w:rFonts w:ascii="宋体" w:hAnsi="宋体" w:eastAsia="宋体" w:cs="仿宋"/>
          <w:color w:val="auto"/>
          <w:sz w:val="24"/>
          <w:szCs w:val="24"/>
          <w:highlight w:val="none"/>
          <w:lang w:val="en-GB"/>
        </w:rPr>
        <w:t>提交</w:t>
      </w:r>
      <w:r>
        <w:rPr>
          <w:rFonts w:hint="default" w:ascii="宋体" w:hAnsi="宋体" w:eastAsia="宋体" w:cs="仿宋"/>
          <w:color w:val="auto"/>
          <w:sz w:val="24"/>
          <w:szCs w:val="24"/>
          <w:highlight w:val="none"/>
          <w:lang w:val="en-GB"/>
        </w:rPr>
        <w:t>《海口</w:t>
      </w:r>
      <w:r>
        <w:rPr>
          <w:rFonts w:hint="default" w:ascii="宋体" w:hAnsi="宋体" w:eastAsia="宋体" w:cs="仿宋"/>
          <w:color w:val="auto"/>
          <w:sz w:val="24"/>
          <w:szCs w:val="24"/>
          <w:highlight w:val="none"/>
          <w:lang w:val="en-GB" w:eastAsia="zh-CN"/>
        </w:rPr>
        <w:t>江东新区CBD起步区南片区概念设计方案</w:t>
      </w:r>
      <w:r>
        <w:rPr>
          <w:rFonts w:hint="default" w:ascii="宋体" w:hAnsi="宋体" w:eastAsia="宋体" w:cs="仿宋"/>
          <w:color w:val="auto"/>
          <w:sz w:val="24"/>
          <w:szCs w:val="24"/>
          <w:highlight w:val="none"/>
          <w:lang w:val="en-GB"/>
        </w:rPr>
        <w:t>》初步方案</w:t>
      </w:r>
      <w:r>
        <w:rPr>
          <w:rFonts w:ascii="宋体" w:hAnsi="宋体" w:eastAsia="宋体" w:cs="仿宋"/>
          <w:color w:val="auto"/>
          <w:sz w:val="24"/>
          <w:szCs w:val="24"/>
          <w:highlight w:val="none"/>
          <w:lang w:val="en-GB"/>
        </w:rPr>
        <w:t>后5个工作日支付合同总价30%</w:t>
      </w:r>
      <w:r>
        <w:rPr>
          <w:rFonts w:hint="eastAsia" w:ascii="宋体" w:hAnsi="宋体" w:eastAsia="宋体" w:cs="仿宋"/>
          <w:color w:val="auto"/>
          <w:sz w:val="24"/>
          <w:szCs w:val="24"/>
          <w:highlight w:val="none"/>
          <w:lang w:val="en-GB" w:eastAsia="zh-CN"/>
        </w:rPr>
        <w:t>，即人民币</w:t>
      </w:r>
      <w:r>
        <w:rPr>
          <w:rFonts w:hint="eastAsia" w:ascii="宋体" w:hAnsi="宋体" w:eastAsia="宋体" w:cs="仿宋"/>
          <w:color w:val="auto"/>
          <w:sz w:val="24"/>
          <w:szCs w:val="24"/>
          <w:highlight w:val="none"/>
          <w:lang w:val="en-US" w:eastAsia="zh-CN"/>
        </w:rPr>
        <w:t xml:space="preserve">     （小写：￥  ）</w:t>
      </w:r>
      <w:r>
        <w:rPr>
          <w:rFonts w:hint="default" w:ascii="宋体" w:hAnsi="宋体" w:eastAsia="宋体" w:cs="仿宋"/>
          <w:color w:val="auto"/>
          <w:sz w:val="24"/>
          <w:szCs w:val="24"/>
          <w:highlight w:val="none"/>
          <w:lang w:val="en-GB"/>
        </w:rPr>
        <w:t>；</w:t>
      </w:r>
    </w:p>
    <w:p>
      <w:pPr>
        <w:ind w:firstLine="480" w:firstLineChars="200"/>
        <w:jc w:val="left"/>
        <w:textAlignment w:val="center"/>
        <w:rPr>
          <w:rFonts w:hint="default" w:ascii="宋体" w:hAnsi="宋体" w:eastAsia="宋体" w:cs="仿宋"/>
          <w:color w:val="auto"/>
          <w:sz w:val="24"/>
          <w:szCs w:val="24"/>
          <w:highlight w:val="none"/>
          <w:lang w:val="en-GB" w:eastAsia="zh-CN"/>
        </w:rPr>
      </w:pPr>
      <w:r>
        <w:rPr>
          <w:rFonts w:hint="eastAsia" w:ascii="宋体" w:hAnsi="宋体" w:eastAsia="宋体" w:cs="仿宋"/>
          <w:color w:val="auto"/>
          <w:sz w:val="24"/>
          <w:szCs w:val="24"/>
          <w:highlight w:val="none"/>
          <w:lang w:val="en-US" w:eastAsia="zh-CN"/>
        </w:rPr>
        <w:t>2.</w:t>
      </w:r>
      <w:r>
        <w:rPr>
          <w:rFonts w:hint="default" w:ascii="宋体" w:hAnsi="宋体" w:eastAsia="宋体" w:cs="仿宋"/>
          <w:color w:val="auto"/>
          <w:sz w:val="24"/>
          <w:szCs w:val="24"/>
          <w:highlight w:val="none"/>
          <w:lang w:val="en-GB"/>
        </w:rPr>
        <w:t>提交《海口</w:t>
      </w:r>
      <w:r>
        <w:rPr>
          <w:rFonts w:hint="default" w:ascii="宋体" w:hAnsi="宋体" w:eastAsia="宋体" w:cs="仿宋"/>
          <w:color w:val="auto"/>
          <w:sz w:val="24"/>
          <w:szCs w:val="24"/>
          <w:highlight w:val="none"/>
          <w:lang w:val="en-GB" w:eastAsia="zh-CN"/>
        </w:rPr>
        <w:t>江东新区CBD起步区南片区概念设计方案</w:t>
      </w:r>
      <w:r>
        <w:rPr>
          <w:rFonts w:hint="default" w:ascii="宋体" w:hAnsi="宋体" w:eastAsia="宋体" w:cs="仿宋"/>
          <w:color w:val="auto"/>
          <w:sz w:val="24"/>
          <w:szCs w:val="24"/>
          <w:highlight w:val="none"/>
          <w:lang w:val="en-GB"/>
        </w:rPr>
        <w:t>》完整报告，并经海口江东新区管理局局务会审议通过后</w:t>
      </w:r>
      <w:r>
        <w:rPr>
          <w:rFonts w:ascii="宋体" w:hAnsi="宋体" w:eastAsia="宋体" w:cs="仿宋"/>
          <w:color w:val="auto"/>
          <w:sz w:val="24"/>
          <w:szCs w:val="24"/>
          <w:highlight w:val="none"/>
          <w:lang w:val="en-GB"/>
        </w:rPr>
        <w:t>5个工作日支付合同总价</w:t>
      </w:r>
      <w:r>
        <w:rPr>
          <w:rFonts w:hint="default" w:ascii="宋体" w:hAnsi="宋体" w:eastAsia="宋体" w:cs="仿宋"/>
          <w:color w:val="auto"/>
          <w:sz w:val="24"/>
          <w:szCs w:val="24"/>
          <w:highlight w:val="none"/>
          <w:lang w:val="en-GB" w:eastAsia="zh-CN"/>
        </w:rPr>
        <w:t>40</w:t>
      </w:r>
      <w:r>
        <w:rPr>
          <w:rFonts w:ascii="宋体" w:hAnsi="宋体" w:eastAsia="宋体" w:cs="仿宋"/>
          <w:color w:val="auto"/>
          <w:sz w:val="24"/>
          <w:szCs w:val="24"/>
          <w:highlight w:val="none"/>
          <w:lang w:val="en-GB"/>
        </w:rPr>
        <w:t>%</w:t>
      </w:r>
      <w:r>
        <w:rPr>
          <w:rFonts w:hint="eastAsia" w:ascii="宋体" w:hAnsi="宋体" w:eastAsia="宋体" w:cs="仿宋"/>
          <w:color w:val="auto"/>
          <w:sz w:val="24"/>
          <w:szCs w:val="24"/>
          <w:highlight w:val="none"/>
          <w:lang w:val="en-GB" w:eastAsia="zh-CN"/>
        </w:rPr>
        <w:t>，即人民币</w:t>
      </w:r>
      <w:r>
        <w:rPr>
          <w:rFonts w:hint="eastAsia" w:ascii="宋体" w:hAnsi="宋体" w:eastAsia="宋体" w:cs="仿宋"/>
          <w:color w:val="auto"/>
          <w:sz w:val="24"/>
          <w:szCs w:val="24"/>
          <w:highlight w:val="none"/>
          <w:lang w:val="en-US" w:eastAsia="zh-CN"/>
        </w:rPr>
        <w:t xml:space="preserve">     （小写：￥  ）</w:t>
      </w:r>
      <w:r>
        <w:rPr>
          <w:rFonts w:hint="default" w:ascii="宋体" w:hAnsi="宋体" w:eastAsia="宋体" w:cs="仿宋"/>
          <w:color w:val="auto"/>
          <w:sz w:val="24"/>
          <w:szCs w:val="24"/>
          <w:highlight w:val="none"/>
          <w:lang w:val="en-GB" w:eastAsia="zh-CN"/>
        </w:rPr>
        <w:t>；</w:t>
      </w:r>
    </w:p>
    <w:p>
      <w:pPr>
        <w:ind w:firstLine="480" w:firstLineChars="200"/>
        <w:jc w:val="left"/>
        <w:textAlignment w:val="center"/>
        <w:rPr>
          <w:rFonts w:hint="default" w:ascii="宋体" w:hAnsi="宋体" w:eastAsia="宋体" w:cs="仿宋"/>
          <w:color w:val="auto"/>
          <w:sz w:val="24"/>
          <w:szCs w:val="24"/>
          <w:highlight w:val="none"/>
          <w:lang w:val="en-GB" w:eastAsia="zh-CN"/>
        </w:rPr>
      </w:pPr>
      <w:r>
        <w:rPr>
          <w:rFonts w:hint="eastAsia" w:ascii="宋体" w:hAnsi="宋体" w:eastAsia="宋体" w:cs="仿宋"/>
          <w:color w:val="auto"/>
          <w:sz w:val="24"/>
          <w:szCs w:val="24"/>
          <w:highlight w:val="none"/>
          <w:lang w:val="en-US" w:eastAsia="zh-CN"/>
        </w:rPr>
        <w:t>3.</w:t>
      </w:r>
      <w:r>
        <w:rPr>
          <w:rFonts w:hint="default" w:ascii="宋体" w:hAnsi="宋体" w:eastAsia="宋体" w:cs="仿宋"/>
          <w:color w:val="auto"/>
          <w:sz w:val="24"/>
          <w:szCs w:val="24"/>
          <w:highlight w:val="none"/>
          <w:lang w:val="en-GB" w:eastAsia="zh-CN"/>
        </w:rPr>
        <w:t>提交《</w:t>
      </w:r>
      <w:r>
        <w:rPr>
          <w:rFonts w:hint="default" w:ascii="宋体" w:hAnsi="宋体" w:eastAsia="宋体" w:cs="仿宋"/>
          <w:color w:val="auto"/>
          <w:sz w:val="24"/>
          <w:szCs w:val="24"/>
          <w:highlight w:val="none"/>
          <w:lang w:val="en-GB"/>
        </w:rPr>
        <w:t>海口</w:t>
      </w:r>
      <w:r>
        <w:rPr>
          <w:rFonts w:hint="default" w:ascii="宋体" w:hAnsi="宋体" w:eastAsia="宋体" w:cs="仿宋"/>
          <w:color w:val="auto"/>
          <w:sz w:val="24"/>
          <w:szCs w:val="24"/>
          <w:highlight w:val="none"/>
          <w:lang w:val="en-GB" w:eastAsia="zh-CN"/>
        </w:rPr>
        <w:t>江东新区CBD起步区南片区概念设计方案》最终报告，并经海口江东新区管理局党委会</w:t>
      </w:r>
      <w:r>
        <w:rPr>
          <w:rFonts w:hint="eastAsia" w:ascii="宋体" w:hAnsi="宋体" w:eastAsia="宋体" w:cs="仿宋"/>
          <w:color w:val="auto"/>
          <w:sz w:val="24"/>
          <w:szCs w:val="24"/>
          <w:highlight w:val="none"/>
          <w:lang w:val="en-GB" w:eastAsia="zh-CN"/>
        </w:rPr>
        <w:t>和</w:t>
      </w:r>
      <w:r>
        <w:rPr>
          <w:rFonts w:hint="eastAsia" w:ascii="宋体" w:hAnsi="宋体" w:eastAsia="宋体" w:cs="仿宋"/>
          <w:color w:val="auto"/>
          <w:sz w:val="24"/>
          <w:szCs w:val="24"/>
          <w:highlight w:val="none"/>
          <w:lang w:val="en-US" w:eastAsia="zh-CN"/>
        </w:rPr>
        <w:t>/</w:t>
      </w:r>
      <w:r>
        <w:rPr>
          <w:rFonts w:hint="default" w:ascii="宋体" w:hAnsi="宋体" w:eastAsia="宋体" w:cs="仿宋"/>
          <w:color w:val="auto"/>
          <w:sz w:val="24"/>
          <w:szCs w:val="24"/>
          <w:highlight w:val="none"/>
          <w:lang w:val="en-GB" w:eastAsia="zh-CN"/>
        </w:rPr>
        <w:t>或市政府审议通过后5个工作日支付合同总价30%</w:t>
      </w:r>
      <w:r>
        <w:rPr>
          <w:rFonts w:hint="eastAsia" w:ascii="宋体" w:hAnsi="宋体" w:eastAsia="宋体" w:cs="仿宋"/>
          <w:color w:val="auto"/>
          <w:sz w:val="24"/>
          <w:szCs w:val="24"/>
          <w:highlight w:val="none"/>
          <w:lang w:val="en-GB" w:eastAsia="zh-CN"/>
        </w:rPr>
        <w:t>，即人民币</w:t>
      </w:r>
      <w:r>
        <w:rPr>
          <w:rFonts w:hint="eastAsia" w:ascii="宋体" w:hAnsi="宋体" w:eastAsia="宋体" w:cs="仿宋"/>
          <w:color w:val="auto"/>
          <w:sz w:val="24"/>
          <w:szCs w:val="24"/>
          <w:highlight w:val="none"/>
          <w:lang w:val="en-US" w:eastAsia="zh-CN"/>
        </w:rPr>
        <w:t xml:space="preserve">     （小写：￥  ）</w:t>
      </w:r>
      <w:r>
        <w:rPr>
          <w:rFonts w:hint="default" w:ascii="宋体" w:hAnsi="宋体" w:eastAsia="宋体" w:cs="仿宋"/>
          <w:color w:val="auto"/>
          <w:sz w:val="24"/>
          <w:szCs w:val="24"/>
          <w:highlight w:val="none"/>
          <w:lang w:val="en-GB" w:eastAsia="zh-CN"/>
        </w:rPr>
        <w:t>。</w:t>
      </w:r>
    </w:p>
    <w:p>
      <w:pPr>
        <w:widowControl w:val="0"/>
        <w:spacing w:afterLines="50"/>
        <w:ind w:firstLine="480"/>
        <w:rPr>
          <w:rFonts w:ascii="宋体" w:hAnsi="宋体" w:eastAsia="宋体" w:cs="仿宋"/>
          <w:color w:val="auto"/>
          <w:kern w:val="0"/>
          <w:sz w:val="24"/>
          <w:szCs w:val="24"/>
          <w:highlight w:val="none"/>
        </w:rPr>
      </w:pPr>
      <w:bookmarkStart w:id="46" w:name="_Hlk16456404"/>
      <w:r>
        <w:rPr>
          <w:rFonts w:hint="eastAsia" w:ascii="宋体" w:hAnsi="宋体" w:eastAsia="宋体" w:cs="仿宋"/>
          <w:color w:val="auto"/>
          <w:kern w:val="0"/>
          <w:sz w:val="24"/>
          <w:szCs w:val="24"/>
          <w:highlight w:val="none"/>
          <w:lang w:val="zh-CN"/>
        </w:rPr>
        <w:t>（</w:t>
      </w:r>
      <w:r>
        <w:rPr>
          <w:rFonts w:hint="eastAsia" w:ascii="宋体" w:hAnsi="宋体" w:eastAsia="宋体" w:cs="仿宋"/>
          <w:color w:val="auto"/>
          <w:kern w:val="0"/>
          <w:sz w:val="24"/>
          <w:szCs w:val="24"/>
          <w:highlight w:val="none"/>
        </w:rPr>
        <w:t>二</w:t>
      </w:r>
      <w:r>
        <w:rPr>
          <w:rFonts w:hint="eastAsia" w:ascii="宋体" w:hAnsi="宋体" w:eastAsia="宋体" w:cs="仿宋"/>
          <w:color w:val="auto"/>
          <w:kern w:val="0"/>
          <w:sz w:val="24"/>
          <w:szCs w:val="24"/>
          <w:highlight w:val="none"/>
          <w:lang w:val="zh-CN"/>
        </w:rPr>
        <w:t>）</w:t>
      </w:r>
      <w:bookmarkEnd w:id="46"/>
      <w:bookmarkStart w:id="47" w:name="_Hlk16456394"/>
      <w:r>
        <w:rPr>
          <w:rFonts w:hint="eastAsia" w:ascii="宋体" w:hAnsi="宋体" w:eastAsia="宋体" w:cs="仿宋"/>
          <w:color w:val="auto"/>
          <w:sz w:val="24"/>
          <w:szCs w:val="24"/>
          <w:highlight w:val="none"/>
        </w:rPr>
        <w:t>编制费用</w:t>
      </w:r>
      <w:r>
        <w:rPr>
          <w:rFonts w:hint="eastAsia" w:ascii="宋体" w:hAnsi="宋体" w:eastAsia="宋体" w:cs="仿宋"/>
          <w:color w:val="auto"/>
          <w:kern w:val="0"/>
          <w:sz w:val="24"/>
          <w:szCs w:val="24"/>
          <w:highlight w:val="none"/>
        </w:rPr>
        <w:t>通过银行转账方式转入乙方提供的以下账户，甲方付款前乙方须及时提供有效等额、合法、有效发票给甲方报账，甲方向财政部门提出付款申请后，视为甲方已完成本合同约定的付款义务，财政部门正常审批时间不视为甲方逾期付款，甲方不承担违约责任。</w:t>
      </w:r>
    </w:p>
    <w:bookmarkEnd w:id="47"/>
    <w:p>
      <w:pPr>
        <w:widowControl w:val="0"/>
        <w:spacing w:afterLines="50"/>
        <w:ind w:firstLine="482"/>
        <w:rPr>
          <w:rFonts w:ascii="宋体" w:hAnsi="宋体" w:eastAsia="宋体" w:cs="仿宋_GB2312"/>
          <w:b/>
          <w:bCs/>
          <w:color w:val="auto"/>
          <w:kern w:val="0"/>
          <w:sz w:val="24"/>
          <w:szCs w:val="24"/>
          <w:highlight w:val="none"/>
        </w:rPr>
      </w:pPr>
      <w:r>
        <w:rPr>
          <w:rFonts w:hint="eastAsia" w:ascii="宋体" w:hAnsi="宋体" w:eastAsia="宋体" w:cs="仿宋"/>
          <w:b/>
          <w:bCs/>
          <w:color w:val="auto"/>
          <w:kern w:val="0"/>
          <w:sz w:val="24"/>
          <w:szCs w:val="24"/>
          <w:highlight w:val="none"/>
        </w:rPr>
        <w:t>乙</w:t>
      </w:r>
      <w:r>
        <w:rPr>
          <w:rFonts w:hint="eastAsia" w:ascii="宋体" w:hAnsi="宋体" w:eastAsia="宋体" w:cs="仿宋_GB2312"/>
          <w:b/>
          <w:bCs/>
          <w:color w:val="auto"/>
          <w:kern w:val="0"/>
          <w:sz w:val="24"/>
          <w:szCs w:val="24"/>
          <w:highlight w:val="none"/>
        </w:rPr>
        <w:t>方收款账户信息如下：</w:t>
      </w:r>
    </w:p>
    <w:p>
      <w:pPr>
        <w:widowControl w:val="0"/>
        <w:spacing w:afterLines="50"/>
        <w:ind w:firstLine="482"/>
        <w:rPr>
          <w:rFonts w:ascii="宋体" w:hAnsi="宋体" w:eastAsia="宋体" w:cs="仿宋_GB2312"/>
          <w:b/>
          <w:bCs/>
          <w:color w:val="auto"/>
          <w:kern w:val="0"/>
          <w:sz w:val="24"/>
          <w:szCs w:val="24"/>
          <w:highlight w:val="none"/>
        </w:rPr>
      </w:pPr>
      <w:r>
        <w:rPr>
          <w:rFonts w:hint="eastAsia" w:ascii="宋体" w:hAnsi="宋体" w:eastAsia="宋体" w:cs="仿宋_GB2312"/>
          <w:b/>
          <w:bCs/>
          <w:color w:val="auto"/>
          <w:kern w:val="0"/>
          <w:sz w:val="24"/>
          <w:szCs w:val="24"/>
          <w:highlight w:val="none"/>
        </w:rPr>
        <w:t>户  名：</w:t>
      </w:r>
    </w:p>
    <w:p>
      <w:pPr>
        <w:widowControl w:val="0"/>
        <w:spacing w:afterLines="50"/>
        <w:ind w:firstLine="482"/>
        <w:rPr>
          <w:rFonts w:ascii="宋体" w:hAnsi="宋体" w:eastAsia="宋体" w:cs="仿宋_GB2312"/>
          <w:b/>
          <w:bCs/>
          <w:color w:val="auto"/>
          <w:kern w:val="0"/>
          <w:sz w:val="24"/>
          <w:szCs w:val="24"/>
          <w:highlight w:val="none"/>
        </w:rPr>
      </w:pPr>
      <w:r>
        <w:rPr>
          <w:rFonts w:hint="eastAsia" w:ascii="宋体" w:hAnsi="宋体" w:eastAsia="宋体" w:cs="仿宋_GB2312"/>
          <w:b/>
          <w:bCs/>
          <w:color w:val="auto"/>
          <w:kern w:val="0"/>
          <w:sz w:val="24"/>
          <w:szCs w:val="24"/>
          <w:highlight w:val="none"/>
        </w:rPr>
        <w:t>开户行：</w:t>
      </w:r>
    </w:p>
    <w:p>
      <w:pPr>
        <w:widowControl w:val="0"/>
        <w:spacing w:afterLines="50"/>
        <w:ind w:firstLine="482"/>
        <w:rPr>
          <w:rFonts w:ascii="宋体" w:hAnsi="宋体" w:eastAsia="宋体" w:cs="仿宋_GB2312"/>
          <w:b/>
          <w:bCs/>
          <w:color w:val="auto"/>
          <w:kern w:val="0"/>
          <w:sz w:val="24"/>
          <w:szCs w:val="24"/>
          <w:highlight w:val="none"/>
        </w:rPr>
      </w:pPr>
      <w:r>
        <w:rPr>
          <w:rFonts w:hint="eastAsia" w:ascii="宋体" w:hAnsi="宋体" w:eastAsia="宋体" w:cs="仿宋_GB2312"/>
          <w:b/>
          <w:bCs/>
          <w:color w:val="auto"/>
          <w:kern w:val="0"/>
          <w:sz w:val="24"/>
          <w:szCs w:val="24"/>
          <w:highlight w:val="none"/>
        </w:rPr>
        <w:t>账  号：</w:t>
      </w:r>
    </w:p>
    <w:p>
      <w:pPr>
        <w:widowControl w:val="0"/>
        <w:numPr>
          <w:ilvl w:val="0"/>
          <w:numId w:val="4"/>
        </w:numPr>
        <w:spacing w:afterLines="50"/>
        <w:ind w:firstLine="482" w:firstLineChars="0"/>
        <w:rPr>
          <w:rFonts w:ascii="宋体" w:hAnsi="宋体" w:eastAsia="宋体" w:cs="仿宋"/>
          <w:b/>
          <w:bCs/>
          <w:color w:val="auto"/>
          <w:sz w:val="24"/>
          <w:szCs w:val="24"/>
          <w:highlight w:val="none"/>
        </w:rPr>
      </w:pPr>
      <w:r>
        <w:rPr>
          <w:rFonts w:hint="eastAsia" w:ascii="宋体" w:hAnsi="宋体" w:eastAsia="宋体" w:cs="仿宋"/>
          <w:b/>
          <w:bCs/>
          <w:color w:val="auto"/>
          <w:sz w:val="24"/>
          <w:szCs w:val="24"/>
          <w:highlight w:val="none"/>
        </w:rPr>
        <w:t>双方权利及义务</w:t>
      </w:r>
    </w:p>
    <w:p>
      <w:pPr>
        <w:widowControl w:val="0"/>
        <w:numPr>
          <w:ilvl w:val="0"/>
          <w:numId w:val="6"/>
        </w:numPr>
        <w:spacing w:afterLines="50"/>
        <w:ind w:left="561" w:firstLineChars="0"/>
        <w:rPr>
          <w:rFonts w:ascii="宋体" w:hAnsi="宋体" w:eastAsia="宋体" w:cs="仿宋"/>
          <w:b/>
          <w:bCs/>
          <w:color w:val="auto"/>
          <w:sz w:val="24"/>
          <w:szCs w:val="24"/>
          <w:highlight w:val="none"/>
        </w:rPr>
      </w:pPr>
      <w:r>
        <w:rPr>
          <w:rFonts w:hint="eastAsia" w:ascii="宋体" w:hAnsi="宋体" w:eastAsia="宋体" w:cs="仿宋"/>
          <w:b/>
          <w:bCs/>
          <w:color w:val="auto"/>
          <w:sz w:val="24"/>
          <w:szCs w:val="24"/>
          <w:highlight w:val="none"/>
        </w:rPr>
        <w:t>甲方权利及义务</w:t>
      </w:r>
    </w:p>
    <w:p>
      <w:pPr>
        <w:widowControl w:val="0"/>
        <w:numPr>
          <w:ilvl w:val="0"/>
          <w:numId w:val="7"/>
        </w:numPr>
        <w:spacing w:afterLines="50"/>
        <w:ind w:firstLine="480" w:firstLineChars="0"/>
        <w:rPr>
          <w:rFonts w:ascii="宋体" w:hAnsi="宋体" w:eastAsia="宋体" w:cs="仿宋"/>
          <w:color w:val="auto"/>
          <w:sz w:val="24"/>
          <w:szCs w:val="24"/>
          <w:highlight w:val="none"/>
        </w:rPr>
      </w:pPr>
      <w:r>
        <w:rPr>
          <w:rFonts w:ascii="宋体" w:hAnsi="宋体" w:eastAsia="宋体" w:cs="仿宋"/>
          <w:color w:val="auto"/>
          <w:sz w:val="24"/>
          <w:szCs w:val="24"/>
          <w:highlight w:val="none"/>
        </w:rPr>
        <w:t>甲方在合同签订后，积极配合、协助乙方的</w:t>
      </w:r>
      <w:r>
        <w:rPr>
          <w:rFonts w:hint="eastAsia" w:ascii="宋体" w:hAnsi="宋体" w:eastAsia="宋体" w:cs="仿宋"/>
          <w:color w:val="auto"/>
          <w:sz w:val="24"/>
          <w:szCs w:val="24"/>
          <w:highlight w:val="none"/>
        </w:rPr>
        <w:t>服务</w:t>
      </w:r>
      <w:r>
        <w:rPr>
          <w:rFonts w:ascii="宋体" w:hAnsi="宋体" w:eastAsia="宋体" w:cs="仿宋"/>
          <w:color w:val="auto"/>
          <w:sz w:val="24"/>
          <w:szCs w:val="24"/>
          <w:highlight w:val="none"/>
        </w:rPr>
        <w:t>工作，向乙方提供</w:t>
      </w:r>
      <w:r>
        <w:rPr>
          <w:rFonts w:hint="eastAsia" w:ascii="宋体" w:hAnsi="宋体" w:eastAsia="宋体" w:cs="仿宋"/>
          <w:color w:val="auto"/>
          <w:sz w:val="24"/>
          <w:szCs w:val="24"/>
          <w:highlight w:val="none"/>
          <w:lang w:eastAsia="zh-CN"/>
        </w:rPr>
        <w:t>成果</w:t>
      </w:r>
      <w:r>
        <w:rPr>
          <w:rFonts w:ascii="宋体" w:hAnsi="宋体" w:eastAsia="宋体" w:cs="仿宋"/>
          <w:color w:val="auto"/>
          <w:sz w:val="24"/>
          <w:szCs w:val="24"/>
          <w:highlight w:val="none"/>
        </w:rPr>
        <w:t>编制</w:t>
      </w:r>
      <w:r>
        <w:rPr>
          <w:rFonts w:hint="eastAsia" w:ascii="宋体" w:hAnsi="宋体" w:eastAsia="宋体" w:cs="仿宋"/>
          <w:color w:val="auto"/>
          <w:sz w:val="24"/>
          <w:szCs w:val="24"/>
          <w:highlight w:val="none"/>
        </w:rPr>
        <w:t>所需要的详细的</w:t>
      </w:r>
      <w:r>
        <w:rPr>
          <w:rFonts w:ascii="宋体" w:hAnsi="宋体" w:eastAsia="宋体" w:cs="仿宋"/>
          <w:color w:val="auto"/>
          <w:sz w:val="24"/>
          <w:szCs w:val="24"/>
          <w:highlight w:val="none"/>
        </w:rPr>
        <w:t>文件和资料，并对所提供资料的正确性</w:t>
      </w:r>
      <w:r>
        <w:rPr>
          <w:rFonts w:hint="eastAsia" w:ascii="宋体" w:hAnsi="宋体" w:eastAsia="宋体" w:cs="仿宋"/>
          <w:color w:val="auto"/>
          <w:sz w:val="24"/>
          <w:szCs w:val="24"/>
          <w:highlight w:val="none"/>
        </w:rPr>
        <w:t>、完整性及合法性</w:t>
      </w:r>
      <w:r>
        <w:rPr>
          <w:rFonts w:ascii="宋体" w:hAnsi="宋体" w:eastAsia="宋体" w:cs="仿宋"/>
          <w:color w:val="auto"/>
          <w:sz w:val="24"/>
          <w:szCs w:val="24"/>
          <w:highlight w:val="none"/>
        </w:rPr>
        <w:t>负责。</w:t>
      </w:r>
    </w:p>
    <w:p>
      <w:pPr>
        <w:widowControl w:val="0"/>
        <w:spacing w:afterLines="50"/>
        <w:ind w:firstLine="48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2.甲方应向乙方阐述对</w:t>
      </w:r>
      <w:r>
        <w:rPr>
          <w:rFonts w:hint="eastAsia" w:ascii="宋体" w:hAnsi="宋体" w:eastAsia="宋体" w:cs="仿宋"/>
          <w:color w:val="auto"/>
          <w:sz w:val="24"/>
          <w:szCs w:val="24"/>
          <w:highlight w:val="none"/>
          <w:lang w:eastAsia="zh-CN"/>
        </w:rPr>
        <w:t>成果</w:t>
      </w:r>
      <w:r>
        <w:rPr>
          <w:rFonts w:hint="eastAsia" w:ascii="宋体" w:hAnsi="宋体" w:eastAsia="宋体" w:cs="仿宋"/>
          <w:color w:val="auto"/>
          <w:sz w:val="24"/>
          <w:szCs w:val="24"/>
          <w:highlight w:val="none"/>
        </w:rPr>
        <w:t>编制及具体问题的意见，负责审定</w:t>
      </w:r>
      <w:r>
        <w:rPr>
          <w:rFonts w:hint="eastAsia" w:ascii="宋体" w:hAnsi="宋体" w:eastAsia="宋体" w:cs="仿宋"/>
          <w:color w:val="auto"/>
          <w:sz w:val="24"/>
          <w:szCs w:val="24"/>
          <w:highlight w:val="none"/>
          <w:lang w:eastAsia="zh-CN"/>
        </w:rPr>
        <w:t>成果</w:t>
      </w:r>
      <w:r>
        <w:rPr>
          <w:rFonts w:hint="eastAsia" w:ascii="宋体" w:hAnsi="宋体" w:eastAsia="宋体" w:cs="仿宋"/>
          <w:color w:val="auto"/>
          <w:sz w:val="24"/>
          <w:szCs w:val="24"/>
          <w:highlight w:val="none"/>
        </w:rPr>
        <w:t>编制的方向、内容等，审定乙方提出的</w:t>
      </w:r>
      <w:r>
        <w:rPr>
          <w:rFonts w:hint="eastAsia" w:ascii="宋体" w:hAnsi="宋体" w:eastAsia="宋体" w:cs="仿宋"/>
          <w:color w:val="auto"/>
          <w:sz w:val="24"/>
          <w:szCs w:val="24"/>
          <w:highlight w:val="none"/>
          <w:lang w:eastAsia="zh-CN"/>
        </w:rPr>
        <w:t>成果</w:t>
      </w:r>
      <w:r>
        <w:rPr>
          <w:rFonts w:hint="eastAsia" w:ascii="宋体" w:hAnsi="宋体" w:eastAsia="宋体" w:cs="仿宋"/>
          <w:color w:val="auto"/>
          <w:sz w:val="24"/>
          <w:szCs w:val="24"/>
          <w:highlight w:val="none"/>
        </w:rPr>
        <w:t>编制的时间、计划等,向乙方询问进展情况及相关内容，并进行过程控制。</w:t>
      </w:r>
    </w:p>
    <w:p>
      <w:pPr>
        <w:widowControl w:val="0"/>
        <w:spacing w:afterLines="50"/>
        <w:ind w:firstLine="48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3.甲方</w:t>
      </w:r>
      <w:r>
        <w:rPr>
          <w:rFonts w:ascii="宋体" w:hAnsi="宋体" w:eastAsia="宋体" w:cs="仿宋"/>
          <w:color w:val="auto"/>
          <w:sz w:val="24"/>
          <w:szCs w:val="24"/>
          <w:highlight w:val="none"/>
        </w:rPr>
        <w:t>协助乙方现场踏勘，并</w:t>
      </w:r>
      <w:r>
        <w:rPr>
          <w:rFonts w:hint="eastAsia" w:ascii="宋体" w:hAnsi="宋体" w:eastAsia="宋体" w:cs="仿宋"/>
          <w:color w:val="auto"/>
          <w:sz w:val="24"/>
          <w:szCs w:val="24"/>
          <w:highlight w:val="none"/>
        </w:rPr>
        <w:t>协调</w:t>
      </w:r>
      <w:r>
        <w:rPr>
          <w:rFonts w:ascii="宋体" w:hAnsi="宋体" w:eastAsia="宋体" w:cs="仿宋"/>
          <w:color w:val="auto"/>
          <w:sz w:val="24"/>
          <w:szCs w:val="24"/>
          <w:highlight w:val="none"/>
        </w:rPr>
        <w:t>乙方现场踏勘及各阶段汇报</w:t>
      </w:r>
      <w:r>
        <w:rPr>
          <w:rFonts w:hint="eastAsia" w:ascii="宋体" w:hAnsi="宋体" w:eastAsia="宋体" w:cs="仿宋"/>
          <w:color w:val="auto"/>
          <w:sz w:val="24"/>
          <w:szCs w:val="24"/>
          <w:highlight w:val="none"/>
        </w:rPr>
        <w:t>组织各政府部门相关人员参会</w:t>
      </w:r>
      <w:r>
        <w:rPr>
          <w:rFonts w:ascii="宋体" w:hAnsi="宋体" w:eastAsia="宋体" w:cs="仿宋"/>
          <w:color w:val="auto"/>
          <w:sz w:val="24"/>
          <w:szCs w:val="24"/>
          <w:highlight w:val="none"/>
        </w:rPr>
        <w:t>。</w:t>
      </w:r>
      <w:r>
        <w:rPr>
          <w:rFonts w:hint="eastAsia" w:ascii="宋体" w:hAnsi="宋体" w:eastAsia="宋体" w:cs="仿宋"/>
          <w:color w:val="auto"/>
          <w:sz w:val="24"/>
          <w:szCs w:val="24"/>
          <w:highlight w:val="none"/>
        </w:rPr>
        <w:t>甲方负责组织相关单位人员参与或协助项目调研。</w:t>
      </w:r>
    </w:p>
    <w:p>
      <w:pPr>
        <w:widowControl w:val="0"/>
        <w:spacing w:afterLines="50"/>
        <w:ind w:firstLine="48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4.</w:t>
      </w:r>
      <w:r>
        <w:rPr>
          <w:rFonts w:ascii="宋体" w:hAnsi="宋体" w:eastAsia="宋体" w:cs="仿宋"/>
          <w:color w:val="auto"/>
          <w:sz w:val="24"/>
          <w:szCs w:val="24"/>
          <w:highlight w:val="none"/>
        </w:rPr>
        <w:t>针对乙方所提交</w:t>
      </w:r>
      <w:r>
        <w:rPr>
          <w:rFonts w:hint="eastAsia" w:ascii="宋体" w:hAnsi="宋体" w:eastAsia="宋体" w:cs="仿宋"/>
          <w:color w:val="auto"/>
          <w:sz w:val="24"/>
          <w:szCs w:val="24"/>
          <w:highlight w:val="none"/>
        </w:rPr>
        <w:t>的</w:t>
      </w:r>
      <w:r>
        <w:rPr>
          <w:rFonts w:ascii="宋体" w:hAnsi="宋体" w:eastAsia="宋体" w:cs="仿宋"/>
          <w:color w:val="auto"/>
          <w:sz w:val="24"/>
          <w:szCs w:val="24"/>
          <w:highlight w:val="none"/>
        </w:rPr>
        <w:t>各阶段</w:t>
      </w:r>
      <w:r>
        <w:rPr>
          <w:rFonts w:hint="eastAsia" w:ascii="宋体" w:hAnsi="宋体" w:eastAsia="宋体" w:cs="仿宋"/>
          <w:color w:val="auto"/>
          <w:sz w:val="24"/>
          <w:szCs w:val="24"/>
          <w:highlight w:val="none"/>
        </w:rPr>
        <w:t>编制</w:t>
      </w:r>
      <w:r>
        <w:rPr>
          <w:rFonts w:ascii="宋体" w:hAnsi="宋体" w:eastAsia="宋体" w:cs="仿宋"/>
          <w:color w:val="auto"/>
          <w:sz w:val="24"/>
          <w:szCs w:val="24"/>
          <w:highlight w:val="none"/>
        </w:rPr>
        <w:t>成果，有权在合理范围内对</w:t>
      </w:r>
      <w:r>
        <w:rPr>
          <w:rFonts w:hint="eastAsia" w:ascii="宋体" w:hAnsi="宋体" w:eastAsia="宋体" w:cs="仿宋"/>
          <w:color w:val="auto"/>
          <w:sz w:val="24"/>
          <w:szCs w:val="24"/>
          <w:highlight w:val="none"/>
        </w:rPr>
        <w:t>编制</w:t>
      </w:r>
      <w:r>
        <w:rPr>
          <w:rFonts w:ascii="宋体" w:hAnsi="宋体" w:eastAsia="宋体" w:cs="仿宋"/>
          <w:color w:val="auto"/>
          <w:sz w:val="24"/>
          <w:szCs w:val="24"/>
          <w:highlight w:val="none"/>
        </w:rPr>
        <w:t>成果</w:t>
      </w:r>
      <w:r>
        <w:rPr>
          <w:rFonts w:hint="eastAsia" w:ascii="宋体" w:hAnsi="宋体" w:eastAsia="宋体" w:cs="仿宋"/>
          <w:color w:val="auto"/>
          <w:sz w:val="24"/>
          <w:szCs w:val="24"/>
          <w:highlight w:val="none"/>
        </w:rPr>
        <w:t>提出</w:t>
      </w:r>
      <w:r>
        <w:rPr>
          <w:rFonts w:ascii="宋体" w:hAnsi="宋体" w:eastAsia="宋体" w:cs="仿宋"/>
          <w:color w:val="auto"/>
          <w:sz w:val="24"/>
          <w:szCs w:val="24"/>
          <w:highlight w:val="none"/>
        </w:rPr>
        <w:t>修改完善</w:t>
      </w:r>
      <w:r>
        <w:rPr>
          <w:rFonts w:hint="eastAsia" w:ascii="宋体" w:hAnsi="宋体" w:eastAsia="宋体" w:cs="仿宋"/>
          <w:color w:val="auto"/>
          <w:sz w:val="24"/>
          <w:szCs w:val="24"/>
          <w:highlight w:val="none"/>
        </w:rPr>
        <w:t>的要求、建议及意见</w:t>
      </w:r>
      <w:r>
        <w:rPr>
          <w:rFonts w:ascii="宋体" w:hAnsi="宋体" w:eastAsia="宋体" w:cs="仿宋"/>
          <w:color w:val="auto"/>
          <w:sz w:val="24"/>
          <w:szCs w:val="24"/>
          <w:highlight w:val="none"/>
        </w:rPr>
        <w:t>。</w:t>
      </w:r>
    </w:p>
    <w:p>
      <w:pPr>
        <w:widowControl w:val="0"/>
        <w:spacing w:afterLines="50"/>
        <w:ind w:firstLine="480"/>
        <w:rPr>
          <w:rFonts w:ascii="宋体" w:hAnsi="宋体" w:eastAsia="宋体" w:cs="仿宋"/>
          <w:color w:val="auto"/>
          <w:sz w:val="24"/>
          <w:szCs w:val="24"/>
          <w:highlight w:val="none"/>
        </w:rPr>
      </w:pPr>
      <w:r>
        <w:rPr>
          <w:rFonts w:ascii="宋体" w:hAnsi="宋体" w:eastAsia="宋体" w:cs="仿宋"/>
          <w:color w:val="auto"/>
          <w:sz w:val="24"/>
          <w:szCs w:val="24"/>
          <w:highlight w:val="none"/>
        </w:rPr>
        <w:t>5</w:t>
      </w:r>
      <w:r>
        <w:rPr>
          <w:rFonts w:hint="eastAsia" w:ascii="宋体" w:hAnsi="宋体" w:eastAsia="宋体" w:cs="仿宋"/>
          <w:color w:val="auto"/>
          <w:sz w:val="24"/>
          <w:szCs w:val="24"/>
          <w:highlight w:val="none"/>
        </w:rPr>
        <w:t>.按本合同约定向乙方足额支付编制费用。</w:t>
      </w:r>
    </w:p>
    <w:p>
      <w:pPr>
        <w:widowControl w:val="0"/>
        <w:numPr>
          <w:ilvl w:val="0"/>
          <w:numId w:val="6"/>
        </w:numPr>
        <w:spacing w:afterLines="50"/>
        <w:ind w:left="561" w:firstLineChars="0"/>
        <w:rPr>
          <w:rFonts w:ascii="宋体" w:hAnsi="宋体" w:eastAsia="宋体" w:cs="仿宋"/>
          <w:b/>
          <w:bCs/>
          <w:color w:val="auto"/>
          <w:sz w:val="24"/>
          <w:szCs w:val="24"/>
          <w:highlight w:val="none"/>
        </w:rPr>
      </w:pPr>
      <w:r>
        <w:rPr>
          <w:rFonts w:hint="eastAsia" w:ascii="宋体" w:hAnsi="宋体" w:eastAsia="宋体" w:cs="仿宋"/>
          <w:b/>
          <w:bCs/>
          <w:color w:val="auto"/>
          <w:sz w:val="24"/>
          <w:szCs w:val="24"/>
          <w:highlight w:val="none"/>
        </w:rPr>
        <w:t>乙方权利及义务</w:t>
      </w:r>
    </w:p>
    <w:p>
      <w:pPr>
        <w:widowControl w:val="0"/>
        <w:spacing w:afterLines="50"/>
        <w:ind w:firstLine="48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1.</w:t>
      </w:r>
      <w:r>
        <w:rPr>
          <w:rFonts w:ascii="宋体" w:hAnsi="宋体" w:eastAsia="宋体" w:cs="仿宋"/>
          <w:color w:val="auto"/>
          <w:sz w:val="24"/>
          <w:szCs w:val="24"/>
          <w:highlight w:val="none"/>
        </w:rPr>
        <w:t>负责按相关规范标准，</w:t>
      </w:r>
      <w:r>
        <w:rPr>
          <w:rFonts w:hint="eastAsia" w:ascii="宋体" w:hAnsi="宋体" w:eastAsia="宋体" w:cs="仿宋"/>
          <w:color w:val="auto"/>
          <w:sz w:val="24"/>
          <w:szCs w:val="24"/>
          <w:highlight w:val="none"/>
        </w:rPr>
        <w:t>按照本合同要求针对服务</w:t>
      </w:r>
      <w:r>
        <w:rPr>
          <w:rFonts w:ascii="宋体" w:hAnsi="宋体" w:eastAsia="宋体" w:cs="仿宋"/>
          <w:color w:val="auto"/>
          <w:sz w:val="24"/>
          <w:szCs w:val="24"/>
          <w:highlight w:val="none"/>
        </w:rPr>
        <w:t>范围和内容编制方案</w:t>
      </w:r>
      <w:r>
        <w:rPr>
          <w:rFonts w:hint="eastAsia" w:ascii="宋体" w:hAnsi="宋体" w:eastAsia="宋体" w:cs="仿宋"/>
          <w:color w:val="auto"/>
          <w:sz w:val="24"/>
          <w:szCs w:val="24"/>
          <w:highlight w:val="none"/>
        </w:rPr>
        <w:t>。</w:t>
      </w:r>
    </w:p>
    <w:p>
      <w:pPr>
        <w:widowControl w:val="0"/>
        <w:spacing w:afterLines="50"/>
        <w:ind w:firstLine="48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2.</w:t>
      </w:r>
      <w:r>
        <w:rPr>
          <w:rFonts w:ascii="宋体" w:hAnsi="宋体" w:eastAsia="宋体" w:cs="仿宋"/>
          <w:color w:val="auto"/>
          <w:sz w:val="24"/>
          <w:szCs w:val="24"/>
          <w:highlight w:val="none"/>
        </w:rPr>
        <w:t>全面负责</w:t>
      </w:r>
      <w:r>
        <w:rPr>
          <w:rFonts w:hint="eastAsia" w:ascii="宋体" w:hAnsi="宋体" w:eastAsia="宋体" w:cs="仿宋"/>
          <w:color w:val="auto"/>
          <w:sz w:val="24"/>
          <w:szCs w:val="24"/>
          <w:highlight w:val="none"/>
          <w:lang w:eastAsia="zh-CN"/>
        </w:rPr>
        <w:t>方案</w:t>
      </w:r>
      <w:r>
        <w:rPr>
          <w:rFonts w:ascii="宋体" w:hAnsi="宋体" w:eastAsia="宋体" w:cs="仿宋"/>
          <w:color w:val="auto"/>
          <w:sz w:val="24"/>
          <w:szCs w:val="24"/>
          <w:highlight w:val="none"/>
        </w:rPr>
        <w:t>的编制工作，在约定的时间内进场调查、踏勘，负责进行各种调研，收集各种文件和资料，未经甲方同意不得变更工作内容；按合同约定时间提交各阶段成果，并对</w:t>
      </w:r>
      <w:r>
        <w:rPr>
          <w:rFonts w:hint="eastAsia" w:ascii="宋体" w:hAnsi="宋体" w:eastAsia="宋体" w:cs="仿宋"/>
          <w:color w:val="auto"/>
          <w:sz w:val="24"/>
          <w:szCs w:val="24"/>
          <w:highlight w:val="none"/>
        </w:rPr>
        <w:t>成果文件的</w:t>
      </w:r>
      <w:r>
        <w:rPr>
          <w:rFonts w:ascii="宋体" w:hAnsi="宋体" w:eastAsia="宋体" w:cs="仿宋"/>
          <w:color w:val="auto"/>
          <w:sz w:val="24"/>
          <w:szCs w:val="24"/>
          <w:highlight w:val="none"/>
        </w:rPr>
        <w:t>独创性、</w:t>
      </w:r>
      <w:r>
        <w:rPr>
          <w:rFonts w:hint="eastAsia" w:ascii="宋体" w:hAnsi="宋体" w:eastAsia="宋体" w:cs="仿宋"/>
          <w:color w:val="auto"/>
          <w:sz w:val="24"/>
          <w:szCs w:val="24"/>
          <w:highlight w:val="none"/>
        </w:rPr>
        <w:t>真实性、合法性、完整性及适用性负责。</w:t>
      </w:r>
    </w:p>
    <w:p>
      <w:pPr>
        <w:widowControl w:val="0"/>
        <w:spacing w:afterLines="50"/>
        <w:ind w:firstLine="48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3.</w:t>
      </w:r>
      <w:r>
        <w:rPr>
          <w:rFonts w:ascii="宋体" w:hAnsi="宋体" w:eastAsia="宋体" w:cs="仿宋"/>
          <w:color w:val="auto"/>
          <w:sz w:val="24"/>
          <w:szCs w:val="24"/>
          <w:highlight w:val="none"/>
        </w:rPr>
        <w:t>乙方应赴甲方所在地或</w:t>
      </w:r>
      <w:r>
        <w:rPr>
          <w:rFonts w:hint="eastAsia" w:ascii="宋体" w:hAnsi="宋体" w:eastAsia="宋体" w:cs="仿宋"/>
          <w:color w:val="auto"/>
          <w:sz w:val="24"/>
          <w:szCs w:val="24"/>
          <w:highlight w:val="none"/>
        </w:rPr>
        <w:t>甲方项目负责部门</w:t>
      </w:r>
      <w:r>
        <w:rPr>
          <w:rFonts w:ascii="宋体" w:hAnsi="宋体" w:eastAsia="宋体" w:cs="仿宋"/>
          <w:color w:val="auto"/>
          <w:sz w:val="24"/>
          <w:szCs w:val="24"/>
          <w:highlight w:val="none"/>
        </w:rPr>
        <w:t>所在地现场汇报，参加甲方局内有关会议及政府会议</w:t>
      </w:r>
      <w:r>
        <w:rPr>
          <w:rFonts w:hint="eastAsia" w:ascii="宋体" w:hAnsi="宋体" w:eastAsia="宋体" w:cs="仿宋"/>
          <w:color w:val="auto"/>
          <w:sz w:val="24"/>
          <w:szCs w:val="24"/>
          <w:highlight w:val="none"/>
        </w:rPr>
        <w:t>。</w:t>
      </w:r>
      <w:r>
        <w:rPr>
          <w:rFonts w:ascii="宋体" w:hAnsi="宋体" w:eastAsia="宋体" w:cs="仿宋"/>
          <w:color w:val="auto"/>
          <w:sz w:val="24"/>
          <w:szCs w:val="24"/>
          <w:highlight w:val="none"/>
        </w:rPr>
        <w:t>按时参加有关的评审或审查，并根据评审结论负责对</w:t>
      </w:r>
      <w:r>
        <w:rPr>
          <w:rFonts w:hint="eastAsia" w:ascii="宋体" w:hAnsi="宋体" w:eastAsia="宋体" w:cs="仿宋"/>
          <w:color w:val="auto"/>
          <w:sz w:val="24"/>
          <w:szCs w:val="24"/>
          <w:highlight w:val="none"/>
          <w:lang w:eastAsia="zh-CN"/>
        </w:rPr>
        <w:t>成果</w:t>
      </w:r>
      <w:r>
        <w:rPr>
          <w:rFonts w:ascii="宋体" w:hAnsi="宋体" w:eastAsia="宋体" w:cs="仿宋"/>
          <w:color w:val="auto"/>
          <w:sz w:val="24"/>
          <w:szCs w:val="24"/>
          <w:highlight w:val="none"/>
        </w:rPr>
        <w:t>内容做调整、修改和补充。</w:t>
      </w:r>
    </w:p>
    <w:p>
      <w:pPr>
        <w:widowControl w:val="0"/>
        <w:spacing w:afterLines="50"/>
        <w:ind w:firstLine="48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4.在充分调研的基础上，按照本合同约定为甲方提供与</w:t>
      </w:r>
      <w:r>
        <w:rPr>
          <w:rFonts w:hint="eastAsia" w:ascii="宋体" w:hAnsi="宋体" w:eastAsia="宋体" w:cs="仿宋"/>
          <w:color w:val="auto"/>
          <w:sz w:val="24"/>
          <w:szCs w:val="24"/>
          <w:highlight w:val="none"/>
          <w:lang w:eastAsia="zh-CN"/>
        </w:rPr>
        <w:t>成果</w:t>
      </w:r>
      <w:r>
        <w:rPr>
          <w:rFonts w:hint="eastAsia" w:ascii="宋体" w:hAnsi="宋体" w:eastAsia="宋体" w:cs="仿宋"/>
          <w:color w:val="auto"/>
          <w:sz w:val="24"/>
          <w:szCs w:val="24"/>
          <w:highlight w:val="none"/>
        </w:rPr>
        <w:t>编制有关的纸质文案和电子文档。</w:t>
      </w:r>
    </w:p>
    <w:p>
      <w:pPr>
        <w:widowControl w:val="0"/>
        <w:spacing w:afterLines="50"/>
        <w:ind w:firstLine="48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5.在方案最终成果未正式公开之前，乙方对成果内容负有保密责任。乙方对甲方及市政府部门就本项目的秘密信息承担保密义务</w:t>
      </w:r>
      <w:r>
        <w:rPr>
          <w:rFonts w:ascii="宋体" w:hAnsi="宋体" w:eastAsia="宋体" w:cs="仿宋"/>
          <w:color w:val="auto"/>
          <w:sz w:val="24"/>
          <w:szCs w:val="24"/>
          <w:highlight w:val="none"/>
        </w:rPr>
        <w:t>。</w:t>
      </w:r>
    </w:p>
    <w:p>
      <w:pPr>
        <w:widowControl w:val="0"/>
        <w:spacing w:afterLines="50"/>
        <w:ind w:firstLine="480"/>
        <w:rPr>
          <w:rFonts w:ascii="Times New Roman" w:hAnsi="Times New Roman" w:eastAsia="宋体" w:cs="Times New Roman"/>
          <w:color w:val="auto"/>
          <w:sz w:val="21"/>
          <w:szCs w:val="24"/>
          <w:highlight w:val="none"/>
        </w:rPr>
      </w:pPr>
      <w:r>
        <w:rPr>
          <w:rFonts w:ascii="宋体" w:hAnsi="宋体" w:eastAsia="宋体" w:cs="仿宋"/>
          <w:color w:val="auto"/>
          <w:sz w:val="24"/>
          <w:szCs w:val="24"/>
          <w:highlight w:val="none"/>
        </w:rPr>
        <w:t>6.乙方不得委托他方代为履行合同。</w:t>
      </w:r>
    </w:p>
    <w:p>
      <w:pPr>
        <w:widowControl w:val="0"/>
        <w:numPr>
          <w:ilvl w:val="0"/>
          <w:numId w:val="4"/>
        </w:numPr>
        <w:spacing w:afterLines="50"/>
        <w:ind w:firstLine="482" w:firstLineChars="0"/>
        <w:rPr>
          <w:rFonts w:ascii="宋体" w:hAnsi="宋体" w:eastAsia="宋体" w:cs="仿宋"/>
          <w:b/>
          <w:bCs/>
          <w:color w:val="auto"/>
          <w:sz w:val="24"/>
          <w:szCs w:val="24"/>
          <w:highlight w:val="none"/>
        </w:rPr>
      </w:pPr>
      <w:r>
        <w:rPr>
          <w:rFonts w:hint="eastAsia" w:ascii="宋体" w:hAnsi="宋体" w:eastAsia="宋体" w:cs="仿宋"/>
          <w:b/>
          <w:bCs/>
          <w:color w:val="auto"/>
          <w:sz w:val="24"/>
          <w:szCs w:val="24"/>
          <w:highlight w:val="none"/>
        </w:rPr>
        <w:t>成果的验收和标准</w:t>
      </w:r>
    </w:p>
    <w:p>
      <w:pPr>
        <w:widowControl w:val="0"/>
        <w:spacing w:afterLines="50"/>
        <w:ind w:firstLine="48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双方就提供的阶段成果文件逐步进行严格细致的讨论，</w:t>
      </w:r>
      <w:r>
        <w:rPr>
          <w:rFonts w:ascii="宋体" w:hAnsi="宋体" w:eastAsia="宋体" w:cs="仿宋"/>
          <w:color w:val="auto"/>
          <w:sz w:val="24"/>
          <w:szCs w:val="24"/>
          <w:highlight w:val="none"/>
        </w:rPr>
        <w:t>在</w:t>
      </w:r>
      <w:r>
        <w:rPr>
          <w:rFonts w:hint="eastAsia" w:ascii="宋体" w:hAnsi="宋体" w:eastAsia="宋体" w:cs="仿宋"/>
          <w:color w:val="auto"/>
          <w:sz w:val="24"/>
          <w:szCs w:val="24"/>
          <w:highlight w:val="none"/>
        </w:rPr>
        <w:t>双方</w:t>
      </w:r>
      <w:r>
        <w:rPr>
          <w:rFonts w:ascii="宋体" w:hAnsi="宋体" w:eastAsia="宋体" w:cs="仿宋"/>
          <w:color w:val="auto"/>
          <w:sz w:val="24"/>
          <w:szCs w:val="24"/>
          <w:highlight w:val="none"/>
        </w:rPr>
        <w:t>达成</w:t>
      </w:r>
      <w:r>
        <w:rPr>
          <w:rFonts w:hint="eastAsia" w:ascii="宋体" w:hAnsi="宋体" w:eastAsia="宋体" w:cs="仿宋"/>
          <w:color w:val="auto"/>
          <w:sz w:val="24"/>
          <w:szCs w:val="24"/>
          <w:highlight w:val="none"/>
        </w:rPr>
        <w:t>共识</w:t>
      </w:r>
      <w:r>
        <w:rPr>
          <w:rFonts w:ascii="宋体" w:hAnsi="宋体" w:eastAsia="宋体" w:cs="仿宋"/>
          <w:color w:val="auto"/>
          <w:sz w:val="24"/>
          <w:szCs w:val="24"/>
          <w:highlight w:val="none"/>
        </w:rPr>
        <w:t>的基础上取得甲方书面认可</w:t>
      </w:r>
      <w:r>
        <w:rPr>
          <w:rFonts w:hint="eastAsia" w:ascii="宋体" w:hAnsi="宋体" w:eastAsia="宋体" w:cs="仿宋"/>
          <w:color w:val="auto"/>
          <w:sz w:val="24"/>
          <w:szCs w:val="24"/>
          <w:highlight w:val="none"/>
        </w:rPr>
        <w:t>作为验收标准。</w:t>
      </w:r>
    </w:p>
    <w:p>
      <w:pPr>
        <w:widowControl w:val="0"/>
        <w:spacing w:afterLines="50"/>
        <w:ind w:firstLine="48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甲方应该在收到乙方提供的成果文件后</w:t>
      </w:r>
      <w:r>
        <w:rPr>
          <w:rFonts w:ascii="宋体" w:hAnsi="宋体" w:eastAsia="宋体" w:cs="仿宋"/>
          <w:color w:val="auto"/>
          <w:sz w:val="24"/>
          <w:szCs w:val="24"/>
          <w:highlight w:val="none"/>
        </w:rPr>
        <w:t>及时</w:t>
      </w:r>
      <w:r>
        <w:rPr>
          <w:rFonts w:hint="eastAsia" w:ascii="宋体" w:hAnsi="宋体" w:eastAsia="宋体" w:cs="仿宋"/>
          <w:color w:val="auto"/>
          <w:sz w:val="24"/>
          <w:szCs w:val="24"/>
          <w:highlight w:val="none"/>
        </w:rPr>
        <w:t>进行验收；甲方如有合理建议或要求，乙方</w:t>
      </w:r>
      <w:r>
        <w:rPr>
          <w:rFonts w:ascii="宋体" w:hAnsi="宋体" w:eastAsia="宋体" w:cs="仿宋"/>
          <w:color w:val="auto"/>
          <w:sz w:val="24"/>
          <w:szCs w:val="24"/>
          <w:highlight w:val="none"/>
        </w:rPr>
        <w:t>应当根据甲方的建议和要求</w:t>
      </w:r>
      <w:r>
        <w:rPr>
          <w:rFonts w:hint="eastAsia" w:ascii="宋体" w:hAnsi="宋体" w:eastAsia="宋体" w:cs="仿宋"/>
          <w:color w:val="auto"/>
          <w:sz w:val="24"/>
          <w:szCs w:val="24"/>
          <w:highlight w:val="none"/>
        </w:rPr>
        <w:t>对报告进行修改。</w:t>
      </w:r>
      <w:r>
        <w:rPr>
          <w:rFonts w:ascii="宋体" w:hAnsi="宋体" w:eastAsia="宋体" w:cs="仿宋"/>
          <w:color w:val="auto"/>
          <w:sz w:val="24"/>
          <w:szCs w:val="24"/>
          <w:highlight w:val="none"/>
        </w:rPr>
        <w:t>乙方</w:t>
      </w:r>
      <w:r>
        <w:rPr>
          <w:rFonts w:hint="eastAsia" w:ascii="宋体" w:hAnsi="宋体" w:eastAsia="宋体" w:cs="仿宋"/>
          <w:color w:val="auto"/>
          <w:sz w:val="24"/>
          <w:szCs w:val="24"/>
          <w:highlight w:val="none"/>
        </w:rPr>
        <w:t>提供的成果</w:t>
      </w:r>
      <w:r>
        <w:rPr>
          <w:rFonts w:ascii="宋体" w:hAnsi="宋体" w:eastAsia="宋体" w:cs="仿宋"/>
          <w:color w:val="auto"/>
          <w:sz w:val="24"/>
          <w:szCs w:val="24"/>
          <w:highlight w:val="none"/>
        </w:rPr>
        <w:t>文件未能通过甲方验收</w:t>
      </w:r>
      <w:r>
        <w:rPr>
          <w:rFonts w:hint="eastAsia" w:ascii="宋体" w:hAnsi="宋体" w:eastAsia="宋体" w:cs="仿宋"/>
          <w:color w:val="auto"/>
          <w:sz w:val="24"/>
          <w:szCs w:val="24"/>
          <w:highlight w:val="none"/>
        </w:rPr>
        <w:t>的，</w:t>
      </w:r>
      <w:r>
        <w:rPr>
          <w:rFonts w:ascii="宋体" w:hAnsi="宋体" w:eastAsia="宋体" w:cs="仿宋"/>
          <w:color w:val="auto"/>
          <w:sz w:val="24"/>
          <w:szCs w:val="24"/>
          <w:highlight w:val="none"/>
        </w:rPr>
        <w:t>乙方</w:t>
      </w:r>
      <w:r>
        <w:rPr>
          <w:rFonts w:hint="eastAsia" w:ascii="宋体" w:hAnsi="宋体" w:eastAsia="宋体" w:cs="仿宋"/>
          <w:color w:val="auto"/>
          <w:sz w:val="24"/>
          <w:szCs w:val="24"/>
          <w:highlight w:val="none"/>
        </w:rPr>
        <w:t>应无条件</w:t>
      </w:r>
      <w:r>
        <w:rPr>
          <w:rFonts w:ascii="宋体" w:hAnsi="宋体" w:eastAsia="宋体" w:cs="仿宋"/>
          <w:color w:val="auto"/>
          <w:sz w:val="24"/>
          <w:szCs w:val="24"/>
          <w:highlight w:val="none"/>
        </w:rPr>
        <w:t>进行</w:t>
      </w:r>
      <w:r>
        <w:rPr>
          <w:rFonts w:hint="eastAsia" w:ascii="宋体" w:hAnsi="宋体" w:eastAsia="宋体" w:cs="仿宋"/>
          <w:color w:val="auto"/>
          <w:sz w:val="24"/>
          <w:szCs w:val="24"/>
          <w:highlight w:val="none"/>
        </w:rPr>
        <w:t>完善、修改</w:t>
      </w:r>
      <w:r>
        <w:rPr>
          <w:rFonts w:ascii="宋体" w:hAnsi="宋体" w:eastAsia="宋体" w:cs="仿宋"/>
          <w:color w:val="auto"/>
          <w:sz w:val="24"/>
          <w:szCs w:val="24"/>
          <w:highlight w:val="none"/>
        </w:rPr>
        <w:t>，由此产生的费用由乙方承担。</w:t>
      </w:r>
    </w:p>
    <w:p>
      <w:pPr>
        <w:widowControl w:val="0"/>
        <w:numPr>
          <w:ilvl w:val="0"/>
          <w:numId w:val="4"/>
        </w:numPr>
        <w:spacing w:afterLines="50"/>
        <w:ind w:firstLine="482" w:firstLineChars="0"/>
        <w:rPr>
          <w:rFonts w:ascii="宋体" w:hAnsi="宋体" w:eastAsia="宋体" w:cs="仿宋"/>
          <w:b/>
          <w:bCs/>
          <w:color w:val="auto"/>
          <w:sz w:val="24"/>
          <w:szCs w:val="24"/>
          <w:highlight w:val="none"/>
        </w:rPr>
      </w:pPr>
      <w:r>
        <w:rPr>
          <w:rFonts w:hint="eastAsia" w:ascii="宋体" w:hAnsi="宋体" w:eastAsia="宋体" w:cs="仿宋"/>
          <w:b/>
          <w:bCs/>
          <w:color w:val="auto"/>
          <w:sz w:val="24"/>
          <w:szCs w:val="24"/>
          <w:highlight w:val="none"/>
        </w:rPr>
        <w:t>特别约定</w:t>
      </w:r>
    </w:p>
    <w:p>
      <w:pPr>
        <w:widowControl w:val="0"/>
        <w:numPr>
          <w:ilvl w:val="0"/>
          <w:numId w:val="8"/>
        </w:numPr>
        <w:spacing w:afterLines="50"/>
        <w:ind w:firstLine="480" w:firstLineChars="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未经甲方同意，乙方不得向任何第三方泄露、转让甲方提交的信息、资料、文件等各种技术情报和技术经济资料。未经甲方事先书面许可，乙方（包括其员工、其聘请的其他工作人员）不得以任何方式，无论口头、书面，还是磁盘、通信网络等介质向任何第三方，包括个人、其他政府部门、其他经济组织等披露或透露保密信息。本合同另有约定除外。如因乙方违反此承诺而致甲方经济损失，甲方有权向乙方索赔。本合同变更、解除和终止均不影响本条款效力。甲方同意在适用的法律允许的范围内，乙方仅在为提供本合同服务之目的，包括独立性、质量及风险管理复核、内部财务报告、信息技术支持以及遵守监管规定，与其他乙方机构共同使用和向其披露甲方的信息（可能包括必要的保密信息）和个人数据，但其他乙方机构也将履行与乙方同等的保密义务。乙方将就其他乙方机构违反本合同保密义务的行为向甲方承担责任。</w:t>
      </w:r>
    </w:p>
    <w:p>
      <w:pPr>
        <w:widowControl w:val="0"/>
        <w:numPr>
          <w:ilvl w:val="0"/>
          <w:numId w:val="8"/>
        </w:numPr>
        <w:spacing w:afterLines="50"/>
        <w:ind w:firstLine="480" w:firstLineChars="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本合同约定的保密信息指由甲方向乙方透露的，与双方合作有关或在合作过程中乙方所获悉的任何口头或书面形式或其他形式记载的不公开信息，包括但不限于政府保密信息、规划信息、商业计划、客户名单、技术数据开发计划、会议记录、采购资料、价格方案、管理制度及方法、企业发展规划、协议、意向书及可行性分析及报告、初步设计及概算等及其他递交时约定为保密信息的资料（以下通称“保密信息”）。</w:t>
      </w:r>
    </w:p>
    <w:p>
      <w:pPr>
        <w:widowControl w:val="0"/>
        <w:numPr>
          <w:ilvl w:val="0"/>
          <w:numId w:val="8"/>
        </w:numPr>
        <w:spacing w:afterLines="50"/>
        <w:ind w:firstLine="480" w:firstLineChars="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双方合作终止或解除后，乙方须将一切保密信息及保密信息的载体、复制品，包括但不限于文件、资料、图表、笔记、报告、信件、传真、磁带、磁盘、优盘、仪器等在甲方要求的时间内交还给甲方或删除，如甲方要求，将向其书面保证已将上述记录或资料全部归还或删除。但甲方理解：乙方作为专业服务机构，需要保留与本项目有关的工作档案。</w:t>
      </w:r>
    </w:p>
    <w:p>
      <w:pPr>
        <w:widowControl w:val="0"/>
        <w:numPr>
          <w:ilvl w:val="0"/>
          <w:numId w:val="8"/>
        </w:numPr>
        <w:spacing w:afterLines="50"/>
        <w:ind w:firstLine="480" w:firstLineChars="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甲方按照本合同约定支付费用的前提下，乙方为完成项目而交付的成果</w:t>
      </w:r>
      <w:r>
        <w:rPr>
          <w:rFonts w:hint="eastAsia" w:ascii="宋体" w:hAnsi="宋体" w:eastAsia="宋体" w:cs="仿宋"/>
          <w:color w:val="auto"/>
          <w:sz w:val="24"/>
          <w:szCs w:val="24"/>
          <w:highlight w:val="none"/>
          <w:lang w:eastAsia="zh-CN"/>
        </w:rPr>
        <w:t>（</w:t>
      </w:r>
      <w:r>
        <w:rPr>
          <w:rFonts w:hint="eastAsia" w:ascii="宋体" w:hAnsi="宋体" w:eastAsia="宋体" w:cs="仿宋"/>
          <w:color w:val="auto"/>
          <w:sz w:val="24"/>
          <w:szCs w:val="24"/>
          <w:highlight w:val="none"/>
        </w:rPr>
        <w:t>即第三条约定</w:t>
      </w:r>
      <w:r>
        <w:rPr>
          <w:rFonts w:hint="eastAsia" w:ascii="宋体" w:hAnsi="宋体" w:eastAsia="宋体" w:cs="Times New Roman"/>
          <w:bCs/>
          <w:color w:val="auto"/>
          <w:sz w:val="24"/>
          <w:szCs w:val="24"/>
          <w:highlight w:val="none"/>
        </w:rPr>
        <w:t>《海口</w:t>
      </w:r>
      <w:r>
        <w:rPr>
          <w:rFonts w:hint="eastAsia" w:ascii="宋体" w:hAnsi="宋体" w:eastAsia="宋体" w:cs="Times New Roman"/>
          <w:bCs/>
          <w:color w:val="auto"/>
          <w:sz w:val="24"/>
          <w:szCs w:val="24"/>
          <w:highlight w:val="none"/>
          <w:lang w:val="en-US" w:eastAsia="zh-CN"/>
        </w:rPr>
        <w:t>江东新区CBD起步区南片区概念设计方案</w:t>
      </w:r>
      <w:r>
        <w:rPr>
          <w:rFonts w:hint="eastAsia" w:ascii="宋体" w:hAnsi="宋体" w:eastAsia="宋体" w:cs="Times New Roman"/>
          <w:bCs/>
          <w:color w:val="auto"/>
          <w:sz w:val="24"/>
          <w:szCs w:val="24"/>
          <w:highlight w:val="none"/>
        </w:rPr>
        <w:t>》、文本word及汇报ppt</w:t>
      </w:r>
      <w:r>
        <w:rPr>
          <w:rFonts w:hint="eastAsia" w:ascii="宋体" w:hAnsi="宋体" w:eastAsia="宋体" w:cs="仿宋"/>
          <w:color w:val="auto"/>
          <w:sz w:val="24"/>
          <w:szCs w:val="24"/>
          <w:highlight w:val="none"/>
        </w:rPr>
        <w:t>的相关知识产权（包括著作权、专利、专有技术、专利申请权），归甲方所有，乙方负有保密的义务。</w:t>
      </w:r>
    </w:p>
    <w:p>
      <w:pPr>
        <w:widowControl w:val="0"/>
        <w:numPr>
          <w:ilvl w:val="0"/>
          <w:numId w:val="8"/>
        </w:numPr>
        <w:spacing w:afterLines="50"/>
        <w:ind w:firstLine="480" w:firstLineChars="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乙方履行本合同服务时，可使用乙方拥有的资料、软件、设计、实用程序、工具、模型、系统及其它方法与专有技术（“材料”）。纵使乙方交付了任何成果</w:t>
      </w:r>
      <w:r>
        <w:rPr>
          <w:rFonts w:hint="eastAsia" w:ascii="宋体" w:hAnsi="宋体" w:eastAsia="宋体" w:cs="仿宋"/>
          <w:color w:val="auto"/>
          <w:sz w:val="24"/>
          <w:szCs w:val="24"/>
          <w:highlight w:val="none"/>
          <w:lang w:eastAsia="zh-CN"/>
        </w:rPr>
        <w:t>文件</w:t>
      </w:r>
      <w:r>
        <w:rPr>
          <w:rFonts w:hint="eastAsia" w:ascii="宋体" w:hAnsi="宋体" w:eastAsia="宋体" w:cs="仿宋"/>
          <w:color w:val="auto"/>
          <w:sz w:val="24"/>
          <w:szCs w:val="24"/>
          <w:highlight w:val="none"/>
        </w:rPr>
        <w:t>，该等材料及为本合同服务而编汇的任何内部工作底稿（但不包括其中反映的客户信息）的一切知识产权，仍属乙方所有。</w:t>
      </w:r>
    </w:p>
    <w:p>
      <w:pPr>
        <w:widowControl w:val="0"/>
        <w:numPr>
          <w:ilvl w:val="0"/>
          <w:numId w:val="8"/>
        </w:numPr>
        <w:spacing w:afterLines="50"/>
        <w:ind w:firstLine="480" w:firstLineChars="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乙方在公开刊物（包括学术期刊、传统媒体、自媒体）上发表与本研究相关的技术成果，应当事先经甲方书面同意。</w:t>
      </w:r>
    </w:p>
    <w:p>
      <w:pPr>
        <w:widowControl w:val="0"/>
        <w:numPr>
          <w:ilvl w:val="0"/>
          <w:numId w:val="8"/>
        </w:numPr>
        <w:spacing w:afterLines="50"/>
        <w:ind w:firstLine="480" w:firstLineChars="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乙方提出需要甲方提供相关材料的要求或确认各阶段工作成果的，甲方需于收到乙方通知后及时进行研究并给予提供或确认；如确有正当理由影响甲方对乙方阶段工作成果的认可和确认，甲方需及时通知乙方，双方另行协商甲方提供反馈意见的时间。</w:t>
      </w:r>
    </w:p>
    <w:p>
      <w:pPr>
        <w:widowControl w:val="0"/>
        <w:numPr>
          <w:ilvl w:val="0"/>
          <w:numId w:val="8"/>
        </w:numPr>
        <w:spacing w:afterLines="50"/>
        <w:ind w:firstLine="480" w:firstLineChars="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乙方不承担任何与本服务相关的甲方的管理层责任。乙方所提供的服务是咨询性质的，甲方自行决定是否采纳、使用或实施以及如何使用、实施乙方提供的服务成果，并自行承担承担使用、实施本合同服务或服务成果所达成的结果或后果。</w:t>
      </w:r>
    </w:p>
    <w:p>
      <w:pPr>
        <w:widowControl w:val="0"/>
        <w:numPr>
          <w:ilvl w:val="0"/>
          <w:numId w:val="8"/>
        </w:numPr>
        <w:spacing w:afterLines="50"/>
        <w:ind w:firstLine="480" w:firstLineChars="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在适用的法律或法规准许的最大范围内，乙方对甲方的责任只限于依据过错程度按责任总额的比例而承担的责任份额，并且乙方对甲方应承担的因本合同所产生的或与履行本合同相关的责任总额，累计只限于甲方就该服务而实际支付给乙方的服务费用，不论责任是违约、侵权、严格法律责任、违反保证、未能实现主要目的或其它理由而产生的。该责任限额涵盖本合同中其他条款中所规定的乙方应承担的违约金、损失额、赔偿额、费用等。</w:t>
      </w:r>
    </w:p>
    <w:p>
      <w:pPr>
        <w:widowControl w:val="0"/>
        <w:numPr>
          <w:ilvl w:val="0"/>
          <w:numId w:val="4"/>
        </w:numPr>
        <w:spacing w:afterLines="50"/>
        <w:ind w:firstLine="480" w:firstLineChars="0"/>
        <w:rPr>
          <w:rFonts w:ascii="宋体" w:hAnsi="宋体" w:eastAsia="宋体" w:cs="仿宋"/>
          <w:color w:val="auto"/>
          <w:sz w:val="24"/>
          <w:szCs w:val="24"/>
          <w:highlight w:val="none"/>
        </w:rPr>
      </w:pPr>
      <w:bookmarkStart w:id="48" w:name="_Hlk16458439"/>
      <w:r>
        <w:rPr>
          <w:rFonts w:hint="eastAsia" w:ascii="宋体" w:hAnsi="宋体" w:eastAsia="宋体" w:cs="仿宋"/>
          <w:color w:val="auto"/>
          <w:sz w:val="24"/>
          <w:szCs w:val="24"/>
          <w:highlight w:val="none"/>
        </w:rPr>
        <w:t>乙方根据本合同所提供的任何报告、演示稿或其它形式沟通中（“报告”）所载的任何信息、建议、意见或其它内容，除客户信息之外，仅供甲方依法使用（与本服务的目的一致）。甲方如对报告进行改动、编辑或修订，则甲方须为改动、编辑或修订的文件的内容承担全责。甲方可将报告内根据客户信息编制的任何信息、数据或表格等纳入甲方拟使用的文件当中，甲方须为该等文件的内容承担全责。甲方验收后乙方无责任根据法律、法规的变化进行更新。</w:t>
      </w:r>
    </w:p>
    <w:p>
      <w:pPr>
        <w:widowControl w:val="0"/>
        <w:spacing w:afterLines="50"/>
        <w:ind w:firstLine="482"/>
        <w:rPr>
          <w:rFonts w:ascii="宋体" w:hAnsi="宋体" w:eastAsia="宋体" w:cs="仿宋"/>
          <w:b/>
          <w:bCs/>
          <w:color w:val="auto"/>
          <w:sz w:val="24"/>
          <w:szCs w:val="24"/>
          <w:highlight w:val="none"/>
        </w:rPr>
      </w:pPr>
      <w:r>
        <w:rPr>
          <w:rFonts w:hint="eastAsia" w:ascii="宋体" w:hAnsi="宋体" w:eastAsia="宋体" w:cs="仿宋"/>
          <w:b/>
          <w:bCs/>
          <w:color w:val="auto"/>
          <w:sz w:val="24"/>
          <w:szCs w:val="24"/>
          <w:highlight w:val="none"/>
        </w:rPr>
        <w:t xml:space="preserve">第十条 </w:t>
      </w:r>
      <w:r>
        <w:rPr>
          <w:rFonts w:ascii="宋体" w:hAnsi="宋体" w:eastAsia="宋体" w:cs="仿宋"/>
          <w:b/>
          <w:bCs/>
          <w:color w:val="auto"/>
          <w:sz w:val="24"/>
          <w:szCs w:val="24"/>
          <w:highlight w:val="none"/>
        </w:rPr>
        <w:t>违约责任</w:t>
      </w:r>
    </w:p>
    <w:p>
      <w:pPr>
        <w:widowControl w:val="0"/>
        <w:spacing w:afterLines="50"/>
        <w:ind w:firstLine="48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因</w:t>
      </w:r>
      <w:r>
        <w:rPr>
          <w:rFonts w:ascii="宋体" w:hAnsi="宋体" w:eastAsia="宋体" w:cs="仿宋"/>
          <w:color w:val="auto"/>
          <w:sz w:val="24"/>
          <w:szCs w:val="24"/>
          <w:highlight w:val="none"/>
        </w:rPr>
        <w:t>乙方</w:t>
      </w:r>
      <w:r>
        <w:rPr>
          <w:rFonts w:hint="eastAsia" w:ascii="宋体" w:hAnsi="宋体" w:eastAsia="宋体" w:cs="仿宋"/>
          <w:color w:val="auto"/>
          <w:sz w:val="24"/>
          <w:szCs w:val="24"/>
          <w:highlight w:val="none"/>
        </w:rPr>
        <w:t>出现下列情形的</w:t>
      </w:r>
      <w:r>
        <w:rPr>
          <w:rFonts w:ascii="宋体" w:hAnsi="宋体" w:eastAsia="宋体" w:cs="仿宋"/>
          <w:color w:val="auto"/>
          <w:sz w:val="24"/>
          <w:szCs w:val="24"/>
          <w:highlight w:val="none"/>
        </w:rPr>
        <w:t>甲方</w:t>
      </w:r>
      <w:r>
        <w:rPr>
          <w:rFonts w:hint="eastAsia" w:ascii="宋体" w:hAnsi="宋体" w:eastAsia="宋体" w:cs="仿宋"/>
          <w:color w:val="auto"/>
          <w:sz w:val="24"/>
          <w:szCs w:val="24"/>
          <w:highlight w:val="none"/>
        </w:rPr>
        <w:t>有权解除本合同，并委托</w:t>
      </w:r>
      <w:r>
        <w:rPr>
          <w:rFonts w:ascii="宋体" w:hAnsi="宋体" w:eastAsia="宋体" w:cs="仿宋"/>
          <w:color w:val="auto"/>
          <w:sz w:val="24"/>
          <w:szCs w:val="24"/>
          <w:highlight w:val="none"/>
        </w:rPr>
        <w:t>第三方机构</w:t>
      </w:r>
      <w:r>
        <w:rPr>
          <w:rFonts w:hint="eastAsia" w:ascii="宋体" w:hAnsi="宋体" w:eastAsia="宋体" w:cs="仿宋"/>
          <w:color w:val="auto"/>
          <w:sz w:val="24"/>
          <w:szCs w:val="24"/>
          <w:highlight w:val="none"/>
        </w:rPr>
        <w:t>继续工作，</w:t>
      </w:r>
      <w:r>
        <w:rPr>
          <w:rFonts w:ascii="宋体" w:hAnsi="宋体" w:eastAsia="宋体" w:cs="仿宋"/>
          <w:color w:val="auto"/>
          <w:sz w:val="24"/>
          <w:szCs w:val="24"/>
          <w:highlight w:val="none"/>
        </w:rPr>
        <w:t>乙方</w:t>
      </w:r>
      <w:r>
        <w:rPr>
          <w:rFonts w:hint="eastAsia" w:ascii="宋体" w:hAnsi="宋体" w:eastAsia="宋体" w:cs="仿宋"/>
          <w:color w:val="auto"/>
          <w:sz w:val="24"/>
          <w:szCs w:val="24"/>
          <w:highlight w:val="none"/>
        </w:rPr>
        <w:t>应配合</w:t>
      </w:r>
      <w:r>
        <w:rPr>
          <w:rFonts w:ascii="宋体" w:hAnsi="宋体" w:eastAsia="宋体" w:cs="仿宋"/>
          <w:color w:val="auto"/>
          <w:sz w:val="24"/>
          <w:szCs w:val="24"/>
          <w:highlight w:val="none"/>
        </w:rPr>
        <w:t>甲方</w:t>
      </w:r>
      <w:r>
        <w:rPr>
          <w:rFonts w:hint="eastAsia" w:ascii="宋体" w:hAnsi="宋体" w:eastAsia="宋体" w:cs="仿宋"/>
          <w:color w:val="auto"/>
          <w:sz w:val="24"/>
          <w:szCs w:val="24"/>
          <w:highlight w:val="none"/>
        </w:rPr>
        <w:t>的一切安排并负责赔偿</w:t>
      </w:r>
      <w:r>
        <w:rPr>
          <w:rFonts w:ascii="宋体" w:hAnsi="宋体" w:eastAsia="宋体" w:cs="仿宋"/>
          <w:color w:val="auto"/>
          <w:sz w:val="24"/>
          <w:szCs w:val="24"/>
          <w:highlight w:val="none"/>
        </w:rPr>
        <w:t>甲方</w:t>
      </w:r>
      <w:r>
        <w:rPr>
          <w:rFonts w:hint="eastAsia" w:ascii="宋体" w:hAnsi="宋体" w:eastAsia="宋体" w:cs="仿宋"/>
          <w:color w:val="auto"/>
          <w:sz w:val="24"/>
          <w:szCs w:val="24"/>
          <w:highlight w:val="none"/>
        </w:rPr>
        <w:t>的直接经济损失，赔偿总额不超过本合同总金额。同时</w:t>
      </w:r>
      <w:r>
        <w:rPr>
          <w:rFonts w:ascii="宋体" w:hAnsi="宋体" w:eastAsia="宋体" w:cs="仿宋"/>
          <w:color w:val="auto"/>
          <w:sz w:val="24"/>
          <w:szCs w:val="24"/>
          <w:highlight w:val="none"/>
        </w:rPr>
        <w:t>甲方</w:t>
      </w:r>
      <w:r>
        <w:rPr>
          <w:rFonts w:hint="eastAsia" w:ascii="宋体" w:hAnsi="宋体" w:eastAsia="宋体" w:cs="仿宋"/>
          <w:color w:val="auto"/>
          <w:sz w:val="24"/>
          <w:szCs w:val="24"/>
          <w:highlight w:val="none"/>
        </w:rPr>
        <w:t>有权拒绝支付</w:t>
      </w:r>
      <w:r>
        <w:rPr>
          <w:rFonts w:ascii="宋体" w:hAnsi="宋体" w:eastAsia="宋体" w:cs="仿宋"/>
          <w:color w:val="auto"/>
          <w:sz w:val="24"/>
          <w:szCs w:val="24"/>
          <w:highlight w:val="none"/>
        </w:rPr>
        <w:t>编制</w:t>
      </w:r>
      <w:r>
        <w:rPr>
          <w:rFonts w:hint="eastAsia" w:ascii="宋体" w:hAnsi="宋体" w:eastAsia="宋体" w:cs="仿宋"/>
          <w:color w:val="auto"/>
          <w:sz w:val="24"/>
          <w:szCs w:val="24"/>
          <w:highlight w:val="none"/>
        </w:rPr>
        <w:t xml:space="preserve">费： </w:t>
      </w:r>
    </w:p>
    <w:p>
      <w:pPr>
        <w:widowControl w:val="0"/>
        <w:spacing w:afterLines="50"/>
        <w:ind w:firstLine="480"/>
        <w:rPr>
          <w:rFonts w:ascii="宋体" w:hAnsi="宋体" w:eastAsia="宋体" w:cs="仿宋"/>
          <w:color w:val="auto"/>
          <w:sz w:val="24"/>
          <w:szCs w:val="24"/>
          <w:highlight w:val="none"/>
        </w:rPr>
      </w:pPr>
      <w:r>
        <w:rPr>
          <w:rFonts w:ascii="宋体" w:hAnsi="宋体" w:eastAsia="宋体" w:cs="仿宋"/>
          <w:color w:val="auto"/>
          <w:sz w:val="24"/>
          <w:szCs w:val="24"/>
          <w:highlight w:val="none"/>
        </w:rPr>
        <w:t>1.</w:t>
      </w:r>
      <w:r>
        <w:rPr>
          <w:rFonts w:hint="eastAsia" w:ascii="宋体" w:hAnsi="宋体" w:eastAsia="宋体" w:cs="仿宋"/>
          <w:color w:val="auto"/>
          <w:sz w:val="24"/>
          <w:szCs w:val="24"/>
          <w:highlight w:val="none"/>
        </w:rPr>
        <w:t>由于</w:t>
      </w:r>
      <w:r>
        <w:rPr>
          <w:rFonts w:ascii="宋体" w:hAnsi="宋体" w:eastAsia="宋体" w:cs="仿宋"/>
          <w:color w:val="auto"/>
          <w:sz w:val="24"/>
          <w:szCs w:val="24"/>
          <w:highlight w:val="none"/>
        </w:rPr>
        <w:t>乙方</w:t>
      </w:r>
      <w:r>
        <w:rPr>
          <w:rFonts w:hint="eastAsia" w:ascii="宋体" w:hAnsi="宋体" w:eastAsia="宋体" w:cs="仿宋"/>
          <w:color w:val="auto"/>
          <w:sz w:val="24"/>
          <w:szCs w:val="24"/>
          <w:highlight w:val="none"/>
        </w:rPr>
        <w:t>自身原因，未按</w:t>
      </w:r>
      <w:r>
        <w:rPr>
          <w:rFonts w:ascii="宋体" w:hAnsi="宋体" w:eastAsia="宋体" w:cs="仿宋"/>
          <w:color w:val="auto"/>
          <w:sz w:val="24"/>
          <w:szCs w:val="24"/>
          <w:highlight w:val="none"/>
        </w:rPr>
        <w:t>甲方</w:t>
      </w:r>
      <w:r>
        <w:rPr>
          <w:rFonts w:hint="eastAsia" w:ascii="宋体" w:hAnsi="宋体" w:eastAsia="宋体" w:cs="仿宋"/>
          <w:color w:val="auto"/>
          <w:sz w:val="24"/>
          <w:szCs w:val="24"/>
          <w:highlight w:val="none"/>
        </w:rPr>
        <w:t>合同约定交付成果或完成工作内容的，每逾期一日应减收本合同费用的万分之二。若在</w:t>
      </w:r>
      <w:r>
        <w:rPr>
          <w:rFonts w:ascii="宋体" w:hAnsi="宋体" w:eastAsia="宋体" w:cs="仿宋"/>
          <w:color w:val="auto"/>
          <w:sz w:val="24"/>
          <w:szCs w:val="24"/>
          <w:highlight w:val="none"/>
        </w:rPr>
        <w:t>甲方</w:t>
      </w:r>
      <w:r>
        <w:rPr>
          <w:rFonts w:hint="eastAsia" w:ascii="宋体" w:hAnsi="宋体" w:eastAsia="宋体" w:cs="仿宋"/>
          <w:color w:val="auto"/>
          <w:sz w:val="24"/>
          <w:szCs w:val="24"/>
          <w:highlight w:val="none"/>
        </w:rPr>
        <w:t>书面通知后</w:t>
      </w:r>
      <w:r>
        <w:rPr>
          <w:rFonts w:ascii="宋体" w:hAnsi="宋体" w:eastAsia="宋体" w:cs="仿宋"/>
          <w:color w:val="auto"/>
          <w:sz w:val="24"/>
          <w:szCs w:val="24"/>
          <w:highlight w:val="none"/>
        </w:rPr>
        <w:t>七</w:t>
      </w:r>
      <w:r>
        <w:rPr>
          <w:rFonts w:hint="eastAsia" w:ascii="宋体" w:hAnsi="宋体" w:eastAsia="宋体" w:cs="仿宋"/>
          <w:color w:val="auto"/>
          <w:sz w:val="24"/>
          <w:szCs w:val="24"/>
          <w:highlight w:val="none"/>
        </w:rPr>
        <w:t>日内仍没有改正的，甲方有权要求乙方配合甲方安排，赔偿直接经济损失，同时甲方有权拒绝支付编制费。</w:t>
      </w:r>
    </w:p>
    <w:p>
      <w:pPr>
        <w:widowControl w:val="0"/>
        <w:spacing w:afterLines="50"/>
        <w:ind w:firstLine="480"/>
        <w:rPr>
          <w:rFonts w:ascii="宋体" w:hAnsi="宋体" w:eastAsia="宋体" w:cs="仿宋"/>
          <w:color w:val="auto"/>
          <w:sz w:val="24"/>
          <w:szCs w:val="24"/>
          <w:highlight w:val="none"/>
        </w:rPr>
      </w:pPr>
      <w:r>
        <w:rPr>
          <w:rFonts w:ascii="宋体" w:hAnsi="宋体" w:eastAsia="宋体" w:cs="仿宋"/>
          <w:color w:val="auto"/>
          <w:sz w:val="24"/>
          <w:szCs w:val="24"/>
          <w:highlight w:val="none"/>
        </w:rPr>
        <w:t>2.</w:t>
      </w:r>
      <w:r>
        <w:rPr>
          <w:rFonts w:hint="eastAsia" w:ascii="宋体" w:hAnsi="宋体" w:eastAsia="宋体" w:cs="仿宋"/>
          <w:color w:val="auto"/>
          <w:sz w:val="24"/>
          <w:szCs w:val="24"/>
          <w:highlight w:val="none"/>
        </w:rPr>
        <w:t>未经</w:t>
      </w:r>
      <w:r>
        <w:rPr>
          <w:rFonts w:ascii="宋体" w:hAnsi="宋体" w:eastAsia="宋体" w:cs="仿宋"/>
          <w:color w:val="auto"/>
          <w:sz w:val="24"/>
          <w:szCs w:val="24"/>
          <w:highlight w:val="none"/>
        </w:rPr>
        <w:t>甲方</w:t>
      </w:r>
      <w:r>
        <w:rPr>
          <w:rFonts w:hint="eastAsia" w:ascii="宋体" w:hAnsi="宋体" w:eastAsia="宋体" w:cs="仿宋"/>
          <w:color w:val="auto"/>
          <w:sz w:val="24"/>
          <w:szCs w:val="24"/>
          <w:highlight w:val="none"/>
        </w:rPr>
        <w:t>书面同意，</w:t>
      </w:r>
      <w:r>
        <w:rPr>
          <w:rFonts w:ascii="宋体" w:hAnsi="宋体" w:eastAsia="宋体" w:cs="仿宋"/>
          <w:color w:val="auto"/>
          <w:sz w:val="24"/>
          <w:szCs w:val="24"/>
          <w:highlight w:val="none"/>
        </w:rPr>
        <w:t>乙方</w:t>
      </w:r>
      <w:r>
        <w:rPr>
          <w:rFonts w:hint="eastAsia" w:ascii="宋体" w:hAnsi="宋体" w:eastAsia="宋体" w:cs="仿宋"/>
          <w:color w:val="auto"/>
          <w:sz w:val="24"/>
          <w:szCs w:val="24"/>
          <w:highlight w:val="none"/>
        </w:rPr>
        <w:t>不得委托他方代为履行合同；不得将本合同项下的任何服务分包给任何第三方。如违反本条约定，</w:t>
      </w:r>
      <w:r>
        <w:rPr>
          <w:rFonts w:ascii="宋体" w:hAnsi="宋体" w:eastAsia="宋体" w:cs="仿宋"/>
          <w:color w:val="auto"/>
          <w:sz w:val="24"/>
          <w:szCs w:val="24"/>
          <w:highlight w:val="none"/>
        </w:rPr>
        <w:t>甲方</w:t>
      </w:r>
      <w:r>
        <w:rPr>
          <w:rFonts w:hint="eastAsia" w:ascii="宋体" w:hAnsi="宋体" w:eastAsia="宋体" w:cs="仿宋"/>
          <w:color w:val="auto"/>
          <w:sz w:val="24"/>
          <w:szCs w:val="24"/>
          <w:highlight w:val="none"/>
        </w:rPr>
        <w:t>有权解除合同，并要求</w:t>
      </w:r>
      <w:r>
        <w:rPr>
          <w:rFonts w:ascii="宋体" w:hAnsi="宋体" w:eastAsia="宋体" w:cs="仿宋"/>
          <w:color w:val="auto"/>
          <w:sz w:val="24"/>
          <w:szCs w:val="24"/>
          <w:highlight w:val="none"/>
        </w:rPr>
        <w:t>乙方</w:t>
      </w:r>
      <w:r>
        <w:rPr>
          <w:rFonts w:hint="eastAsia" w:ascii="宋体" w:hAnsi="宋体" w:eastAsia="宋体" w:cs="仿宋"/>
          <w:color w:val="auto"/>
          <w:sz w:val="24"/>
          <w:szCs w:val="24"/>
          <w:highlight w:val="none"/>
        </w:rPr>
        <w:t>支付合同总金额。</w:t>
      </w:r>
    </w:p>
    <w:bookmarkEnd w:id="48"/>
    <w:p>
      <w:pPr>
        <w:widowControl w:val="0"/>
        <w:spacing w:afterLines="50"/>
        <w:ind w:firstLine="482"/>
        <w:rPr>
          <w:rFonts w:ascii="宋体" w:hAnsi="宋体" w:eastAsia="宋体" w:cs="仿宋"/>
          <w:b/>
          <w:bCs/>
          <w:color w:val="auto"/>
          <w:sz w:val="24"/>
          <w:szCs w:val="24"/>
          <w:highlight w:val="none"/>
        </w:rPr>
      </w:pPr>
      <w:bookmarkStart w:id="49" w:name="_Hlk16458482"/>
      <w:r>
        <w:rPr>
          <w:rFonts w:ascii="宋体" w:hAnsi="宋体" w:eastAsia="宋体" w:cs="仿宋"/>
          <w:b/>
          <w:bCs/>
          <w:color w:val="auto"/>
          <w:sz w:val="24"/>
          <w:szCs w:val="24"/>
          <w:highlight w:val="none"/>
        </w:rPr>
        <w:t>第十</w:t>
      </w:r>
      <w:r>
        <w:rPr>
          <w:rFonts w:hint="eastAsia" w:ascii="宋体" w:hAnsi="宋体" w:eastAsia="宋体" w:cs="仿宋"/>
          <w:b/>
          <w:bCs/>
          <w:color w:val="auto"/>
          <w:sz w:val="24"/>
          <w:szCs w:val="24"/>
          <w:highlight w:val="none"/>
        </w:rPr>
        <w:t>一</w:t>
      </w:r>
      <w:r>
        <w:rPr>
          <w:rFonts w:ascii="宋体" w:hAnsi="宋体" w:eastAsia="宋体" w:cs="仿宋"/>
          <w:b/>
          <w:bCs/>
          <w:color w:val="auto"/>
          <w:sz w:val="24"/>
          <w:szCs w:val="24"/>
          <w:highlight w:val="none"/>
        </w:rPr>
        <w:t xml:space="preserve">条 </w:t>
      </w:r>
      <w:r>
        <w:rPr>
          <w:rFonts w:hint="eastAsia" w:ascii="宋体" w:hAnsi="宋体" w:eastAsia="宋体" w:cs="仿宋"/>
          <w:b/>
          <w:bCs/>
          <w:color w:val="auto"/>
          <w:sz w:val="24"/>
          <w:szCs w:val="24"/>
          <w:highlight w:val="none"/>
        </w:rPr>
        <w:t>争议的解决</w:t>
      </w:r>
    </w:p>
    <w:bookmarkEnd w:id="49"/>
    <w:p>
      <w:pPr>
        <w:widowControl w:val="0"/>
        <w:spacing w:afterLines="50"/>
        <w:ind w:firstLine="48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本合同履行过程中若发生争议，双方应本着友好协商的原则解决。协商不成，提交甲方所在地人民法院进行诉讼。</w:t>
      </w:r>
    </w:p>
    <w:p>
      <w:pPr>
        <w:widowControl w:val="0"/>
        <w:spacing w:afterLines="50"/>
        <w:ind w:firstLine="482"/>
        <w:rPr>
          <w:rFonts w:ascii="宋体" w:hAnsi="宋体" w:eastAsia="宋体" w:cs="仿宋"/>
          <w:b/>
          <w:bCs/>
          <w:color w:val="auto"/>
          <w:sz w:val="24"/>
          <w:szCs w:val="24"/>
          <w:highlight w:val="none"/>
        </w:rPr>
      </w:pPr>
      <w:r>
        <w:rPr>
          <w:rFonts w:ascii="宋体" w:hAnsi="宋体" w:eastAsia="宋体" w:cs="仿宋"/>
          <w:b/>
          <w:bCs/>
          <w:color w:val="auto"/>
          <w:sz w:val="24"/>
          <w:szCs w:val="24"/>
          <w:highlight w:val="none"/>
        </w:rPr>
        <w:t xml:space="preserve">第十三条 </w:t>
      </w:r>
      <w:r>
        <w:rPr>
          <w:rFonts w:hint="eastAsia" w:ascii="宋体" w:hAnsi="宋体" w:eastAsia="宋体" w:cs="仿宋"/>
          <w:b/>
          <w:bCs/>
          <w:color w:val="auto"/>
          <w:sz w:val="24"/>
          <w:szCs w:val="24"/>
          <w:highlight w:val="none"/>
        </w:rPr>
        <w:t>其他</w:t>
      </w:r>
    </w:p>
    <w:p>
      <w:pPr>
        <w:widowControl w:val="0"/>
        <w:numPr>
          <w:ilvl w:val="255"/>
          <w:numId w:val="0"/>
        </w:numPr>
        <w:spacing w:afterLines="50"/>
        <w:ind w:firstLine="48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（一）本合同经双方签字盖章即生效。一式八份，甲乙双方各执四份，具有同等法律效力。</w:t>
      </w:r>
    </w:p>
    <w:p>
      <w:pPr>
        <w:widowControl w:val="0"/>
        <w:numPr>
          <w:ilvl w:val="255"/>
          <w:numId w:val="0"/>
        </w:numPr>
        <w:spacing w:afterLines="50"/>
        <w:ind w:firstLine="48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（二）双方协商一致的来往邮件、会议纪要等，均为合同的组成部分，与本合同具有同等法律效力。</w:t>
      </w:r>
    </w:p>
    <w:p>
      <w:pPr>
        <w:widowControl w:val="0"/>
        <w:numPr>
          <w:ilvl w:val="255"/>
          <w:numId w:val="0"/>
        </w:numPr>
        <w:spacing w:afterLines="50"/>
        <w:ind w:firstLine="48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（三）未尽事宜，经双方协商一致，签订补充协议，补充协议与本合同具有同等效力。</w:t>
      </w:r>
    </w:p>
    <w:p>
      <w:pPr>
        <w:widowControl w:val="0"/>
        <w:spacing w:afterLines="50"/>
        <w:ind w:firstLine="48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（四）双方均不得转让各自于本合同的任何权利、责任或索赔权。</w:t>
      </w:r>
    </w:p>
    <w:p>
      <w:pPr>
        <w:widowControl w:val="0"/>
        <w:spacing w:afterLines="50"/>
        <w:ind w:firstLine="48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（五）非经对方事先书面同意，本合同任何一方不得使用或引用对方的名称、标识、商标，但乙方可对外指明甲方是由乙方提供特定服务的客户。</w:t>
      </w:r>
    </w:p>
    <w:p>
      <w:pPr>
        <w:widowControl w:val="0"/>
        <w:spacing w:afterLines="50"/>
        <w:ind w:firstLine="480"/>
        <w:rPr>
          <w:rFonts w:ascii="宋体" w:hAnsi="宋体" w:eastAsia="宋体" w:cs="仿宋"/>
          <w:color w:val="auto"/>
          <w:sz w:val="24"/>
          <w:szCs w:val="24"/>
          <w:highlight w:val="none"/>
        </w:rPr>
      </w:pPr>
    </w:p>
    <w:p>
      <w:pPr>
        <w:widowControl w:val="0"/>
        <w:spacing w:afterLines="50"/>
        <w:ind w:firstLine="480"/>
        <w:rPr>
          <w:rFonts w:ascii="宋体" w:hAnsi="宋体" w:eastAsia="宋体" w:cs="仿宋"/>
          <w:color w:val="auto"/>
          <w:sz w:val="24"/>
          <w:szCs w:val="24"/>
          <w:highlight w:val="none"/>
        </w:rPr>
      </w:pPr>
    </w:p>
    <w:p>
      <w:pPr>
        <w:widowControl w:val="0"/>
        <w:spacing w:afterLines="50"/>
        <w:ind w:firstLine="480"/>
        <w:rPr>
          <w:rFonts w:ascii="宋体" w:hAnsi="宋体" w:eastAsia="宋体" w:cs="仿宋"/>
          <w:color w:val="auto"/>
          <w:sz w:val="24"/>
          <w:szCs w:val="24"/>
          <w:highlight w:val="none"/>
        </w:rPr>
      </w:pPr>
    </w:p>
    <w:p>
      <w:pPr>
        <w:widowControl w:val="0"/>
        <w:spacing w:afterLines="50"/>
        <w:ind w:firstLine="48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（此页无正文）</w:t>
      </w:r>
    </w:p>
    <w:p>
      <w:pPr>
        <w:widowControl w:val="0"/>
        <w:spacing w:afterLines="50"/>
        <w:ind w:firstLine="482"/>
        <w:jc w:val="left"/>
        <w:rPr>
          <w:rFonts w:ascii="宋体" w:hAnsi="宋体" w:eastAsia="宋体" w:cs="仿宋"/>
          <w:b/>
          <w:bCs/>
          <w:color w:val="auto"/>
          <w:sz w:val="24"/>
          <w:szCs w:val="24"/>
          <w:highlight w:val="none"/>
        </w:rPr>
      </w:pPr>
      <w:r>
        <w:rPr>
          <w:rFonts w:hint="eastAsia" w:ascii="宋体" w:hAnsi="宋体" w:eastAsia="宋体" w:cs="仿宋"/>
          <w:b/>
          <w:bCs/>
          <w:color w:val="auto"/>
          <w:sz w:val="24"/>
          <w:szCs w:val="24"/>
          <w:highlight w:val="none"/>
        </w:rPr>
        <w:t>甲方：                          乙方：</w:t>
      </w:r>
    </w:p>
    <w:p>
      <w:pPr>
        <w:widowControl w:val="0"/>
        <w:spacing w:afterLines="50"/>
        <w:ind w:firstLine="480"/>
        <w:jc w:val="left"/>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 xml:space="preserve">海口江东新区管理局 </w:t>
      </w:r>
    </w:p>
    <w:p>
      <w:pPr>
        <w:widowControl w:val="0"/>
        <w:spacing w:afterLines="50"/>
        <w:ind w:firstLine="480"/>
        <w:jc w:val="left"/>
        <w:rPr>
          <w:rFonts w:ascii="宋体" w:hAnsi="宋体" w:eastAsia="宋体" w:cs="仿宋"/>
          <w:color w:val="auto"/>
          <w:sz w:val="24"/>
          <w:szCs w:val="24"/>
          <w:highlight w:val="none"/>
        </w:rPr>
      </w:pPr>
      <w:r>
        <w:rPr>
          <w:rFonts w:ascii="宋体" w:hAnsi="宋体" w:eastAsia="宋体" w:cs="仿宋"/>
          <w:color w:val="auto"/>
          <w:sz w:val="24"/>
          <w:szCs w:val="24"/>
          <w:highlight w:val="none"/>
        </w:rPr>
        <w:t>授权代表</w:t>
      </w:r>
      <w:r>
        <w:rPr>
          <w:rFonts w:hint="eastAsia" w:ascii="宋体" w:hAnsi="宋体" w:eastAsia="宋体" w:cs="仿宋"/>
          <w:color w:val="auto"/>
          <w:sz w:val="24"/>
          <w:szCs w:val="24"/>
          <w:highlight w:val="none"/>
        </w:rPr>
        <w:t>：                      法定代表人或委托代理人：</w:t>
      </w:r>
    </w:p>
    <w:p>
      <w:pPr>
        <w:widowControl w:val="0"/>
        <w:spacing w:afterLines="50"/>
        <w:ind w:firstLine="480"/>
        <w:jc w:val="left"/>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日期：                          日期：</w:t>
      </w:r>
    </w:p>
    <w:p>
      <w:pPr>
        <w:widowControl w:val="0"/>
        <w:ind w:firstLine="482"/>
        <w:rPr>
          <w:rFonts w:ascii="宋体" w:hAnsi="宋体" w:eastAsia="宋体" w:cs="仿宋"/>
          <w:b/>
          <w:bCs/>
          <w:color w:val="auto"/>
          <w:sz w:val="24"/>
          <w:szCs w:val="24"/>
        </w:rPr>
      </w:pPr>
    </w:p>
    <w:sectPr>
      <w:pgSz w:w="11906" w:h="16838"/>
      <w:pgMar w:top="1440" w:right="1366" w:bottom="1440" w:left="1423" w:header="851" w:footer="992"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222250"/>
              <wp:effectExtent l="0" t="0" r="0" b="0"/>
              <wp:wrapNone/>
              <wp:docPr id="12" name="Text Box 12"/>
              <wp:cNvGraphicFramePr/>
              <a:graphic xmlns:a="http://schemas.openxmlformats.org/drawingml/2006/main">
                <a:graphicData uri="http://schemas.microsoft.com/office/word/2010/wordprocessingShape">
                  <wps:wsp>
                    <wps:cNvSpPr txBox="1">
                      <a:spLocks noChangeArrowheads="1"/>
                    </wps:cNvSpPr>
                    <wps:spPr bwMode="auto">
                      <a:xfrm>
                        <a:off x="0" y="0"/>
                        <a:ext cx="286385" cy="222250"/>
                      </a:xfrm>
                      <a:prstGeom prst="rect">
                        <a:avLst/>
                      </a:prstGeom>
                      <a:noFill/>
                      <a:ln>
                        <a:noFill/>
                      </a:ln>
                      <a:effectLst/>
                    </wps:spPr>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Text Box 12" o:spid="_x0000_s1026" o:spt="202" type="#_x0000_t202" style="position:absolute;left:0pt;margin-top:0pt;height:17.5pt;width:22.55pt;mso-position-horizontal:center;mso-position-horizontal-relative:margin;mso-wrap-style:none;z-index:251659264;mso-width-relative:page;mso-height-relative:page;" filled="f" stroked="f" coordsize="21600,21600" o:gfxdata="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9Z7SJ0QAAAAMBAAAPAAAAAAAAAAEAIAAAACIAAABkcnMvZG93bnJldi54bWxQ&#10;SwECFAAUAAAACACHTuJAD5PpJv4BAAARBAAADgAAAAAAAAABACAAAAAgAQAAZHJzL2Uyb0RvYy54&#10;bWxQSwUGAAAAAAYABgBZAQAAkAUAAAAA&#10;">
              <v:fill on="f" focussize="0,0"/>
              <v:stroke on="f"/>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jc w:val="center"/>
    </w:pPr>
  </w:p>
  <w:p>
    <w:pPr>
      <w:pStyle w:val="15"/>
      <w:ind w:right="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86385" cy="222250"/>
              <wp:effectExtent l="0" t="0" r="0" b="0"/>
              <wp:wrapNone/>
              <wp:docPr id="11" name="Text Box 11"/>
              <wp:cNvGraphicFramePr/>
              <a:graphic xmlns:a="http://schemas.openxmlformats.org/drawingml/2006/main">
                <a:graphicData uri="http://schemas.microsoft.com/office/word/2010/wordprocessingShape">
                  <wps:wsp>
                    <wps:cNvSpPr txBox="1">
                      <a:spLocks noChangeArrowheads="1"/>
                    </wps:cNvSpPr>
                    <wps:spPr bwMode="auto">
                      <a:xfrm>
                        <a:off x="0" y="0"/>
                        <a:ext cx="286385" cy="222250"/>
                      </a:xfrm>
                      <a:prstGeom prst="rect">
                        <a:avLst/>
                      </a:prstGeom>
                      <a:noFill/>
                      <a:ln>
                        <a:noFill/>
                      </a:ln>
                      <a:effectLst/>
                    </wps:spPr>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Text Box 11" o:spid="_x0000_s1026" o:spt="202" type="#_x0000_t202" style="position:absolute;left:0pt;margin-top:0pt;height:17.5pt;width:22.55pt;mso-position-horizontal:center;mso-position-horizontal-relative:margin;mso-wrap-style:none;z-index:251660288;mso-width-relative:page;mso-height-relative:page;" filled="f" stroked="f" coordsize="21600,21600" o:gfxdata="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We0idEAAAADAQAADwAAAAAAAAABACAAAAAiAAAAZHJzL2Rvd25yZXYueG1s&#10;UEsBAhQAFAAAAAgAh07iQOiSe8//AQAAEQQAAA4AAAAAAAAAAQAgAAAAIAEAAGRycy9lMm9Eb2Mu&#10;eG1sUEsFBgAAAAAGAAYAWQEAAJEFAAAAAA==&#10;">
              <v:fill on="f" focussize="0,0"/>
              <v:stroke on="f"/>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firstLine="64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286385" cy="222250"/>
              <wp:effectExtent l="0" t="0" r="0" b="0"/>
              <wp:wrapNone/>
              <wp:docPr id="10" name="Text Box 10"/>
              <wp:cNvGraphicFramePr/>
              <a:graphic xmlns:a="http://schemas.openxmlformats.org/drawingml/2006/main">
                <a:graphicData uri="http://schemas.microsoft.com/office/word/2010/wordprocessingShape">
                  <wps:wsp>
                    <wps:cNvSpPr txBox="1">
                      <a:spLocks noChangeArrowheads="1"/>
                    </wps:cNvSpPr>
                    <wps:spPr bwMode="auto">
                      <a:xfrm>
                        <a:off x="0" y="0"/>
                        <a:ext cx="286385" cy="222250"/>
                      </a:xfrm>
                      <a:prstGeom prst="rect">
                        <a:avLst/>
                      </a:prstGeom>
                      <a:noFill/>
                      <a:ln>
                        <a:noFill/>
                      </a:ln>
                      <a:effectLst/>
                    </wps:spPr>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Text Box 10" o:spid="_x0000_s1026" o:spt="202" type="#_x0000_t202" style="position:absolute;left:0pt;margin-top:0pt;height:17.5pt;width:22.55pt;mso-position-horizontal:center;mso-position-horizontal-relative:margin;mso-wrap-style:none;z-index:251661312;mso-width-relative:page;mso-height-relative:page;" filled="f" stroked="f" coordsize="21600,21600" o:gfxdata="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9Z7SJ0QAAAAMBAAAPAAAAAAAAAAEAIAAAACIAAABkcnMvZG93bnJldi54bWxQ&#10;SwECFAAUAAAACACHTuJAim8lIf4BAAARBAAADgAAAAAAAAABACAAAAAgAQAAZHJzL2Uyb0RvYy54&#10;bWxQSwUGAAAAAAYABgBZAQAAkAUAAAAA&#10;">
              <v:fill on="f" focussize="0,0"/>
              <v:stroke on="f"/>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64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343535" cy="222250"/>
              <wp:effectExtent l="0" t="0" r="0" b="0"/>
              <wp:wrapNone/>
              <wp:docPr id="9" name="Text Box 9"/>
              <wp:cNvGraphicFramePr/>
              <a:graphic xmlns:a="http://schemas.openxmlformats.org/drawingml/2006/main">
                <a:graphicData uri="http://schemas.microsoft.com/office/word/2010/wordprocessingShape">
                  <wps:wsp>
                    <wps:cNvSpPr txBox="1">
                      <a:spLocks noChangeArrowheads="1"/>
                    </wps:cNvSpPr>
                    <wps:spPr bwMode="auto">
                      <a:xfrm>
                        <a:off x="0" y="0"/>
                        <a:ext cx="343535" cy="222250"/>
                      </a:xfrm>
                      <a:prstGeom prst="rect">
                        <a:avLst/>
                      </a:prstGeom>
                      <a:noFill/>
                      <a:ln>
                        <a:noFill/>
                      </a:ln>
                      <a:effectLst/>
                    </wps:spPr>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27</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Text Box 9" o:spid="_x0000_s1026" o:spt="202" type="#_x0000_t202" style="position:absolute;left:0pt;margin-top:0pt;height:17.5pt;width:27.05pt;mso-position-horizontal:center;mso-position-horizontal-relative:margin;mso-wrap-style:none;z-index:251662336;mso-width-relative:page;mso-height-relative:page;" filled="f" stroked="f" coordsize="21600,21600" o:gfxdata="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xEMG69EAAAADAQAADwAAAAAAAAABACAAAAAiAAAAZHJzL2Rvd25yZXYueG1s&#10;UEsBAhQAFAAAAAgAh07iQE8TYCv/AQAADwQAAA4AAAAAAAAAAQAgAAAAIAEAAGRycy9lMm9Eb2Mu&#10;eG1sUEsFBgAAAAAGAAYAWQEAAJEFAAAAAA==&#10;">
              <v:fill on="f" focussize="0,0"/>
              <v:stroke on="f"/>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27</w:t>
                    </w:r>
                    <w:r>
                      <w:rPr>
                        <w:rFonts w:hint="eastAsia"/>
                        <w:sz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jc w:val="right"/>
      <w:rPr>
        <w:i/>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ind w:firstLine="640"/>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B6F267"/>
    <w:multiLevelType w:val="singleLevel"/>
    <w:tmpl w:val="99B6F267"/>
    <w:lvl w:ilvl="0" w:tentative="0">
      <w:start w:val="4"/>
      <w:numFmt w:val="chineseCounting"/>
      <w:suff w:val="space"/>
      <w:lvlText w:val="第%1章"/>
      <w:lvlJc w:val="left"/>
      <w:rPr>
        <w:rFonts w:hint="eastAsia"/>
      </w:rPr>
    </w:lvl>
  </w:abstractNum>
  <w:abstractNum w:abstractNumId="1">
    <w:nsid w:val="A6D83777"/>
    <w:multiLevelType w:val="singleLevel"/>
    <w:tmpl w:val="A6D83777"/>
    <w:lvl w:ilvl="0" w:tentative="0">
      <w:start w:val="1"/>
      <w:numFmt w:val="chineseCounting"/>
      <w:suff w:val="space"/>
      <w:lvlText w:val="第%1条"/>
      <w:lvlJc w:val="left"/>
      <w:rPr>
        <w:rFonts w:hint="eastAsia"/>
        <w:b/>
        <w:bCs/>
      </w:rPr>
    </w:lvl>
  </w:abstractNum>
  <w:abstractNum w:abstractNumId="2">
    <w:nsid w:val="B171BA07"/>
    <w:multiLevelType w:val="singleLevel"/>
    <w:tmpl w:val="B171BA07"/>
    <w:lvl w:ilvl="0" w:tentative="0">
      <w:start w:val="6"/>
      <w:numFmt w:val="chineseCounting"/>
      <w:suff w:val="space"/>
      <w:lvlText w:val="第%1章"/>
      <w:lvlJc w:val="left"/>
      <w:rPr>
        <w:rFonts w:hint="eastAsia"/>
      </w:rPr>
    </w:lvl>
  </w:abstractNum>
  <w:abstractNum w:abstractNumId="3">
    <w:nsid w:val="0C651670"/>
    <w:multiLevelType w:val="singleLevel"/>
    <w:tmpl w:val="0C651670"/>
    <w:lvl w:ilvl="0" w:tentative="0">
      <w:start w:val="1"/>
      <w:numFmt w:val="chineseCounting"/>
      <w:suff w:val="nothing"/>
      <w:lvlText w:val="（%1）"/>
      <w:lvlJc w:val="left"/>
      <w:pPr>
        <w:ind w:left="562" w:firstLine="0"/>
      </w:pPr>
      <w:rPr>
        <w:rFonts w:hint="eastAsia"/>
      </w:rPr>
    </w:lvl>
  </w:abstractNum>
  <w:abstractNum w:abstractNumId="4">
    <w:nsid w:val="198DF39E"/>
    <w:multiLevelType w:val="multilevel"/>
    <w:tmpl w:val="198DF39E"/>
    <w:lvl w:ilvl="0" w:tentative="0">
      <w:start w:val="1"/>
      <w:numFmt w:val="chineseCounting"/>
      <w:suff w:val="nothing"/>
      <w:lvlText w:val="（%1）"/>
      <w:lvlJc w:val="left"/>
      <w:rPr>
        <w:rFonts w:hint="eastAsia"/>
      </w:rPr>
    </w:lvl>
    <w:lvl w:ilvl="1" w:tentative="0">
      <w:start w:val="1"/>
      <w:numFmt w:val="decimal"/>
      <w:suff w:val="nothing"/>
      <w:lvlText w:val="%2．"/>
      <w:lvlJc w:val="left"/>
      <w:rPr>
        <w:rFonts w:hint="eastAsia"/>
      </w:rPr>
    </w:lvl>
    <w:lvl w:ilvl="2" w:tentative="0">
      <w:start w:val="1"/>
      <w:numFmt w:val="decimal"/>
      <w:suff w:val="nothing"/>
      <w:lvlText w:val="（%3）"/>
      <w:lvlJc w:val="left"/>
      <w:rPr>
        <w:rFonts w:hint="eastAsia"/>
      </w:rPr>
    </w:lvl>
    <w:lvl w:ilvl="3" w:tentative="0">
      <w:start w:val="1"/>
      <w:numFmt w:val="decimalEnclosedCircleChinese"/>
      <w:suff w:val="nothing"/>
      <w:lvlText w:val="%4"/>
      <w:lvlJc w:val="left"/>
      <w:rPr>
        <w:rFonts w:hint="eastAsia"/>
      </w:rPr>
    </w:lvl>
    <w:lvl w:ilvl="4" w:tentative="0">
      <w:start w:val="1"/>
      <w:numFmt w:val="decimal"/>
      <w:suff w:val="nothing"/>
      <w:lvlText w:val="%5）"/>
      <w:lvlJc w:val="left"/>
      <w:rPr>
        <w:rFonts w:hint="eastAsia"/>
      </w:rPr>
    </w:lvl>
    <w:lvl w:ilvl="5" w:tentative="0">
      <w:start w:val="1"/>
      <w:numFmt w:val="lowerLetter"/>
      <w:suff w:val="nothing"/>
      <w:lvlText w:val="%6．"/>
      <w:lvlJc w:val="left"/>
      <w:rPr>
        <w:rFonts w:hint="eastAsia"/>
      </w:rPr>
    </w:lvl>
    <w:lvl w:ilvl="6" w:tentative="0">
      <w:start w:val="1"/>
      <w:numFmt w:val="lowerLetter"/>
      <w:suff w:val="nothing"/>
      <w:lvlText w:val="%7）"/>
      <w:lvlJc w:val="left"/>
      <w:rPr>
        <w:rFonts w:hint="eastAsia"/>
      </w:rPr>
    </w:lvl>
    <w:lvl w:ilvl="7" w:tentative="0">
      <w:start w:val="1"/>
      <w:numFmt w:val="lowerRoman"/>
      <w:suff w:val="nothing"/>
      <w:lvlText w:val="%8．"/>
      <w:lvlJc w:val="left"/>
      <w:rPr>
        <w:rFonts w:hint="eastAsia"/>
      </w:rPr>
    </w:lvl>
    <w:lvl w:ilvl="8" w:tentative="0">
      <w:start w:val="1"/>
      <w:numFmt w:val="lowerRoman"/>
      <w:suff w:val="nothing"/>
      <w:lvlText w:val="%9）"/>
      <w:lvlJc w:val="left"/>
      <w:rPr>
        <w:rFonts w:hint="eastAsia"/>
      </w:rPr>
    </w:lvl>
  </w:abstractNum>
  <w:abstractNum w:abstractNumId="5">
    <w:nsid w:val="304748C0"/>
    <w:multiLevelType w:val="multilevel"/>
    <w:tmpl w:val="304748C0"/>
    <w:lvl w:ilvl="0" w:tentative="0">
      <w:start w:val="1"/>
      <w:numFmt w:val="japaneseCounting"/>
      <w:lvlText w:val="（%1）"/>
      <w:lvlJc w:val="left"/>
      <w:pPr>
        <w:ind w:left="0" w:hanging="1080"/>
      </w:pPr>
      <w:rPr>
        <w:rFonts w:hint="default"/>
      </w:rPr>
    </w:lvl>
    <w:lvl w:ilvl="1" w:tentative="0">
      <w:start w:val="1"/>
      <w:numFmt w:val="lowerLetter"/>
      <w:lvlText w:val="%2)"/>
      <w:lvlJc w:val="left"/>
      <w:pPr>
        <w:ind w:left="-240" w:hanging="420"/>
      </w:pPr>
    </w:lvl>
    <w:lvl w:ilvl="2" w:tentative="0">
      <w:start w:val="1"/>
      <w:numFmt w:val="lowerRoman"/>
      <w:lvlText w:val="%3."/>
      <w:lvlJc w:val="right"/>
      <w:pPr>
        <w:ind w:left="180" w:hanging="420"/>
      </w:pPr>
    </w:lvl>
    <w:lvl w:ilvl="3" w:tentative="0">
      <w:start w:val="1"/>
      <w:numFmt w:val="decimal"/>
      <w:lvlText w:val="%4."/>
      <w:lvlJc w:val="left"/>
      <w:pPr>
        <w:ind w:left="600" w:hanging="420"/>
      </w:pPr>
    </w:lvl>
    <w:lvl w:ilvl="4" w:tentative="0">
      <w:start w:val="1"/>
      <w:numFmt w:val="lowerLetter"/>
      <w:lvlText w:val="%5)"/>
      <w:lvlJc w:val="left"/>
      <w:pPr>
        <w:ind w:left="1020" w:hanging="420"/>
      </w:pPr>
    </w:lvl>
    <w:lvl w:ilvl="5" w:tentative="0">
      <w:start w:val="1"/>
      <w:numFmt w:val="lowerRoman"/>
      <w:lvlText w:val="%6."/>
      <w:lvlJc w:val="right"/>
      <w:pPr>
        <w:ind w:left="1440" w:hanging="420"/>
      </w:pPr>
    </w:lvl>
    <w:lvl w:ilvl="6" w:tentative="0">
      <w:start w:val="1"/>
      <w:numFmt w:val="decimal"/>
      <w:lvlText w:val="%7."/>
      <w:lvlJc w:val="left"/>
      <w:pPr>
        <w:ind w:left="1860" w:hanging="420"/>
      </w:pPr>
    </w:lvl>
    <w:lvl w:ilvl="7" w:tentative="0">
      <w:start w:val="1"/>
      <w:numFmt w:val="lowerLetter"/>
      <w:lvlText w:val="%8)"/>
      <w:lvlJc w:val="left"/>
      <w:pPr>
        <w:ind w:left="2280" w:hanging="420"/>
      </w:pPr>
    </w:lvl>
    <w:lvl w:ilvl="8" w:tentative="0">
      <w:start w:val="1"/>
      <w:numFmt w:val="lowerRoman"/>
      <w:lvlText w:val="%9."/>
      <w:lvlJc w:val="right"/>
      <w:pPr>
        <w:ind w:left="2700" w:hanging="420"/>
      </w:pPr>
    </w:lvl>
  </w:abstractNum>
  <w:abstractNum w:abstractNumId="6">
    <w:nsid w:val="5FAB0FC6"/>
    <w:multiLevelType w:val="singleLevel"/>
    <w:tmpl w:val="5FAB0FC6"/>
    <w:lvl w:ilvl="0" w:tentative="0">
      <w:start w:val="1"/>
      <w:numFmt w:val="decimal"/>
      <w:suff w:val="nothing"/>
      <w:lvlText w:val="%1."/>
      <w:lvlJc w:val="left"/>
    </w:lvl>
  </w:abstractNum>
  <w:abstractNum w:abstractNumId="7">
    <w:nsid w:val="5FAB13E6"/>
    <w:multiLevelType w:val="singleLevel"/>
    <w:tmpl w:val="5FAB13E6"/>
    <w:lvl w:ilvl="0" w:tentative="0">
      <w:start w:val="1"/>
      <w:numFmt w:val="chineseCounting"/>
      <w:suff w:val="nothing"/>
      <w:lvlText w:val="（%1）"/>
      <w:lvlJc w:val="left"/>
    </w:lvl>
  </w:abstractNum>
  <w:num w:numId="1">
    <w:abstractNumId w:val="4"/>
  </w:num>
  <w:num w:numId="2">
    <w:abstractNumId w:val="0"/>
  </w:num>
  <w:num w:numId="3">
    <w:abstractNumId w:val="2"/>
  </w:num>
  <w:num w:numId="4">
    <w:abstractNumId w:val="1"/>
  </w:num>
  <w:num w:numId="5">
    <w:abstractNumId w:val="5"/>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8F3"/>
    <w:rsid w:val="0000202E"/>
    <w:rsid w:val="0000440B"/>
    <w:rsid w:val="00014391"/>
    <w:rsid w:val="00031EA3"/>
    <w:rsid w:val="0003496B"/>
    <w:rsid w:val="0003622C"/>
    <w:rsid w:val="00036597"/>
    <w:rsid w:val="00043BE8"/>
    <w:rsid w:val="00044246"/>
    <w:rsid w:val="0004460D"/>
    <w:rsid w:val="000446FE"/>
    <w:rsid w:val="0004582D"/>
    <w:rsid w:val="00051092"/>
    <w:rsid w:val="000522C4"/>
    <w:rsid w:val="00063488"/>
    <w:rsid w:val="000643CB"/>
    <w:rsid w:val="00066C2B"/>
    <w:rsid w:val="0007279A"/>
    <w:rsid w:val="00077449"/>
    <w:rsid w:val="00080D5D"/>
    <w:rsid w:val="00086AB7"/>
    <w:rsid w:val="00086D97"/>
    <w:rsid w:val="00091A6A"/>
    <w:rsid w:val="00097ACF"/>
    <w:rsid w:val="000B6494"/>
    <w:rsid w:val="000D75CD"/>
    <w:rsid w:val="000E1D72"/>
    <w:rsid w:val="000E3E81"/>
    <w:rsid w:val="000E437C"/>
    <w:rsid w:val="00110B4C"/>
    <w:rsid w:val="001205B5"/>
    <w:rsid w:val="00122C47"/>
    <w:rsid w:val="00134126"/>
    <w:rsid w:val="00140347"/>
    <w:rsid w:val="00151AE4"/>
    <w:rsid w:val="0015374F"/>
    <w:rsid w:val="00157F7E"/>
    <w:rsid w:val="00173A03"/>
    <w:rsid w:val="00176CD1"/>
    <w:rsid w:val="001866C7"/>
    <w:rsid w:val="001936B9"/>
    <w:rsid w:val="001A1C45"/>
    <w:rsid w:val="001A7E99"/>
    <w:rsid w:val="001B490D"/>
    <w:rsid w:val="001B524A"/>
    <w:rsid w:val="001B59F9"/>
    <w:rsid w:val="001D2216"/>
    <w:rsid w:val="001D2E08"/>
    <w:rsid w:val="00204234"/>
    <w:rsid w:val="002123C1"/>
    <w:rsid w:val="002138FB"/>
    <w:rsid w:val="00216289"/>
    <w:rsid w:val="002208C4"/>
    <w:rsid w:val="00232564"/>
    <w:rsid w:val="00241EA0"/>
    <w:rsid w:val="0024485B"/>
    <w:rsid w:val="00246DCF"/>
    <w:rsid w:val="002477B9"/>
    <w:rsid w:val="00250982"/>
    <w:rsid w:val="002532EB"/>
    <w:rsid w:val="00265233"/>
    <w:rsid w:val="00270450"/>
    <w:rsid w:val="00271EF3"/>
    <w:rsid w:val="00274C20"/>
    <w:rsid w:val="0027628A"/>
    <w:rsid w:val="00284EBF"/>
    <w:rsid w:val="00294F06"/>
    <w:rsid w:val="00297840"/>
    <w:rsid w:val="002B1103"/>
    <w:rsid w:val="002B597C"/>
    <w:rsid w:val="002C106C"/>
    <w:rsid w:val="002C42F9"/>
    <w:rsid w:val="002C5510"/>
    <w:rsid w:val="002D262E"/>
    <w:rsid w:val="002D5C96"/>
    <w:rsid w:val="002F2C2B"/>
    <w:rsid w:val="00307EE3"/>
    <w:rsid w:val="00317F0F"/>
    <w:rsid w:val="00324370"/>
    <w:rsid w:val="003264A5"/>
    <w:rsid w:val="0034124B"/>
    <w:rsid w:val="003725D1"/>
    <w:rsid w:val="00384B28"/>
    <w:rsid w:val="00385BAF"/>
    <w:rsid w:val="00390109"/>
    <w:rsid w:val="003A2B3C"/>
    <w:rsid w:val="003B5992"/>
    <w:rsid w:val="003B678E"/>
    <w:rsid w:val="003C3901"/>
    <w:rsid w:val="003D4984"/>
    <w:rsid w:val="003E3813"/>
    <w:rsid w:val="003F36E8"/>
    <w:rsid w:val="003F49F3"/>
    <w:rsid w:val="00401E80"/>
    <w:rsid w:val="00420244"/>
    <w:rsid w:val="0042055A"/>
    <w:rsid w:val="00426DB0"/>
    <w:rsid w:val="00433DF1"/>
    <w:rsid w:val="0045044A"/>
    <w:rsid w:val="00454450"/>
    <w:rsid w:val="00463C76"/>
    <w:rsid w:val="00466CFE"/>
    <w:rsid w:val="0047094E"/>
    <w:rsid w:val="00470D93"/>
    <w:rsid w:val="00474681"/>
    <w:rsid w:val="00480FDD"/>
    <w:rsid w:val="00496ACB"/>
    <w:rsid w:val="004A5ED4"/>
    <w:rsid w:val="004B20D4"/>
    <w:rsid w:val="004B75D0"/>
    <w:rsid w:val="004C7B6E"/>
    <w:rsid w:val="004D5481"/>
    <w:rsid w:val="004F20A9"/>
    <w:rsid w:val="004F7EF9"/>
    <w:rsid w:val="00501A00"/>
    <w:rsid w:val="00501FA3"/>
    <w:rsid w:val="005078DC"/>
    <w:rsid w:val="00513E6E"/>
    <w:rsid w:val="00517431"/>
    <w:rsid w:val="0051755E"/>
    <w:rsid w:val="00525C13"/>
    <w:rsid w:val="00525EF8"/>
    <w:rsid w:val="00531156"/>
    <w:rsid w:val="00532DB8"/>
    <w:rsid w:val="00543DEC"/>
    <w:rsid w:val="005446D9"/>
    <w:rsid w:val="005540E3"/>
    <w:rsid w:val="0055761F"/>
    <w:rsid w:val="00564838"/>
    <w:rsid w:val="00576267"/>
    <w:rsid w:val="005944CB"/>
    <w:rsid w:val="005951BE"/>
    <w:rsid w:val="00597754"/>
    <w:rsid w:val="00597E42"/>
    <w:rsid w:val="005A1B07"/>
    <w:rsid w:val="005A1B6E"/>
    <w:rsid w:val="005A326D"/>
    <w:rsid w:val="005A55BB"/>
    <w:rsid w:val="005B65AA"/>
    <w:rsid w:val="005C411D"/>
    <w:rsid w:val="005C516B"/>
    <w:rsid w:val="005D2335"/>
    <w:rsid w:val="005E5B60"/>
    <w:rsid w:val="005F03A3"/>
    <w:rsid w:val="006145C2"/>
    <w:rsid w:val="00620458"/>
    <w:rsid w:val="0062654D"/>
    <w:rsid w:val="00636AF4"/>
    <w:rsid w:val="006513E8"/>
    <w:rsid w:val="00653613"/>
    <w:rsid w:val="0066190B"/>
    <w:rsid w:val="00664255"/>
    <w:rsid w:val="006822DD"/>
    <w:rsid w:val="00687ACE"/>
    <w:rsid w:val="00694948"/>
    <w:rsid w:val="00694F24"/>
    <w:rsid w:val="00697BCC"/>
    <w:rsid w:val="006A312B"/>
    <w:rsid w:val="006C6813"/>
    <w:rsid w:val="006C7962"/>
    <w:rsid w:val="006D1906"/>
    <w:rsid w:val="006D4C65"/>
    <w:rsid w:val="006D6A2B"/>
    <w:rsid w:val="006D761D"/>
    <w:rsid w:val="006E4AB7"/>
    <w:rsid w:val="006F3677"/>
    <w:rsid w:val="006F6530"/>
    <w:rsid w:val="00700806"/>
    <w:rsid w:val="00731C92"/>
    <w:rsid w:val="007321E4"/>
    <w:rsid w:val="0074754C"/>
    <w:rsid w:val="007476DD"/>
    <w:rsid w:val="00750B42"/>
    <w:rsid w:val="00754826"/>
    <w:rsid w:val="00760566"/>
    <w:rsid w:val="00761548"/>
    <w:rsid w:val="007709BC"/>
    <w:rsid w:val="0077741D"/>
    <w:rsid w:val="007843CC"/>
    <w:rsid w:val="00787967"/>
    <w:rsid w:val="007906D4"/>
    <w:rsid w:val="007942B1"/>
    <w:rsid w:val="00796658"/>
    <w:rsid w:val="00797A4E"/>
    <w:rsid w:val="007A527E"/>
    <w:rsid w:val="007C7DAF"/>
    <w:rsid w:val="007E0735"/>
    <w:rsid w:val="007E2A6C"/>
    <w:rsid w:val="007E3AFF"/>
    <w:rsid w:val="008313DF"/>
    <w:rsid w:val="00852D66"/>
    <w:rsid w:val="00860C05"/>
    <w:rsid w:val="00871D27"/>
    <w:rsid w:val="008749DC"/>
    <w:rsid w:val="00876EC3"/>
    <w:rsid w:val="00886431"/>
    <w:rsid w:val="00894CE4"/>
    <w:rsid w:val="00896603"/>
    <w:rsid w:val="008A164E"/>
    <w:rsid w:val="008A301D"/>
    <w:rsid w:val="008A3D68"/>
    <w:rsid w:val="008A3EF3"/>
    <w:rsid w:val="008B3463"/>
    <w:rsid w:val="008B370A"/>
    <w:rsid w:val="008C137E"/>
    <w:rsid w:val="008C4DC0"/>
    <w:rsid w:val="008D4438"/>
    <w:rsid w:val="008F6F0B"/>
    <w:rsid w:val="00905813"/>
    <w:rsid w:val="00906BB5"/>
    <w:rsid w:val="009077F3"/>
    <w:rsid w:val="00937E96"/>
    <w:rsid w:val="0095340B"/>
    <w:rsid w:val="00954ED8"/>
    <w:rsid w:val="00957F56"/>
    <w:rsid w:val="00963746"/>
    <w:rsid w:val="00965322"/>
    <w:rsid w:val="009725B2"/>
    <w:rsid w:val="00973AA9"/>
    <w:rsid w:val="009819C8"/>
    <w:rsid w:val="00992D24"/>
    <w:rsid w:val="009941B8"/>
    <w:rsid w:val="009A033D"/>
    <w:rsid w:val="009A752F"/>
    <w:rsid w:val="009B2486"/>
    <w:rsid w:val="009B2A12"/>
    <w:rsid w:val="009C2112"/>
    <w:rsid w:val="009C4D27"/>
    <w:rsid w:val="009D1358"/>
    <w:rsid w:val="009D6956"/>
    <w:rsid w:val="009E67BA"/>
    <w:rsid w:val="009E68CA"/>
    <w:rsid w:val="009F7489"/>
    <w:rsid w:val="00A0549E"/>
    <w:rsid w:val="00A209F7"/>
    <w:rsid w:val="00A21179"/>
    <w:rsid w:val="00A32AA2"/>
    <w:rsid w:val="00A35C20"/>
    <w:rsid w:val="00A456F2"/>
    <w:rsid w:val="00A463E7"/>
    <w:rsid w:val="00A475A7"/>
    <w:rsid w:val="00A53DE5"/>
    <w:rsid w:val="00A609FB"/>
    <w:rsid w:val="00A67BAE"/>
    <w:rsid w:val="00A72260"/>
    <w:rsid w:val="00A74682"/>
    <w:rsid w:val="00A8441D"/>
    <w:rsid w:val="00A90DBE"/>
    <w:rsid w:val="00AB2276"/>
    <w:rsid w:val="00AB6FCF"/>
    <w:rsid w:val="00AD1A88"/>
    <w:rsid w:val="00AD5B1C"/>
    <w:rsid w:val="00AE031F"/>
    <w:rsid w:val="00AE05A2"/>
    <w:rsid w:val="00AE0A7A"/>
    <w:rsid w:val="00AE7FA2"/>
    <w:rsid w:val="00B00706"/>
    <w:rsid w:val="00B27977"/>
    <w:rsid w:val="00B313DE"/>
    <w:rsid w:val="00B35106"/>
    <w:rsid w:val="00B50030"/>
    <w:rsid w:val="00B5234C"/>
    <w:rsid w:val="00B55050"/>
    <w:rsid w:val="00B6776C"/>
    <w:rsid w:val="00B7270F"/>
    <w:rsid w:val="00B77DD6"/>
    <w:rsid w:val="00B80D2F"/>
    <w:rsid w:val="00B91568"/>
    <w:rsid w:val="00B91D2F"/>
    <w:rsid w:val="00BA435A"/>
    <w:rsid w:val="00BA4CF3"/>
    <w:rsid w:val="00BD39B3"/>
    <w:rsid w:val="00BD4F80"/>
    <w:rsid w:val="00BD58F3"/>
    <w:rsid w:val="00BE03C7"/>
    <w:rsid w:val="00BE1A3A"/>
    <w:rsid w:val="00BF1729"/>
    <w:rsid w:val="00BF7B56"/>
    <w:rsid w:val="00C14520"/>
    <w:rsid w:val="00C34D87"/>
    <w:rsid w:val="00C40DF8"/>
    <w:rsid w:val="00C425C8"/>
    <w:rsid w:val="00C52F72"/>
    <w:rsid w:val="00C6406D"/>
    <w:rsid w:val="00C70ACF"/>
    <w:rsid w:val="00C77BBB"/>
    <w:rsid w:val="00C86D0C"/>
    <w:rsid w:val="00CB73C7"/>
    <w:rsid w:val="00CD584A"/>
    <w:rsid w:val="00CF18FB"/>
    <w:rsid w:val="00CF6087"/>
    <w:rsid w:val="00D011A4"/>
    <w:rsid w:val="00D032CE"/>
    <w:rsid w:val="00D17F54"/>
    <w:rsid w:val="00D37373"/>
    <w:rsid w:val="00D416D7"/>
    <w:rsid w:val="00D55305"/>
    <w:rsid w:val="00D75B4D"/>
    <w:rsid w:val="00D76464"/>
    <w:rsid w:val="00D83A2A"/>
    <w:rsid w:val="00D856E2"/>
    <w:rsid w:val="00D878B0"/>
    <w:rsid w:val="00DA3D36"/>
    <w:rsid w:val="00DB7B25"/>
    <w:rsid w:val="00DE07A1"/>
    <w:rsid w:val="00DF66E0"/>
    <w:rsid w:val="00E0757D"/>
    <w:rsid w:val="00E13062"/>
    <w:rsid w:val="00E30F90"/>
    <w:rsid w:val="00E3607A"/>
    <w:rsid w:val="00E609A4"/>
    <w:rsid w:val="00E7301A"/>
    <w:rsid w:val="00E808C7"/>
    <w:rsid w:val="00E82420"/>
    <w:rsid w:val="00EA3429"/>
    <w:rsid w:val="00EE24A7"/>
    <w:rsid w:val="00EE2C70"/>
    <w:rsid w:val="00F0657F"/>
    <w:rsid w:val="00F1037E"/>
    <w:rsid w:val="00F24FF4"/>
    <w:rsid w:val="00F2709C"/>
    <w:rsid w:val="00F31E25"/>
    <w:rsid w:val="00F5534B"/>
    <w:rsid w:val="00F72283"/>
    <w:rsid w:val="00F81F89"/>
    <w:rsid w:val="00F878BB"/>
    <w:rsid w:val="00FA1065"/>
    <w:rsid w:val="00FA1156"/>
    <w:rsid w:val="00FA3DAB"/>
    <w:rsid w:val="00FC26E8"/>
    <w:rsid w:val="00FC35F4"/>
    <w:rsid w:val="00FC771B"/>
    <w:rsid w:val="00FE133D"/>
    <w:rsid w:val="00FE27EB"/>
    <w:rsid w:val="00FF4A4D"/>
    <w:rsid w:val="01AB3BE8"/>
    <w:rsid w:val="02E0598D"/>
    <w:rsid w:val="041D2E96"/>
    <w:rsid w:val="046A5543"/>
    <w:rsid w:val="05424195"/>
    <w:rsid w:val="056B4EA4"/>
    <w:rsid w:val="05761105"/>
    <w:rsid w:val="070157C8"/>
    <w:rsid w:val="07F81459"/>
    <w:rsid w:val="08FB387A"/>
    <w:rsid w:val="094600B4"/>
    <w:rsid w:val="0B352404"/>
    <w:rsid w:val="0B7F02E7"/>
    <w:rsid w:val="0FD313D5"/>
    <w:rsid w:val="100D50FE"/>
    <w:rsid w:val="11DE11E2"/>
    <w:rsid w:val="120D15B9"/>
    <w:rsid w:val="22F23784"/>
    <w:rsid w:val="268C44D8"/>
    <w:rsid w:val="27AB4C25"/>
    <w:rsid w:val="2ED26038"/>
    <w:rsid w:val="2ED45DDD"/>
    <w:rsid w:val="33E54784"/>
    <w:rsid w:val="37C16C4A"/>
    <w:rsid w:val="393D0552"/>
    <w:rsid w:val="39CB58E3"/>
    <w:rsid w:val="3C3F209D"/>
    <w:rsid w:val="42C4731E"/>
    <w:rsid w:val="46E4376B"/>
    <w:rsid w:val="4A5C2802"/>
    <w:rsid w:val="4AAD05D9"/>
    <w:rsid w:val="4E9E754D"/>
    <w:rsid w:val="4ECF14BB"/>
    <w:rsid w:val="501F70B7"/>
    <w:rsid w:val="515F7C02"/>
    <w:rsid w:val="52836018"/>
    <w:rsid w:val="529426C8"/>
    <w:rsid w:val="53441E38"/>
    <w:rsid w:val="53F73D1F"/>
    <w:rsid w:val="5405308B"/>
    <w:rsid w:val="55264138"/>
    <w:rsid w:val="56152E93"/>
    <w:rsid w:val="5A097CFD"/>
    <w:rsid w:val="5DC475FF"/>
    <w:rsid w:val="60F46CC5"/>
    <w:rsid w:val="63AF523B"/>
    <w:rsid w:val="67136EAD"/>
    <w:rsid w:val="6A00454B"/>
    <w:rsid w:val="6A051911"/>
    <w:rsid w:val="6D8A7502"/>
    <w:rsid w:val="704B11CB"/>
    <w:rsid w:val="712D14B4"/>
    <w:rsid w:val="720F384E"/>
    <w:rsid w:val="79147A79"/>
    <w:rsid w:val="79BE67C2"/>
    <w:rsid w:val="7AFE3801"/>
    <w:rsid w:val="7BF33BE1"/>
    <w:rsid w:val="7E635F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仿宋" w:hAnsi="仿宋" w:eastAsia="仿宋"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uto"/>
      <w:ind w:firstLine="200" w:firstLineChars="200"/>
      <w:jc w:val="both"/>
    </w:pPr>
    <w:rPr>
      <w:rFonts w:ascii="仿宋" w:hAnsi="仿宋" w:eastAsia="仿宋" w:cstheme="minorBidi"/>
      <w:kern w:val="2"/>
      <w:sz w:val="32"/>
      <w:szCs w:val="22"/>
      <w:lang w:val="en-US" w:eastAsia="zh-CN" w:bidi="ar-SA"/>
    </w:rPr>
  </w:style>
  <w:style w:type="paragraph" w:styleId="3">
    <w:name w:val="heading 1"/>
    <w:basedOn w:val="1"/>
    <w:next w:val="1"/>
    <w:link w:val="29"/>
    <w:qFormat/>
    <w:uiPriority w:val="0"/>
    <w:pPr>
      <w:spacing w:before="340" w:after="330" w:line="578" w:lineRule="auto"/>
      <w:outlineLvl w:val="0"/>
    </w:pPr>
    <w:rPr>
      <w:rFonts w:eastAsia="黑体"/>
      <w:bCs/>
      <w:kern w:val="44"/>
      <w:sz w:val="36"/>
      <w:szCs w:val="44"/>
    </w:rPr>
  </w:style>
  <w:style w:type="paragraph" w:styleId="4">
    <w:name w:val="heading 2"/>
    <w:basedOn w:val="1"/>
    <w:next w:val="1"/>
    <w:link w:val="30"/>
    <w:unhideWhenUsed/>
    <w:qFormat/>
    <w:uiPriority w:val="0"/>
    <w:pPr>
      <w:keepNext/>
      <w:keepLines/>
      <w:spacing w:before="260" w:after="260" w:line="416" w:lineRule="auto"/>
      <w:outlineLvl w:val="1"/>
    </w:pPr>
    <w:rPr>
      <w:rFonts w:eastAsia="黑体" w:asciiTheme="majorHAnsi" w:hAnsiTheme="majorHAnsi" w:cstheme="majorBidi"/>
      <w:bCs/>
      <w:szCs w:val="32"/>
    </w:rPr>
  </w:style>
  <w:style w:type="paragraph" w:styleId="2">
    <w:name w:val="heading 3"/>
    <w:basedOn w:val="1"/>
    <w:next w:val="1"/>
    <w:link w:val="31"/>
    <w:unhideWhenUsed/>
    <w:qFormat/>
    <w:uiPriority w:val="0"/>
    <w:pPr>
      <w:keepNext/>
      <w:keepLines/>
      <w:spacing w:before="260" w:after="260" w:line="416" w:lineRule="auto"/>
      <w:outlineLvl w:val="2"/>
    </w:pPr>
    <w:rPr>
      <w:rFonts w:eastAsia="楷体"/>
      <w:b/>
      <w:bCs/>
      <w:szCs w:val="32"/>
    </w:rPr>
  </w:style>
  <w:style w:type="paragraph" w:styleId="5">
    <w:name w:val="heading 4"/>
    <w:basedOn w:val="1"/>
    <w:next w:val="1"/>
    <w:link w:val="32"/>
    <w:unhideWhenUsed/>
    <w:qFormat/>
    <w:uiPriority w:val="0"/>
    <w:pPr>
      <w:keepNext/>
      <w:keepLines/>
      <w:spacing w:before="280" w:after="290" w:line="376" w:lineRule="auto"/>
      <w:outlineLvl w:val="3"/>
    </w:pPr>
    <w:rPr>
      <w:rFonts w:asciiTheme="majorHAnsi" w:hAnsiTheme="majorHAnsi" w:cstheme="majorBidi"/>
      <w:b/>
      <w:bCs/>
      <w:szCs w:val="28"/>
    </w:rPr>
  </w:style>
  <w:style w:type="paragraph" w:styleId="6">
    <w:name w:val="heading 5"/>
    <w:basedOn w:val="5"/>
    <w:next w:val="7"/>
    <w:link w:val="33"/>
    <w:qFormat/>
    <w:uiPriority w:val="0"/>
    <w:pPr>
      <w:tabs>
        <w:tab w:val="left" w:pos="864"/>
      </w:tabs>
      <w:ind w:left="864" w:hanging="864" w:firstLineChars="0"/>
      <w:jc w:val="left"/>
      <w:outlineLvl w:val="4"/>
    </w:pPr>
    <w:rPr>
      <w:rFonts w:ascii="Arial" w:hAnsi="Arial" w:eastAsia="黑体" w:cs="Times New Roman"/>
      <w:b w:val="0"/>
      <w:bCs w:val="0"/>
      <w:kern w:val="0"/>
      <w:sz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firstLineChars="0"/>
      <w:jc w:val="left"/>
    </w:pPr>
    <w:rPr>
      <w:rFonts w:ascii="宋体" w:hAnsi="Times New Roman" w:eastAsia="宋体" w:cs="Times New Roman"/>
      <w:kern w:val="0"/>
      <w:sz w:val="21"/>
      <w:szCs w:val="24"/>
    </w:rPr>
  </w:style>
  <w:style w:type="paragraph" w:styleId="8">
    <w:name w:val="annotation text"/>
    <w:basedOn w:val="1"/>
    <w:link w:val="41"/>
    <w:qFormat/>
    <w:uiPriority w:val="0"/>
    <w:pPr>
      <w:widowControl w:val="0"/>
      <w:spacing w:line="240" w:lineRule="auto"/>
      <w:ind w:firstLine="0" w:firstLineChars="0"/>
      <w:jc w:val="left"/>
    </w:pPr>
    <w:rPr>
      <w:sz w:val="21"/>
      <w:szCs w:val="24"/>
    </w:rPr>
  </w:style>
  <w:style w:type="paragraph" w:styleId="9">
    <w:name w:val="Body Text"/>
    <w:basedOn w:val="1"/>
    <w:link w:val="38"/>
    <w:qFormat/>
    <w:uiPriority w:val="0"/>
    <w:pPr>
      <w:widowControl w:val="0"/>
      <w:spacing w:after="120" w:line="240" w:lineRule="auto"/>
      <w:ind w:firstLine="0" w:firstLineChars="0"/>
    </w:pPr>
    <w:rPr>
      <w:sz w:val="21"/>
      <w:szCs w:val="24"/>
    </w:rPr>
  </w:style>
  <w:style w:type="paragraph" w:styleId="10">
    <w:name w:val="Body Text Indent"/>
    <w:basedOn w:val="1"/>
    <w:link w:val="57"/>
    <w:qFormat/>
    <w:uiPriority w:val="0"/>
    <w:pPr>
      <w:spacing w:after="120" w:line="240" w:lineRule="auto"/>
      <w:ind w:left="420" w:leftChars="200" w:firstLine="0" w:firstLineChars="0"/>
      <w:jc w:val="left"/>
    </w:pPr>
    <w:rPr>
      <w:rFonts w:ascii="Times New Roman" w:hAnsi="Times New Roman" w:eastAsia="宋体" w:cs="Times New Roman"/>
      <w:kern w:val="0"/>
      <w:sz w:val="21"/>
      <w:szCs w:val="24"/>
    </w:rPr>
  </w:style>
  <w:style w:type="paragraph" w:styleId="11">
    <w:name w:val="Plain Text"/>
    <w:basedOn w:val="1"/>
    <w:link w:val="37"/>
    <w:qFormat/>
    <w:uiPriority w:val="0"/>
    <w:pPr>
      <w:widowControl w:val="0"/>
      <w:spacing w:line="240" w:lineRule="auto"/>
      <w:ind w:firstLine="0" w:firstLineChars="0"/>
    </w:pPr>
    <w:rPr>
      <w:rFonts w:ascii="宋体" w:hAnsi="Courier New" w:cs="Courier New"/>
      <w:sz w:val="21"/>
      <w:szCs w:val="21"/>
    </w:rPr>
  </w:style>
  <w:style w:type="paragraph" w:styleId="12">
    <w:name w:val="Date"/>
    <w:basedOn w:val="1"/>
    <w:next w:val="1"/>
    <w:link w:val="53"/>
    <w:qFormat/>
    <w:uiPriority w:val="0"/>
    <w:pPr>
      <w:widowControl w:val="0"/>
      <w:spacing w:line="240" w:lineRule="auto"/>
      <w:ind w:left="100" w:leftChars="2500" w:firstLine="0" w:firstLineChars="0"/>
    </w:pPr>
    <w:rPr>
      <w:rFonts w:ascii="Times New Roman" w:hAnsi="Times New Roman" w:eastAsia="宋体" w:cs="Times New Roman"/>
      <w:sz w:val="21"/>
      <w:szCs w:val="24"/>
    </w:rPr>
  </w:style>
  <w:style w:type="paragraph" w:styleId="13">
    <w:name w:val="Body Text Indent 2"/>
    <w:basedOn w:val="1"/>
    <w:link w:val="54"/>
    <w:qFormat/>
    <w:uiPriority w:val="0"/>
    <w:pPr>
      <w:spacing w:after="120" w:line="480" w:lineRule="auto"/>
      <w:ind w:left="420" w:leftChars="200" w:firstLine="0" w:firstLineChars="0"/>
      <w:jc w:val="left"/>
    </w:pPr>
    <w:rPr>
      <w:rFonts w:ascii="Times New Roman" w:hAnsi="Times New Roman" w:eastAsia="宋体" w:cs="Times New Roman"/>
      <w:kern w:val="0"/>
      <w:sz w:val="21"/>
      <w:szCs w:val="24"/>
    </w:rPr>
  </w:style>
  <w:style w:type="paragraph" w:styleId="14">
    <w:name w:val="Balloon Text"/>
    <w:basedOn w:val="1"/>
    <w:link w:val="60"/>
    <w:semiHidden/>
    <w:qFormat/>
    <w:uiPriority w:val="0"/>
    <w:pPr>
      <w:widowControl w:val="0"/>
      <w:spacing w:line="240" w:lineRule="auto"/>
      <w:ind w:firstLine="0" w:firstLineChars="0"/>
    </w:pPr>
    <w:rPr>
      <w:rFonts w:ascii="Times New Roman" w:hAnsi="Times New Roman" w:eastAsia="宋体" w:cs="Times New Roman"/>
      <w:sz w:val="18"/>
      <w:szCs w:val="18"/>
    </w:rPr>
  </w:style>
  <w:style w:type="paragraph" w:styleId="15">
    <w:name w:val="footer"/>
    <w:basedOn w:val="1"/>
    <w:link w:val="51"/>
    <w:qFormat/>
    <w:uiPriority w:val="0"/>
    <w:pPr>
      <w:widowControl w:val="0"/>
      <w:tabs>
        <w:tab w:val="center" w:pos="4153"/>
        <w:tab w:val="right" w:pos="8306"/>
      </w:tabs>
      <w:snapToGrid w:val="0"/>
      <w:spacing w:line="240" w:lineRule="auto"/>
      <w:ind w:firstLine="0" w:firstLineChars="0"/>
      <w:jc w:val="left"/>
    </w:pPr>
    <w:rPr>
      <w:rFonts w:ascii="Times New Roman" w:hAnsi="Times New Roman" w:eastAsia="宋体" w:cs="Times New Roman"/>
      <w:sz w:val="18"/>
      <w:szCs w:val="18"/>
    </w:rPr>
  </w:style>
  <w:style w:type="paragraph" w:styleId="16">
    <w:name w:val="header"/>
    <w:basedOn w:val="1"/>
    <w:link w:val="34"/>
    <w:qFormat/>
    <w:uiPriority w:val="99"/>
    <w:pPr>
      <w:widowControl w:val="0"/>
      <w:pBdr>
        <w:bottom w:val="single" w:color="auto" w:sz="6" w:space="1"/>
      </w:pBdr>
      <w:tabs>
        <w:tab w:val="center" w:pos="4153"/>
        <w:tab w:val="right" w:pos="8306"/>
      </w:tabs>
      <w:snapToGrid w:val="0"/>
      <w:spacing w:line="240" w:lineRule="auto"/>
      <w:ind w:firstLine="0" w:firstLineChars="0"/>
      <w:jc w:val="center"/>
    </w:pPr>
    <w:rPr>
      <w:sz w:val="18"/>
      <w:szCs w:val="18"/>
    </w:rPr>
  </w:style>
  <w:style w:type="paragraph" w:styleId="17">
    <w:name w:val="toc 1"/>
    <w:basedOn w:val="1"/>
    <w:next w:val="1"/>
    <w:semiHidden/>
    <w:qFormat/>
    <w:uiPriority w:val="0"/>
    <w:pPr>
      <w:widowControl w:val="0"/>
      <w:tabs>
        <w:tab w:val="right" w:leader="dot" w:pos="8296"/>
      </w:tabs>
      <w:spacing w:line="240" w:lineRule="auto"/>
      <w:ind w:firstLine="0" w:firstLineChars="0"/>
    </w:pPr>
    <w:rPr>
      <w:rFonts w:ascii="Times New Roman" w:hAnsi="Times New Roman" w:eastAsia="黑体" w:cs="Times New Roman"/>
      <w:szCs w:val="32"/>
    </w:rPr>
  </w:style>
  <w:style w:type="paragraph" w:styleId="18">
    <w:name w:val="Body Text Indent 3"/>
    <w:basedOn w:val="1"/>
    <w:link w:val="43"/>
    <w:qFormat/>
    <w:uiPriority w:val="0"/>
    <w:pPr>
      <w:widowControl w:val="0"/>
      <w:spacing w:after="120" w:line="240" w:lineRule="auto"/>
      <w:ind w:left="420" w:leftChars="200" w:firstLine="0" w:firstLineChars="0"/>
    </w:pPr>
    <w:rPr>
      <w:sz w:val="16"/>
      <w:szCs w:val="16"/>
    </w:rPr>
  </w:style>
  <w:style w:type="paragraph" w:styleId="19">
    <w:name w:val="toc 2"/>
    <w:basedOn w:val="1"/>
    <w:next w:val="1"/>
    <w:qFormat/>
    <w:uiPriority w:val="0"/>
    <w:pPr>
      <w:ind w:left="420" w:firstLine="298" w:firstLineChars="142"/>
      <w:jc w:val="left"/>
    </w:pPr>
    <w:rPr>
      <w:rFonts w:ascii="宋体" w:hAnsi="宋体" w:eastAsia="宋体" w:cs="Times New Roman"/>
      <w:kern w:val="0"/>
      <w:sz w:val="21"/>
      <w:szCs w:val="24"/>
    </w:rPr>
  </w:style>
  <w:style w:type="paragraph" w:styleId="20">
    <w:name w:val="Body Text 2"/>
    <w:basedOn w:val="1"/>
    <w:link w:val="59"/>
    <w:qFormat/>
    <w:uiPriority w:val="0"/>
    <w:pPr>
      <w:widowControl w:val="0"/>
      <w:spacing w:after="120" w:line="480" w:lineRule="auto"/>
      <w:ind w:firstLine="0" w:firstLineChars="0"/>
    </w:pPr>
    <w:rPr>
      <w:rFonts w:ascii="Times New Roman" w:hAnsi="Times New Roman" w:eastAsia="宋体" w:cs="Times New Roman"/>
      <w:sz w:val="21"/>
      <w:szCs w:val="24"/>
    </w:rPr>
  </w:style>
  <w:style w:type="paragraph" w:styleId="21">
    <w:name w:val="Title"/>
    <w:basedOn w:val="1"/>
    <w:next w:val="1"/>
    <w:link w:val="39"/>
    <w:qFormat/>
    <w:uiPriority w:val="0"/>
    <w:pPr>
      <w:widowControl w:val="0"/>
      <w:spacing w:before="240" w:after="60" w:line="240" w:lineRule="auto"/>
      <w:ind w:firstLine="0" w:firstLineChars="0"/>
      <w:jc w:val="center"/>
      <w:outlineLvl w:val="0"/>
    </w:pPr>
    <w:rPr>
      <w:rFonts w:ascii="Cambria" w:hAnsi="Cambria"/>
      <w:b/>
      <w:bCs/>
      <w:szCs w:val="32"/>
    </w:rPr>
  </w:style>
  <w:style w:type="paragraph" w:styleId="22">
    <w:name w:val="annotation subject"/>
    <w:basedOn w:val="8"/>
    <w:next w:val="8"/>
    <w:link w:val="44"/>
    <w:qFormat/>
    <w:uiPriority w:val="0"/>
    <w:rPr>
      <w:b/>
      <w:bCs/>
    </w:rPr>
  </w:style>
  <w:style w:type="paragraph" w:styleId="23">
    <w:name w:val="Body Text First Indent"/>
    <w:basedOn w:val="9"/>
    <w:link w:val="46"/>
    <w:qFormat/>
    <w:uiPriority w:val="0"/>
    <w:pPr>
      <w:spacing w:after="0" w:line="300" w:lineRule="auto"/>
      <w:ind w:firstLine="425"/>
    </w:pPr>
  </w:style>
  <w:style w:type="table" w:styleId="25">
    <w:name w:val="Table Grid"/>
    <w:basedOn w:val="24"/>
    <w:qFormat/>
    <w:uiPriority w:val="59"/>
    <w:pPr>
      <w:widowControl w:val="0"/>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basedOn w:val="26"/>
    <w:qFormat/>
    <w:uiPriority w:val="0"/>
  </w:style>
  <w:style w:type="character" w:styleId="28">
    <w:name w:val="annotation reference"/>
    <w:qFormat/>
    <w:uiPriority w:val="0"/>
    <w:rPr>
      <w:sz w:val="21"/>
      <w:szCs w:val="21"/>
    </w:rPr>
  </w:style>
  <w:style w:type="character" w:customStyle="1" w:styleId="29">
    <w:name w:val="标题 1 字符"/>
    <w:basedOn w:val="26"/>
    <w:link w:val="3"/>
    <w:qFormat/>
    <w:uiPriority w:val="0"/>
    <w:rPr>
      <w:rFonts w:eastAsia="黑体"/>
      <w:bCs/>
      <w:kern w:val="44"/>
      <w:sz w:val="36"/>
      <w:szCs w:val="44"/>
    </w:rPr>
  </w:style>
  <w:style w:type="character" w:customStyle="1" w:styleId="30">
    <w:name w:val="标题 2 字符"/>
    <w:basedOn w:val="26"/>
    <w:link w:val="4"/>
    <w:semiHidden/>
    <w:qFormat/>
    <w:uiPriority w:val="9"/>
    <w:rPr>
      <w:rFonts w:eastAsia="黑体" w:asciiTheme="majorHAnsi" w:hAnsiTheme="majorHAnsi" w:cstheme="majorBidi"/>
      <w:bCs/>
      <w:szCs w:val="32"/>
    </w:rPr>
  </w:style>
  <w:style w:type="character" w:customStyle="1" w:styleId="31">
    <w:name w:val="标题 3 字符"/>
    <w:basedOn w:val="26"/>
    <w:link w:val="2"/>
    <w:qFormat/>
    <w:uiPriority w:val="0"/>
    <w:rPr>
      <w:rFonts w:eastAsia="楷体"/>
      <w:b/>
      <w:bCs/>
      <w:szCs w:val="32"/>
    </w:rPr>
  </w:style>
  <w:style w:type="character" w:customStyle="1" w:styleId="32">
    <w:name w:val="标题 4 字符"/>
    <w:basedOn w:val="26"/>
    <w:link w:val="5"/>
    <w:semiHidden/>
    <w:qFormat/>
    <w:uiPriority w:val="9"/>
    <w:rPr>
      <w:rFonts w:asciiTheme="majorHAnsi" w:hAnsiTheme="majorHAnsi" w:cstheme="majorBidi"/>
      <w:b/>
      <w:bCs/>
      <w:szCs w:val="28"/>
    </w:rPr>
  </w:style>
  <w:style w:type="character" w:customStyle="1" w:styleId="33">
    <w:name w:val="标题 5 字符"/>
    <w:basedOn w:val="26"/>
    <w:link w:val="6"/>
    <w:qFormat/>
    <w:uiPriority w:val="0"/>
    <w:rPr>
      <w:rFonts w:ascii="Arial" w:hAnsi="Arial" w:eastAsia="黑体" w:cs="Times New Roman"/>
      <w:kern w:val="0"/>
      <w:sz w:val="28"/>
      <w:szCs w:val="28"/>
    </w:rPr>
  </w:style>
  <w:style w:type="character" w:customStyle="1" w:styleId="34">
    <w:name w:val="页眉 字符1"/>
    <w:link w:val="16"/>
    <w:qFormat/>
    <w:uiPriority w:val="99"/>
    <w:rPr>
      <w:sz w:val="18"/>
      <w:szCs w:val="18"/>
    </w:rPr>
  </w:style>
  <w:style w:type="character" w:customStyle="1" w:styleId="35">
    <w:name w:val="font31"/>
    <w:qFormat/>
    <w:uiPriority w:val="0"/>
    <w:rPr>
      <w:rFonts w:hint="eastAsia" w:ascii="宋体" w:hAnsi="宋体" w:eastAsia="宋体" w:cs="宋体"/>
      <w:color w:val="FF0000"/>
      <w:sz w:val="18"/>
      <w:szCs w:val="18"/>
      <w:u w:val="none"/>
    </w:rPr>
  </w:style>
  <w:style w:type="character" w:customStyle="1" w:styleId="36">
    <w:name w:val="NormalCharacter"/>
    <w:qFormat/>
    <w:uiPriority w:val="0"/>
  </w:style>
  <w:style w:type="character" w:customStyle="1" w:styleId="37">
    <w:name w:val="纯文本 字符"/>
    <w:link w:val="11"/>
    <w:qFormat/>
    <w:uiPriority w:val="0"/>
    <w:rPr>
      <w:rFonts w:ascii="宋体" w:hAnsi="Courier New" w:cs="Courier New"/>
      <w:sz w:val="21"/>
      <w:szCs w:val="21"/>
    </w:rPr>
  </w:style>
  <w:style w:type="character" w:customStyle="1" w:styleId="38">
    <w:name w:val="正文文本 字符"/>
    <w:link w:val="9"/>
    <w:qFormat/>
    <w:uiPriority w:val="0"/>
    <w:rPr>
      <w:sz w:val="21"/>
      <w:szCs w:val="24"/>
    </w:rPr>
  </w:style>
  <w:style w:type="character" w:customStyle="1" w:styleId="39">
    <w:name w:val="标题 字符"/>
    <w:link w:val="21"/>
    <w:qFormat/>
    <w:uiPriority w:val="0"/>
    <w:rPr>
      <w:rFonts w:ascii="Cambria" w:hAnsi="Cambria"/>
      <w:b/>
      <w:bCs/>
      <w:szCs w:val="32"/>
    </w:rPr>
  </w:style>
  <w:style w:type="character" w:customStyle="1" w:styleId="40">
    <w:name w:val="font01"/>
    <w:qFormat/>
    <w:uiPriority w:val="0"/>
    <w:rPr>
      <w:rFonts w:hint="eastAsia" w:ascii="宋体" w:hAnsi="宋体" w:eastAsia="宋体" w:cs="宋体"/>
      <w:color w:val="000000"/>
      <w:sz w:val="18"/>
      <w:szCs w:val="18"/>
      <w:u w:val="none"/>
    </w:rPr>
  </w:style>
  <w:style w:type="character" w:customStyle="1" w:styleId="41">
    <w:name w:val="批注文字 字符"/>
    <w:link w:val="8"/>
    <w:qFormat/>
    <w:uiPriority w:val="0"/>
    <w:rPr>
      <w:sz w:val="21"/>
      <w:szCs w:val="24"/>
    </w:rPr>
  </w:style>
  <w:style w:type="character" w:customStyle="1" w:styleId="42">
    <w:name w:val="页眉 字符"/>
    <w:qFormat/>
    <w:uiPriority w:val="99"/>
    <w:rPr>
      <w:kern w:val="2"/>
      <w:sz w:val="18"/>
      <w:szCs w:val="18"/>
    </w:rPr>
  </w:style>
  <w:style w:type="character" w:customStyle="1" w:styleId="43">
    <w:name w:val="正文文本缩进 3 字符"/>
    <w:link w:val="18"/>
    <w:qFormat/>
    <w:uiPriority w:val="0"/>
    <w:rPr>
      <w:sz w:val="16"/>
      <w:szCs w:val="16"/>
    </w:rPr>
  </w:style>
  <w:style w:type="character" w:customStyle="1" w:styleId="44">
    <w:name w:val="批注主题 字符"/>
    <w:link w:val="22"/>
    <w:qFormat/>
    <w:uiPriority w:val="0"/>
    <w:rPr>
      <w:b/>
      <w:bCs/>
      <w:sz w:val="21"/>
      <w:szCs w:val="24"/>
    </w:rPr>
  </w:style>
  <w:style w:type="character" w:customStyle="1" w:styleId="45">
    <w:name w:val="节 Char Char"/>
    <w:qFormat/>
    <w:uiPriority w:val="0"/>
    <w:rPr>
      <w:rFonts w:ascii="Arial" w:hAnsi="Arial" w:eastAsia="黑体"/>
      <w:b/>
      <w:kern w:val="2"/>
      <w:sz w:val="32"/>
      <w:lang w:val="en-US" w:eastAsia="zh-CN"/>
    </w:rPr>
  </w:style>
  <w:style w:type="character" w:customStyle="1" w:styleId="46">
    <w:name w:val="正文文本首行缩进 字符"/>
    <w:link w:val="23"/>
    <w:qFormat/>
    <w:uiPriority w:val="0"/>
    <w:rPr>
      <w:sz w:val="21"/>
      <w:szCs w:val="24"/>
    </w:rPr>
  </w:style>
  <w:style w:type="character" w:customStyle="1" w:styleId="47">
    <w:name w:val="Body Text Char1"/>
    <w:basedOn w:val="26"/>
    <w:semiHidden/>
    <w:qFormat/>
    <w:uiPriority w:val="99"/>
  </w:style>
  <w:style w:type="character" w:customStyle="1" w:styleId="48">
    <w:name w:val="Header Char1"/>
    <w:basedOn w:val="26"/>
    <w:semiHidden/>
    <w:qFormat/>
    <w:uiPriority w:val="99"/>
    <w:rPr>
      <w:sz w:val="18"/>
      <w:szCs w:val="18"/>
    </w:rPr>
  </w:style>
  <w:style w:type="character" w:customStyle="1" w:styleId="49">
    <w:name w:val="Comment Text Char1"/>
    <w:basedOn w:val="26"/>
    <w:semiHidden/>
    <w:qFormat/>
    <w:uiPriority w:val="99"/>
  </w:style>
  <w:style w:type="character" w:customStyle="1" w:styleId="50">
    <w:name w:val="Body Text Indent 3 Char1"/>
    <w:basedOn w:val="26"/>
    <w:semiHidden/>
    <w:qFormat/>
    <w:uiPriority w:val="99"/>
    <w:rPr>
      <w:sz w:val="16"/>
      <w:szCs w:val="16"/>
    </w:rPr>
  </w:style>
  <w:style w:type="character" w:customStyle="1" w:styleId="51">
    <w:name w:val="页脚 字符"/>
    <w:basedOn w:val="26"/>
    <w:link w:val="15"/>
    <w:qFormat/>
    <w:uiPriority w:val="0"/>
    <w:rPr>
      <w:rFonts w:ascii="Times New Roman" w:hAnsi="Times New Roman" w:eastAsia="宋体" w:cs="Times New Roman"/>
      <w:sz w:val="18"/>
      <w:szCs w:val="18"/>
    </w:rPr>
  </w:style>
  <w:style w:type="character" w:customStyle="1" w:styleId="52">
    <w:name w:val="Body Text First Indent Char1"/>
    <w:basedOn w:val="47"/>
    <w:semiHidden/>
    <w:qFormat/>
    <w:uiPriority w:val="99"/>
  </w:style>
  <w:style w:type="character" w:customStyle="1" w:styleId="53">
    <w:name w:val="日期 字符"/>
    <w:basedOn w:val="26"/>
    <w:link w:val="12"/>
    <w:qFormat/>
    <w:uiPriority w:val="0"/>
    <w:rPr>
      <w:rFonts w:ascii="Times New Roman" w:hAnsi="Times New Roman" w:eastAsia="宋体" w:cs="Times New Roman"/>
      <w:sz w:val="21"/>
      <w:szCs w:val="24"/>
    </w:rPr>
  </w:style>
  <w:style w:type="character" w:customStyle="1" w:styleId="54">
    <w:name w:val="正文文本缩进 2 字符"/>
    <w:basedOn w:val="26"/>
    <w:link w:val="13"/>
    <w:qFormat/>
    <w:uiPriority w:val="0"/>
    <w:rPr>
      <w:rFonts w:ascii="Times New Roman" w:hAnsi="Times New Roman" w:eastAsia="宋体" w:cs="Times New Roman"/>
      <w:kern w:val="0"/>
      <w:sz w:val="21"/>
      <w:szCs w:val="24"/>
    </w:rPr>
  </w:style>
  <w:style w:type="character" w:customStyle="1" w:styleId="55">
    <w:name w:val="Title Char1"/>
    <w:basedOn w:val="26"/>
    <w:qFormat/>
    <w:uiPriority w:val="10"/>
    <w:rPr>
      <w:rFonts w:asciiTheme="majorHAnsi" w:hAnsiTheme="majorHAnsi" w:eastAsiaTheme="majorEastAsia" w:cstheme="majorBidi"/>
      <w:b/>
      <w:bCs/>
      <w:szCs w:val="32"/>
    </w:rPr>
  </w:style>
  <w:style w:type="character" w:customStyle="1" w:styleId="56">
    <w:name w:val="Plain Text Char1"/>
    <w:basedOn w:val="26"/>
    <w:semiHidden/>
    <w:qFormat/>
    <w:uiPriority w:val="99"/>
    <w:rPr>
      <w:rFonts w:hAnsi="Courier New" w:cs="Courier New" w:asciiTheme="minorEastAsia" w:eastAsiaTheme="minorEastAsia"/>
    </w:rPr>
  </w:style>
  <w:style w:type="character" w:customStyle="1" w:styleId="57">
    <w:name w:val="正文文本缩进 字符"/>
    <w:basedOn w:val="26"/>
    <w:link w:val="10"/>
    <w:qFormat/>
    <w:uiPriority w:val="0"/>
    <w:rPr>
      <w:rFonts w:ascii="Times New Roman" w:hAnsi="Times New Roman" w:eastAsia="宋体" w:cs="Times New Roman"/>
      <w:kern w:val="0"/>
      <w:sz w:val="21"/>
      <w:szCs w:val="24"/>
    </w:rPr>
  </w:style>
  <w:style w:type="character" w:customStyle="1" w:styleId="58">
    <w:name w:val="Comment Subject Char1"/>
    <w:basedOn w:val="49"/>
    <w:semiHidden/>
    <w:qFormat/>
    <w:uiPriority w:val="99"/>
    <w:rPr>
      <w:b/>
      <w:bCs/>
    </w:rPr>
  </w:style>
  <w:style w:type="character" w:customStyle="1" w:styleId="59">
    <w:name w:val="正文文本 2 字符"/>
    <w:basedOn w:val="26"/>
    <w:link w:val="20"/>
    <w:qFormat/>
    <w:uiPriority w:val="0"/>
    <w:rPr>
      <w:rFonts w:ascii="Times New Roman" w:hAnsi="Times New Roman" w:eastAsia="宋体" w:cs="Times New Roman"/>
      <w:sz w:val="21"/>
      <w:szCs w:val="24"/>
    </w:rPr>
  </w:style>
  <w:style w:type="character" w:customStyle="1" w:styleId="60">
    <w:name w:val="批注框文本 字符"/>
    <w:basedOn w:val="26"/>
    <w:link w:val="14"/>
    <w:semiHidden/>
    <w:qFormat/>
    <w:uiPriority w:val="0"/>
    <w:rPr>
      <w:rFonts w:ascii="Times New Roman" w:hAnsi="Times New Roman" w:eastAsia="宋体" w:cs="Times New Roman"/>
      <w:sz w:val="18"/>
      <w:szCs w:val="18"/>
    </w:rPr>
  </w:style>
  <w:style w:type="paragraph" w:customStyle="1" w:styleId="61">
    <w:name w:val="正文5"/>
    <w:basedOn w:val="1"/>
    <w:qFormat/>
    <w:uiPriority w:val="0"/>
    <w:pPr>
      <w:widowControl w:val="0"/>
      <w:ind w:left="500" w:leftChars="500" w:firstLine="0" w:firstLineChars="0"/>
    </w:pPr>
    <w:rPr>
      <w:rFonts w:ascii="宋体" w:hAnsi="Times New Roman" w:eastAsia="宋体" w:cs="Times New Roman"/>
      <w:sz w:val="24"/>
      <w:szCs w:val="24"/>
    </w:rPr>
  </w:style>
  <w:style w:type="paragraph" w:customStyle="1" w:styleId="62">
    <w:name w:val="样式正文"/>
    <w:basedOn w:val="1"/>
    <w:qFormat/>
    <w:uiPriority w:val="0"/>
    <w:pPr>
      <w:widowControl w:val="0"/>
      <w:ind w:left="735" w:hanging="735" w:firstLineChars="0"/>
    </w:pPr>
    <w:rPr>
      <w:rFonts w:ascii="宋体" w:hAnsi="Times New Roman" w:eastAsia="宋体" w:cs="Times New Roman"/>
      <w:sz w:val="24"/>
      <w:szCs w:val="20"/>
    </w:rPr>
  </w:style>
  <w:style w:type="paragraph" w:styleId="63">
    <w:name w:val="List Paragraph"/>
    <w:basedOn w:val="1"/>
    <w:qFormat/>
    <w:uiPriority w:val="99"/>
    <w:pPr>
      <w:widowControl w:val="0"/>
      <w:spacing w:line="240" w:lineRule="auto"/>
      <w:ind w:firstLine="420"/>
    </w:pPr>
    <w:rPr>
      <w:rFonts w:ascii="Calibri" w:hAnsi="Calibri" w:eastAsia="宋体" w:cs="Times New Roman"/>
      <w:sz w:val="21"/>
    </w:rPr>
  </w:style>
  <w:style w:type="paragraph" w:customStyle="1" w:styleId="64">
    <w:name w:val="列出段落1"/>
    <w:basedOn w:val="1"/>
    <w:qFormat/>
    <w:uiPriority w:val="34"/>
    <w:pPr>
      <w:widowControl w:val="0"/>
      <w:spacing w:line="240" w:lineRule="auto"/>
      <w:ind w:firstLine="420"/>
    </w:pPr>
    <w:rPr>
      <w:rFonts w:ascii="Times New Roman" w:hAnsi="Times New Roman" w:eastAsia="宋体" w:cs="Times New Roman"/>
      <w:sz w:val="21"/>
      <w:szCs w:val="24"/>
    </w:rPr>
  </w:style>
  <w:style w:type="paragraph" w:customStyle="1" w:styleId="65">
    <w:name w:val="内容计划书"/>
    <w:basedOn w:val="1"/>
    <w:qFormat/>
    <w:uiPriority w:val="0"/>
    <w:pPr>
      <w:overflowPunct w:val="0"/>
      <w:autoSpaceDE w:val="0"/>
      <w:autoSpaceDN w:val="0"/>
      <w:spacing w:line="460" w:lineRule="exact"/>
      <w:ind w:firstLine="464"/>
      <w:jc w:val="left"/>
    </w:pPr>
    <w:rPr>
      <w:rFonts w:ascii="宋体" w:hAnsi="宋体" w:eastAsia="宋体" w:cs="Times New Roman"/>
      <w:spacing w:val="-4"/>
      <w:kern w:val="0"/>
      <w:sz w:val="24"/>
      <w:szCs w:val="24"/>
      <w:lang w:eastAsia="en-US"/>
    </w:rPr>
  </w:style>
  <w:style w:type="paragraph" w:customStyle="1" w:styleId="66">
    <w:name w:val="Table Paragraph"/>
    <w:basedOn w:val="1"/>
    <w:qFormat/>
    <w:uiPriority w:val="1"/>
    <w:pPr>
      <w:widowControl w:val="0"/>
      <w:spacing w:before="85" w:line="240" w:lineRule="auto"/>
      <w:ind w:firstLine="0" w:firstLineChars="0"/>
      <w:jc w:val="center"/>
    </w:pPr>
    <w:rPr>
      <w:rFonts w:ascii="宋体" w:hAnsi="宋体" w:eastAsia="宋体" w:cs="宋体"/>
      <w:sz w:val="21"/>
      <w:szCs w:val="24"/>
      <w:lang w:eastAsia="en-US" w:bidi="en-US"/>
    </w:rPr>
  </w:style>
  <w:style w:type="paragraph" w:customStyle="1" w:styleId="67">
    <w:name w:val="列出段落3"/>
    <w:basedOn w:val="1"/>
    <w:unhideWhenUsed/>
    <w:qFormat/>
    <w:uiPriority w:val="99"/>
    <w:pPr>
      <w:widowControl w:val="0"/>
      <w:spacing w:line="240" w:lineRule="auto"/>
      <w:ind w:firstLine="420"/>
    </w:pPr>
    <w:rPr>
      <w:rFonts w:ascii="Calibri" w:hAnsi="Calibri" w:eastAsia="宋体" w:cs="Times New Roman"/>
      <w:sz w:val="21"/>
    </w:rPr>
  </w:style>
  <w:style w:type="paragraph" w:customStyle="1" w:styleId="68">
    <w:name w:val="样式1.1"/>
    <w:basedOn w:val="4"/>
    <w:qFormat/>
    <w:uiPriority w:val="0"/>
    <w:pPr>
      <w:keepNext w:val="0"/>
      <w:keepLines w:val="0"/>
      <w:widowControl w:val="0"/>
      <w:snapToGrid w:val="0"/>
      <w:spacing w:beforeLines="50" w:afterLines="50" w:line="360" w:lineRule="auto"/>
      <w:ind w:firstLine="0" w:firstLineChars="0"/>
      <w:jc w:val="center"/>
    </w:pPr>
    <w:rPr>
      <w:rFonts w:ascii="宋体" w:hAnsi="宋体" w:eastAsia="宋体" w:cs="Times New Roman"/>
      <w:bCs w:val="0"/>
      <w:kern w:val="0"/>
      <w:sz w:val="24"/>
      <w:szCs w:val="20"/>
    </w:rPr>
  </w:style>
  <w:style w:type="paragraph" w:customStyle="1" w:styleId="69">
    <w:name w:val="bt1bt1"/>
    <w:basedOn w:val="3"/>
    <w:qFormat/>
    <w:uiPriority w:val="0"/>
    <w:pPr>
      <w:keepNext/>
      <w:keepLines/>
      <w:widowControl w:val="0"/>
      <w:spacing w:line="240" w:lineRule="auto"/>
      <w:ind w:firstLine="0" w:firstLineChars="0"/>
      <w:jc w:val="center"/>
    </w:pPr>
    <w:rPr>
      <w:rFonts w:ascii="黑体" w:hAnsi="Times New Roman" w:cs="Times New Roman"/>
      <w:szCs w:val="36"/>
    </w:rPr>
  </w:style>
  <w:style w:type="table" w:customStyle="1" w:styleId="70">
    <w:name w:val="网格型1"/>
    <w:basedOn w:val="24"/>
    <w:qFormat/>
    <w:locked/>
    <w:uiPriority w:val="0"/>
    <w:pPr>
      <w:widowControl w:val="0"/>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1">
    <w:name w:val="公文正文"/>
    <w:basedOn w:val="1"/>
    <w:qFormat/>
    <w:uiPriority w:val="0"/>
    <w:rPr>
      <w:rFonts w:ascii="Times New Roman" w:hAnsi="Times New Roman" w:eastAsia="仿宋_GB231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C51562-4C2E-4FDA-A32A-1F41954E9AD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10890</Words>
  <Characters>11365</Characters>
  <Lines>14</Lines>
  <Paragraphs>25</Paragraphs>
  <TotalTime>46</TotalTime>
  <ScaleCrop>false</ScaleCrop>
  <LinksUpToDate>false</LinksUpToDate>
  <CharactersWithSpaces>11957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2021-12-27T03:15:00Z</dcterms:created>
  <dc:creator>Angel HT Zhao</dc:creator>
  <cp:lastModifiedBy>阳光一生</cp:lastModifiedBy>
  <cp:lastPrinted>2022-04-14T10:37:00Z</cp:lastPrinted>
  <dcterms:modified xsi:type="dcterms:W3CDTF">2022-04-14T13:28:48Z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5295F420092F4E11A375558441DDE093</vt:lpwstr>
  </property>
</Properties>
</file>