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640"/>
        <w:jc w:val="right"/>
        <w:rPr>
          <w:rFonts w:hint="eastAsia" w:ascii="宋体" w:hAnsi="宋体" w:eastAsia="宋体" w:cs="Times New Roman"/>
          <w:bCs/>
          <w:color w:val="auto"/>
          <w:spacing w:val="26"/>
          <w:sz w:val="110"/>
          <w:szCs w:val="110"/>
          <w:lang w:eastAsia="zh-CN"/>
        </w:rPr>
      </w:pPr>
      <w:r>
        <w:rPr>
          <w:rFonts w:hint="eastAsia" w:ascii="宋体" w:hAnsi="宋体" w:eastAsia="宋体" w:cs="Times New Roman"/>
          <w:bCs/>
          <w:color w:val="auto"/>
          <w:szCs w:val="32"/>
        </w:rPr>
        <w:t xml:space="preserve">                     项目编号：</w:t>
      </w:r>
      <w:r>
        <w:rPr>
          <w:rFonts w:hint="eastAsia" w:ascii="宋体" w:hAnsi="宋体" w:eastAsia="宋体" w:cs="Times New Roman"/>
          <w:bCs/>
          <w:color w:val="auto"/>
          <w:szCs w:val="32"/>
          <w:lang w:eastAsia="zh-CN"/>
        </w:rPr>
        <w:t>zfcg-fw-20220413-001</w:t>
      </w:r>
    </w:p>
    <w:p>
      <w:pPr>
        <w:widowControl w:val="0"/>
        <w:ind w:firstLine="0" w:firstLineChars="0"/>
        <w:jc w:val="center"/>
        <w:rPr>
          <w:rFonts w:ascii="宋体" w:hAnsi="宋体" w:eastAsia="宋体" w:cs="宋体"/>
          <w:color w:val="auto"/>
          <w:szCs w:val="32"/>
        </w:rPr>
      </w:pPr>
      <w:bookmarkStart w:id="50" w:name="_GoBack"/>
      <w:bookmarkEnd w:id="50"/>
    </w:p>
    <w:p>
      <w:pPr>
        <w:widowControl w:val="0"/>
        <w:ind w:firstLine="0" w:firstLineChars="0"/>
        <w:jc w:val="center"/>
        <w:rPr>
          <w:rFonts w:ascii="宋体" w:hAnsi="宋体" w:eastAsia="宋体" w:cs="宋体"/>
          <w:color w:val="auto"/>
          <w:szCs w:val="32"/>
        </w:rPr>
      </w:pPr>
    </w:p>
    <w:p>
      <w:pPr>
        <w:widowControl w:val="0"/>
        <w:ind w:firstLine="0" w:firstLineChars="0"/>
        <w:jc w:val="center"/>
        <w:rPr>
          <w:rFonts w:ascii="宋体" w:hAnsi="宋体" w:eastAsia="宋体" w:cs="宋体"/>
          <w:b/>
          <w:bCs/>
          <w:color w:val="auto"/>
          <w:sz w:val="36"/>
          <w:szCs w:val="36"/>
        </w:rPr>
      </w:pPr>
    </w:p>
    <w:p>
      <w:pPr>
        <w:widowControl w:val="0"/>
        <w:spacing w:line="560" w:lineRule="exact"/>
        <w:ind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Cs/>
          <w:color w:val="auto"/>
          <w:sz w:val="44"/>
          <w:szCs w:val="44"/>
          <w:lang w:eastAsia="zh-CN"/>
        </w:rPr>
        <w:t>海口江东新区CBD起步区南片区概念设计方案（二次采购）</w:t>
      </w:r>
    </w:p>
    <w:p>
      <w:pPr>
        <w:widowControl w:val="0"/>
        <w:ind w:firstLine="0" w:firstLineChars="0"/>
        <w:jc w:val="center"/>
        <w:rPr>
          <w:rFonts w:ascii="宋体" w:hAnsi="宋体" w:eastAsia="宋体" w:cs="Times New Roman"/>
          <w:bCs/>
          <w:color w:val="auto"/>
          <w:spacing w:val="26"/>
          <w:sz w:val="50"/>
          <w:szCs w:val="50"/>
          <w:u w:val="single"/>
        </w:rPr>
      </w:pPr>
    </w:p>
    <w:p>
      <w:pPr>
        <w:widowControl w:val="0"/>
        <w:ind w:firstLine="0" w:firstLineChars="0"/>
        <w:jc w:val="center"/>
        <w:rPr>
          <w:rFonts w:hint="default" w:ascii="宋体" w:hAnsi="宋体" w:eastAsia="宋体" w:cs="Times New Roman"/>
          <w:b/>
          <w:bCs/>
          <w:color w:val="auto"/>
          <w:spacing w:val="26"/>
          <w:sz w:val="96"/>
          <w:szCs w:val="96"/>
          <w:lang w:val="en-US" w:eastAsia="zh-CN"/>
        </w:rPr>
      </w:pPr>
      <w:r>
        <w:rPr>
          <w:rFonts w:hint="eastAsia" w:ascii="宋体" w:hAnsi="宋体" w:eastAsia="宋体" w:cs="Times New Roman"/>
          <w:b/>
          <w:bCs/>
          <w:color w:val="auto"/>
          <w:spacing w:val="26"/>
          <w:sz w:val="96"/>
          <w:szCs w:val="96"/>
        </w:rPr>
        <w:t>采购比选文件</w:t>
      </w:r>
    </w:p>
    <w:p>
      <w:pPr>
        <w:widowControl w:val="0"/>
        <w:ind w:firstLine="0" w:firstLineChars="0"/>
        <w:jc w:val="center"/>
        <w:rPr>
          <w:rFonts w:ascii="宋体" w:hAnsi="宋体" w:eastAsia="宋体" w:cs="Times New Roman"/>
          <w:b/>
          <w:color w:val="auto"/>
          <w:szCs w:val="32"/>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48"/>
          <w:szCs w:val="48"/>
        </w:rPr>
      </w:pPr>
    </w:p>
    <w:p>
      <w:pPr>
        <w:widowControl w:val="0"/>
        <w:ind w:firstLine="0" w:firstLineChars="0"/>
        <w:jc w:val="center"/>
        <w:rPr>
          <w:rFonts w:ascii="宋体" w:hAnsi="宋体" w:eastAsia="宋体" w:cs="Times New Roman"/>
          <w:b/>
          <w:bCs/>
          <w:color w:val="auto"/>
          <w:spacing w:val="26"/>
          <w:sz w:val="15"/>
          <w:szCs w:val="15"/>
        </w:rPr>
      </w:pPr>
    </w:p>
    <w:p>
      <w:pPr>
        <w:widowControl w:val="0"/>
        <w:ind w:firstLine="0" w:firstLineChars="0"/>
        <w:jc w:val="center"/>
        <w:rPr>
          <w:rFonts w:ascii="宋体" w:hAnsi="宋体" w:eastAsia="宋体" w:cs="Times New Roman"/>
          <w:color w:val="auto"/>
          <w:szCs w:val="32"/>
        </w:rPr>
      </w:pPr>
      <w:r>
        <w:rPr>
          <w:rFonts w:hint="eastAsia" w:ascii="宋体" w:hAnsi="宋体" w:eastAsia="宋体" w:cs="Times New Roman"/>
          <w:color w:val="auto"/>
          <w:szCs w:val="32"/>
        </w:rPr>
        <w:t>采购单位：海口江东新区管理局</w:t>
      </w:r>
    </w:p>
    <w:p>
      <w:pPr>
        <w:widowControl w:val="0"/>
        <w:ind w:firstLine="0" w:firstLineChars="0"/>
        <w:rPr>
          <w:rFonts w:ascii="宋体" w:hAnsi="宋体" w:eastAsia="宋体" w:cs="Times New Roman"/>
          <w:color w:val="auto"/>
          <w:sz w:val="30"/>
          <w:szCs w:val="30"/>
          <w:u w:val="single"/>
        </w:rPr>
      </w:pPr>
    </w:p>
    <w:p>
      <w:pPr>
        <w:widowControl w:val="0"/>
        <w:ind w:firstLine="0" w:firstLineChars="0"/>
        <w:jc w:val="center"/>
        <w:rPr>
          <w:rFonts w:ascii="宋体" w:hAnsi="宋体" w:eastAsia="宋体" w:cs="Times New Roman"/>
          <w:color w:val="auto"/>
          <w:szCs w:val="24"/>
        </w:rPr>
      </w:pPr>
    </w:p>
    <w:p>
      <w:pPr>
        <w:widowControl w:val="0"/>
        <w:ind w:firstLine="0" w:firstLineChars="0"/>
        <w:jc w:val="center"/>
        <w:rPr>
          <w:rFonts w:ascii="宋体" w:hAnsi="宋体" w:eastAsia="宋体" w:cs="Times New Roman"/>
          <w:color w:val="auto"/>
          <w:szCs w:val="24"/>
        </w:rPr>
      </w:pPr>
      <w:r>
        <w:rPr>
          <w:rFonts w:hint="eastAsia" w:ascii="宋体" w:hAnsi="宋体" w:eastAsia="宋体" w:cs="Times New Roman"/>
          <w:color w:val="auto"/>
          <w:szCs w:val="24"/>
        </w:rPr>
        <w:t>日   期：</w:t>
      </w:r>
      <w:r>
        <w:rPr>
          <w:rFonts w:hint="eastAsia" w:ascii="宋体" w:hAnsi="宋体" w:eastAsia="宋体" w:cs="Times New Roman"/>
          <w:color w:val="auto"/>
          <w:szCs w:val="24"/>
          <w:u w:val="single"/>
        </w:rPr>
        <w:t xml:space="preserve"> 202</w:t>
      </w:r>
      <w:r>
        <w:rPr>
          <w:rFonts w:hint="eastAsia" w:ascii="宋体" w:hAnsi="宋体" w:eastAsia="宋体" w:cs="Times New Roman"/>
          <w:color w:val="auto"/>
          <w:szCs w:val="24"/>
          <w:u w:val="single"/>
          <w:lang w:val="en-US" w:eastAsia="zh-CN"/>
        </w:rPr>
        <w:t>2</w:t>
      </w:r>
      <w:r>
        <w:rPr>
          <w:rFonts w:hint="eastAsia" w:ascii="宋体" w:hAnsi="宋体" w:eastAsia="宋体" w:cs="Times New Roman"/>
          <w:color w:val="auto"/>
          <w:szCs w:val="24"/>
        </w:rPr>
        <w:t>年</w:t>
      </w:r>
      <w:r>
        <w:rPr>
          <w:rFonts w:ascii="宋体" w:hAnsi="宋体" w:eastAsia="宋体" w:cs="Times New Roman"/>
          <w:color w:val="auto"/>
          <w:szCs w:val="24"/>
          <w:u w:val="single"/>
        </w:rPr>
        <w:t xml:space="preserve"> </w:t>
      </w:r>
      <w:r>
        <w:rPr>
          <w:rFonts w:hint="eastAsia" w:ascii="宋体" w:hAnsi="宋体" w:eastAsia="宋体" w:cs="Times New Roman"/>
          <w:color w:val="auto"/>
          <w:szCs w:val="24"/>
          <w:u w:val="single"/>
          <w:lang w:val="en-US" w:eastAsia="zh-CN"/>
        </w:rPr>
        <w:t>4</w:t>
      </w:r>
      <w:r>
        <w:rPr>
          <w:rFonts w:ascii="宋体" w:hAnsi="宋体" w:eastAsia="宋体" w:cs="Times New Roman"/>
          <w:color w:val="auto"/>
          <w:szCs w:val="24"/>
          <w:u w:val="single"/>
        </w:rPr>
        <w:t xml:space="preserve"> </w:t>
      </w:r>
      <w:r>
        <w:rPr>
          <w:rFonts w:hint="eastAsia" w:ascii="宋体" w:hAnsi="宋体" w:eastAsia="宋体" w:cs="Times New Roman"/>
          <w:color w:val="auto"/>
          <w:szCs w:val="24"/>
        </w:rPr>
        <w:t>月</w:t>
      </w:r>
    </w:p>
    <w:p>
      <w:pPr>
        <w:widowControl w:val="0"/>
        <w:ind w:firstLine="0" w:firstLineChars="0"/>
        <w:jc w:val="center"/>
        <w:rPr>
          <w:rFonts w:ascii="宋体" w:hAnsi="宋体" w:eastAsia="宋体" w:cs="Times New Roman"/>
          <w:b/>
          <w:color w:val="auto"/>
          <w:sz w:val="40"/>
          <w:szCs w:val="40"/>
        </w:rPr>
      </w:pPr>
    </w:p>
    <w:p>
      <w:pPr>
        <w:widowControl w:val="0"/>
        <w:ind w:firstLine="0" w:firstLineChars="0"/>
        <w:jc w:val="center"/>
        <w:rPr>
          <w:rFonts w:ascii="宋体" w:hAnsi="宋体" w:eastAsia="宋体" w:cs="Times New Roman"/>
          <w:b/>
          <w:color w:val="auto"/>
          <w:sz w:val="40"/>
          <w:szCs w:val="40"/>
        </w:rPr>
      </w:pPr>
    </w:p>
    <w:p>
      <w:pPr>
        <w:widowControl w:val="0"/>
        <w:ind w:firstLine="803"/>
        <w:jc w:val="center"/>
        <w:rPr>
          <w:rFonts w:ascii="宋体" w:hAnsi="宋体" w:eastAsia="宋体" w:cs="Times New Roman"/>
          <w:b/>
          <w:color w:val="auto"/>
          <w:sz w:val="40"/>
          <w:szCs w:val="40"/>
        </w:rPr>
      </w:pPr>
      <w:r>
        <w:rPr>
          <w:rFonts w:hint="eastAsia" w:ascii="宋体" w:hAnsi="宋体" w:eastAsia="宋体" w:cs="Times New Roman"/>
          <w:b/>
          <w:color w:val="auto"/>
          <w:sz w:val="40"/>
          <w:szCs w:val="40"/>
        </w:rPr>
        <w:t>目   录</w:t>
      </w:r>
    </w:p>
    <w:p>
      <w:pPr>
        <w:widowControl w:val="0"/>
        <w:ind w:firstLine="803"/>
        <w:rPr>
          <w:rFonts w:ascii="宋体" w:hAnsi="宋体" w:eastAsia="宋体" w:cs="Times New Roman"/>
          <w:b/>
          <w:color w:val="auto"/>
          <w:sz w:val="40"/>
          <w:szCs w:val="40"/>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第一章  比选公告</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第二章  比选单位须知</w:t>
      </w:r>
    </w:p>
    <w:p>
      <w:pPr>
        <w:widowControl w:val="0"/>
        <w:autoSpaceDE w:val="0"/>
        <w:autoSpaceDN w:val="0"/>
        <w:adjustRightInd w:val="0"/>
        <w:ind w:firstLine="643"/>
        <w:rPr>
          <w:rFonts w:ascii="宋体" w:hAnsi="宋体" w:eastAsia="宋体" w:cs="Times New Roman"/>
          <w:b/>
          <w:bCs/>
          <w:color w:val="auto"/>
          <w:szCs w:val="32"/>
        </w:rPr>
      </w:pPr>
      <w:r>
        <w:rPr>
          <w:rFonts w:ascii="宋体" w:hAnsi="宋体" w:eastAsia="宋体" w:cs="Times New Roman"/>
          <w:b/>
          <w:bCs/>
          <w:color w:val="auto"/>
          <w:szCs w:val="32"/>
        </w:rPr>
        <w:tab/>
      </w: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第三章  服务内容及要求</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第四章  项目评审说明</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第五章  比选响应文件格式</w:t>
      </w:r>
    </w:p>
    <w:p>
      <w:pPr>
        <w:widowControl w:val="0"/>
        <w:autoSpaceDE w:val="0"/>
        <w:autoSpaceDN w:val="0"/>
        <w:adjustRightInd w:val="0"/>
        <w:ind w:firstLine="643"/>
        <w:rPr>
          <w:rFonts w:ascii="宋体" w:hAnsi="宋体" w:eastAsia="宋体" w:cs="Times New Roman"/>
          <w:b/>
          <w:bCs/>
          <w:color w:val="auto"/>
          <w:szCs w:val="32"/>
        </w:rPr>
      </w:pPr>
    </w:p>
    <w:p>
      <w:pPr>
        <w:widowControl w:val="0"/>
        <w:autoSpaceDE w:val="0"/>
        <w:autoSpaceDN w:val="0"/>
        <w:adjustRightInd w:val="0"/>
        <w:ind w:firstLine="643"/>
        <w:rPr>
          <w:rFonts w:ascii="宋体" w:hAnsi="宋体" w:eastAsia="宋体" w:cs="Times New Roman"/>
          <w:b/>
          <w:bCs/>
          <w:color w:val="auto"/>
          <w:szCs w:val="32"/>
        </w:rPr>
      </w:pPr>
      <w:r>
        <w:rPr>
          <w:rFonts w:hint="eastAsia" w:ascii="宋体" w:hAnsi="宋体" w:eastAsia="宋体" w:cs="Times New Roman"/>
          <w:b/>
          <w:bCs/>
          <w:color w:val="auto"/>
          <w:szCs w:val="32"/>
        </w:rPr>
        <w:t>第六章  项目合同模板</w:t>
      </w:r>
    </w:p>
    <w:p>
      <w:pPr>
        <w:widowControl w:val="0"/>
        <w:ind w:firstLine="420"/>
        <w:rPr>
          <w:rFonts w:ascii="Times New Roman" w:hAnsi="Times New Roman" w:eastAsia="宋体" w:cs="Times New Roman"/>
          <w:color w:val="auto"/>
          <w:sz w:val="21"/>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titlePg/>
          <w:docGrid w:linePitch="312" w:charSpace="0"/>
        </w:sectPr>
      </w:pPr>
    </w:p>
    <w:p>
      <w:pPr>
        <w:pStyle w:val="2"/>
        <w:adjustRightInd w:val="0"/>
        <w:snapToGrid w:val="0"/>
        <w:spacing w:before="0" w:after="0" w:line="560" w:lineRule="exact"/>
        <w:ind w:firstLine="0" w:firstLineChars="0"/>
        <w:jc w:val="center"/>
        <w:rPr>
          <w:color w:val="auto"/>
        </w:rPr>
      </w:pPr>
      <w:r>
        <w:rPr>
          <w:rFonts w:hint="eastAsia" w:ascii="Times New Roman" w:hAnsi="Times New Roman" w:eastAsia="宋体" w:cs="Times New Roman"/>
          <w:bCs w:val="0"/>
          <w:color w:val="auto"/>
          <w:sz w:val="36"/>
          <w:szCs w:val="36"/>
        </w:rPr>
        <w:t>第一章比选公告</w:t>
      </w:r>
    </w:p>
    <w:p>
      <w:pPr>
        <w:pStyle w:val="2"/>
        <w:adjustRightInd w:val="0"/>
        <w:snapToGrid w:val="0"/>
        <w:spacing w:before="0" w:after="0" w:line="560" w:lineRule="exact"/>
        <w:ind w:firstLine="482"/>
        <w:rPr>
          <w:rFonts w:ascii="宋体" w:hAnsi="宋体" w:eastAsia="宋体" w:cs="宋体"/>
          <w:color w:val="auto"/>
          <w:sz w:val="24"/>
          <w:szCs w:val="24"/>
        </w:rPr>
      </w:pP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一 项目情况</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采购单位：海口江东新区管理局；</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r>
        <w:rPr>
          <w:rFonts w:hint="eastAsia" w:ascii="宋体" w:hAnsi="宋体" w:eastAsia="宋体" w:cs="宋体"/>
          <w:b w:val="0"/>
          <w:bCs w:val="0"/>
          <w:color w:val="auto"/>
          <w:sz w:val="24"/>
          <w:szCs w:val="24"/>
          <w:lang w:eastAsia="zh-CN"/>
        </w:rPr>
        <w:t>海口江东新区CBD起步区南片区概念设计方案</w:t>
      </w:r>
      <w:r>
        <w:rPr>
          <w:rFonts w:hint="eastAsia" w:ascii="宋体" w:hAnsi="宋体" w:eastAsia="宋体" w:cs="宋体"/>
          <w:b w:val="0"/>
          <w:bCs w:val="0"/>
          <w:color w:val="auto"/>
          <w:sz w:val="24"/>
          <w:szCs w:val="24"/>
          <w:lang w:val="en-US" w:eastAsia="zh-CN"/>
        </w:rPr>
        <w:t>(二次采购）</w:t>
      </w:r>
      <w:r>
        <w:rPr>
          <w:rFonts w:hint="eastAsia" w:ascii="宋体" w:hAnsi="宋体" w:eastAsia="宋体" w:cs="宋体"/>
          <w:b w:val="0"/>
          <w:bCs w:val="0"/>
          <w:color w:val="auto"/>
          <w:sz w:val="24"/>
          <w:szCs w:val="24"/>
        </w:rPr>
        <w:t>；</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比选编号：</w:t>
      </w:r>
      <w:r>
        <w:rPr>
          <w:rFonts w:hint="eastAsia" w:ascii="宋体" w:hAnsi="宋体" w:eastAsia="宋体" w:cs="宋体"/>
          <w:b w:val="0"/>
          <w:bCs w:val="0"/>
          <w:color w:val="auto"/>
          <w:sz w:val="24"/>
          <w:szCs w:val="24"/>
          <w:lang w:eastAsia="zh-CN"/>
        </w:rPr>
        <w:t>zfcg-fw-20220413-001</w:t>
      </w:r>
      <w:r>
        <w:rPr>
          <w:rFonts w:hint="eastAsia" w:ascii="宋体" w:hAnsi="宋体" w:eastAsia="宋体" w:cs="宋体"/>
          <w:b w:val="0"/>
          <w:bCs w:val="0"/>
          <w:color w:val="auto"/>
          <w:sz w:val="24"/>
          <w:szCs w:val="24"/>
        </w:rPr>
        <w:t>；</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项目资金来源：预算资金；</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项目地点：海口江东新区；</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项目比选内容：本次比选项目通过对比选单位综合实力的评审以及比选响应文件的质量评审，选择高水平的专业服务团队；</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最高限价：人民币</w:t>
      </w:r>
      <w:r>
        <w:rPr>
          <w:rFonts w:hint="eastAsia" w:ascii="宋体" w:hAnsi="宋体" w:eastAsia="宋体" w:cs="宋体"/>
          <w:b w:val="0"/>
          <w:bCs w:val="0"/>
          <w:color w:val="auto"/>
          <w:sz w:val="24"/>
          <w:szCs w:val="24"/>
          <w:lang w:val="en-US" w:eastAsia="zh-CN"/>
        </w:rPr>
        <w:t>65</w:t>
      </w:r>
      <w:r>
        <w:rPr>
          <w:rFonts w:hint="eastAsia" w:ascii="宋体" w:hAnsi="宋体" w:eastAsia="宋体" w:cs="宋体"/>
          <w:b w:val="0"/>
          <w:bCs w:val="0"/>
          <w:color w:val="auto"/>
          <w:sz w:val="24"/>
          <w:szCs w:val="24"/>
        </w:rPr>
        <w:t>万元（不含</w:t>
      </w:r>
      <w:r>
        <w:rPr>
          <w:rFonts w:hint="eastAsia" w:ascii="宋体" w:hAnsi="宋体" w:eastAsia="宋体" w:cs="宋体"/>
          <w:b w:val="0"/>
          <w:bCs w:val="0"/>
          <w:color w:val="auto"/>
          <w:sz w:val="24"/>
          <w:szCs w:val="24"/>
          <w:lang w:val="en-US" w:eastAsia="zh-CN"/>
        </w:rPr>
        <w:t>65</w:t>
      </w:r>
      <w:r>
        <w:rPr>
          <w:rFonts w:hint="eastAsia" w:ascii="宋体" w:hAnsi="宋体" w:eastAsia="宋体" w:cs="宋体"/>
          <w:b w:val="0"/>
          <w:bCs w:val="0"/>
          <w:color w:val="auto"/>
          <w:sz w:val="24"/>
          <w:szCs w:val="24"/>
        </w:rPr>
        <w:t>万）；</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质量要求：符合采购单位的要求；</w:t>
      </w:r>
    </w:p>
    <w:p>
      <w:pPr>
        <w:pStyle w:val="2"/>
        <w:numPr>
          <w:ilvl w:val="0"/>
          <w:numId w:val="1"/>
        </w:numPr>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服务期限：2022年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31</w:t>
      </w:r>
      <w:r>
        <w:rPr>
          <w:rFonts w:hint="eastAsia" w:ascii="宋体" w:hAnsi="宋体" w:eastAsia="宋体" w:cs="宋体"/>
          <w:b w:val="0"/>
          <w:bCs w:val="0"/>
          <w:color w:val="auto"/>
          <w:sz w:val="24"/>
          <w:szCs w:val="24"/>
        </w:rPr>
        <w:t>日前完成。</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二 报名单位资质要求</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（一）必须是在中华人民共和国境内合法注册的独立法人，具有法定履行合同的资格与能力，遵守国家有关法律、法规，具有良好的商业信誉和健全的财务会计制度。</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（二）未被“信用中国”列入失信被执行人和重大税收违法案件当事人名单、未被中国政府采购网列入政府采购严重违法失信行为记录名单。</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（三）本项目不接受联合体参加比选。</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三 比选文件获取时间及方式</w:t>
      </w:r>
    </w:p>
    <w:p>
      <w:pPr>
        <w:pStyle w:val="2"/>
        <w:adjustRightInd w:val="0"/>
        <w:snapToGrid w:val="0"/>
        <w:spacing w:before="0" w:after="0" w:line="560" w:lineRule="exact"/>
        <w:ind w:firstLine="480"/>
        <w:rPr>
          <w:rFonts w:ascii="宋体" w:hAnsi="宋体" w:eastAsia="宋体" w:cs="宋体"/>
          <w:color w:val="auto"/>
          <w:sz w:val="24"/>
        </w:rPr>
      </w:pPr>
      <w:r>
        <w:rPr>
          <w:rFonts w:hint="eastAsia" w:ascii="宋体" w:hAnsi="宋体" w:eastAsia="宋体" w:cs="宋体"/>
          <w:b w:val="0"/>
          <w:bCs w:val="0"/>
          <w:color w:val="auto"/>
          <w:sz w:val="24"/>
          <w:szCs w:val="24"/>
        </w:rPr>
        <w:t>（一）比选文件获取时间： 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日00时00分至202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日23点59分（北京时间）；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（二）比选文件获取方式：请有意向参与本项目采购活动的单位在比选公告界面自行下载比选文件。</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四 比选响应文件的递交及开标时间、地点信息</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（一）响应文件递交截止时间：202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日15时整；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（二）开标时间：202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日15时整；</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（三）响应文件递交地点：海口市美兰区兴洋大道181号江东新区政务服务中心208室；</w:t>
      </w:r>
    </w:p>
    <w:p>
      <w:pPr>
        <w:pStyle w:val="2"/>
        <w:adjustRightInd w:val="0"/>
        <w:snapToGrid w:val="0"/>
        <w:spacing w:before="0" w:after="0" w:line="560" w:lineRule="exact"/>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（四）逾期送达或未送达指定地点的响应文件，采购人将不予受理。</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五 发布公告的媒介</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本项目比选公告仅在江东新区管理局官网发布。</w:t>
      </w:r>
    </w:p>
    <w:p>
      <w:pPr>
        <w:pStyle w:val="2"/>
        <w:adjustRightInd w:val="0"/>
        <w:snapToGrid w:val="0"/>
        <w:spacing w:before="0" w:after="0" w:line="56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六 联系方式</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采购人：海口江东新区管理局</w:t>
      </w:r>
    </w:p>
    <w:p>
      <w:pPr>
        <w:adjustRightInd w:val="0"/>
        <w:snapToGrid w:val="0"/>
        <w:spacing w:line="560" w:lineRule="exact"/>
        <w:ind w:firstLine="480"/>
        <w:rPr>
          <w:rFonts w:ascii="宋体" w:hAnsi="宋体" w:eastAsia="宋体" w:cs="宋体"/>
          <w:color w:val="auto"/>
          <w:sz w:val="24"/>
        </w:rPr>
      </w:pPr>
      <w:r>
        <w:rPr>
          <w:rFonts w:hint="eastAsia" w:ascii="宋体" w:hAnsi="宋体" w:eastAsia="宋体" w:cs="宋体"/>
          <w:color w:val="auto"/>
          <w:sz w:val="24"/>
        </w:rPr>
        <w:t>地址：海口市江东新区兴洋大道181号江东新区政务服务中心</w:t>
      </w:r>
    </w:p>
    <w:p>
      <w:pPr>
        <w:adjustRightInd w:val="0"/>
        <w:snapToGrid w:val="0"/>
        <w:spacing w:line="56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eastAsia="zh-CN"/>
        </w:rPr>
        <w:t>：黄先生</w:t>
      </w:r>
    </w:p>
    <w:p>
      <w:pPr>
        <w:adjustRightInd w:val="0"/>
        <w:snapToGrid w:val="0"/>
        <w:spacing w:line="560" w:lineRule="exact"/>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联系电话：(0898)65686</w:t>
      </w:r>
      <w:r>
        <w:rPr>
          <w:rFonts w:hint="eastAsia" w:ascii="宋体" w:hAnsi="宋体" w:eastAsia="宋体" w:cs="宋体"/>
          <w:color w:val="auto"/>
          <w:sz w:val="24"/>
          <w:lang w:val="en-US" w:eastAsia="zh-CN"/>
        </w:rPr>
        <w:t>529</w:t>
      </w:r>
    </w:p>
    <w:p>
      <w:pPr>
        <w:adjustRightInd w:val="0"/>
        <w:snapToGrid w:val="0"/>
        <w:spacing w:line="560" w:lineRule="exact"/>
        <w:ind w:firstLine="480"/>
        <w:rPr>
          <w:rFonts w:ascii="宋体" w:hAnsi="宋体" w:eastAsia="宋体" w:cs="宋体"/>
          <w:color w:val="auto"/>
          <w:sz w:val="24"/>
        </w:rPr>
      </w:pPr>
    </w:p>
    <w:p>
      <w:pPr>
        <w:ind w:firstLine="480"/>
        <w:rPr>
          <w:rFonts w:ascii="宋体" w:hAnsi="宋体" w:eastAsia="宋体" w:cs="宋体"/>
          <w:color w:val="auto"/>
          <w:sz w:val="24"/>
        </w:rPr>
      </w:pPr>
    </w:p>
    <w:p>
      <w:pPr>
        <w:ind w:firstLine="480"/>
        <w:rPr>
          <w:rFonts w:ascii="宋体" w:hAnsi="宋体" w:eastAsia="宋体" w:cs="宋体"/>
          <w:color w:val="auto"/>
          <w:sz w:val="24"/>
        </w:rPr>
      </w:pPr>
    </w:p>
    <w:p>
      <w:pPr>
        <w:ind w:firstLine="480"/>
        <w:jc w:val="right"/>
        <w:rPr>
          <w:rFonts w:ascii="宋体" w:hAnsi="宋体" w:eastAsia="宋体" w:cs="宋体"/>
          <w:color w:val="auto"/>
          <w:sz w:val="24"/>
        </w:rPr>
      </w:pPr>
      <w:r>
        <w:rPr>
          <w:rFonts w:hint="eastAsia" w:ascii="宋体" w:hAnsi="宋体" w:eastAsia="宋体" w:cs="宋体"/>
          <w:color w:val="auto"/>
          <w:sz w:val="24"/>
        </w:rPr>
        <w:t>海口江东新区管理局</w:t>
      </w:r>
    </w:p>
    <w:p>
      <w:pPr>
        <w:ind w:firstLine="480"/>
        <w:jc w:val="right"/>
        <w:rPr>
          <w:rFonts w:ascii="宋体" w:hAnsi="宋体" w:eastAsia="宋体" w:cs="宋体"/>
          <w:color w:val="auto"/>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22</w:t>
      </w:r>
      <w:r>
        <w:rPr>
          <w:rFonts w:hint="eastAsia" w:ascii="宋体" w:hAnsi="宋体" w:eastAsia="宋体" w:cs="宋体"/>
          <w:color w:val="auto"/>
          <w:sz w:val="24"/>
        </w:rPr>
        <w:t>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20</w:t>
      </w:r>
      <w:r>
        <w:rPr>
          <w:rFonts w:hint="eastAsia" w:ascii="宋体" w:hAnsi="宋体" w:eastAsia="宋体" w:cs="宋体"/>
          <w:color w:val="auto"/>
          <w:sz w:val="24"/>
        </w:rPr>
        <w:t>日</w:t>
      </w:r>
    </w:p>
    <w:p>
      <w:pPr>
        <w:widowControl w:val="0"/>
        <w:wordWrap w:val="0"/>
        <w:ind w:firstLine="480"/>
        <w:jc w:val="right"/>
        <w:rPr>
          <w:rFonts w:ascii="宋体" w:hAnsi="宋体" w:eastAsia="宋体" w:cs="Times New Roman"/>
          <w:color w:val="auto"/>
          <w:sz w:val="24"/>
          <w:szCs w:val="24"/>
        </w:rPr>
      </w:pPr>
      <w:r>
        <w:rPr>
          <w:rFonts w:hint="eastAsia" w:ascii="宋体" w:hAnsi="宋体" w:eastAsia="宋体" w:cs="Times New Roman"/>
          <w:color w:val="auto"/>
          <w:sz w:val="24"/>
          <w:szCs w:val="24"/>
        </w:rPr>
        <w:t>　</w:t>
      </w:r>
    </w:p>
    <w:p>
      <w:pPr>
        <w:widowControl w:val="0"/>
        <w:adjustRightInd w:val="0"/>
        <w:snapToGrid w:val="0"/>
        <w:ind w:firstLine="0" w:firstLineChars="0"/>
        <w:jc w:val="center"/>
        <w:rPr>
          <w:rFonts w:ascii="Times New Roman" w:hAnsi="Times New Roman" w:eastAsia="宋体" w:cs="Times New Roman"/>
          <w:color w:val="auto"/>
          <w:sz w:val="36"/>
          <w:szCs w:val="36"/>
        </w:rPr>
      </w:pPr>
      <w:r>
        <w:rPr>
          <w:rFonts w:ascii="Times New Roman" w:hAnsi="Times New Roman" w:eastAsia="宋体" w:cs="Times New Roman"/>
          <w:color w:val="auto"/>
          <w:sz w:val="36"/>
          <w:szCs w:val="36"/>
        </w:rPr>
        <w:br w:type="page"/>
      </w:r>
      <w:r>
        <w:rPr>
          <w:rFonts w:hint="eastAsia" w:ascii="Times New Roman" w:hAnsi="Times New Roman" w:eastAsia="宋体" w:cs="Times New Roman"/>
          <w:b/>
          <w:color w:val="auto"/>
          <w:sz w:val="36"/>
          <w:szCs w:val="36"/>
        </w:rPr>
        <w:t>第二章比选单位须知</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一、说明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（一）适用范围</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本采购比选文件仅适用于本次服务采购中所叙述的项目内容。</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（二）合格的比选单位</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1.必须是在中华人民共和国境内合法注册的独立法人，具有法定履行合同的资格与能力，遵守国家有关法律、法规，具有良好的商业信誉和健全的财务会计制度。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2.未被“信用中国”列入失信被执行人和重大税收违法案件当事人名单、</w:t>
      </w:r>
      <w:r>
        <w:rPr>
          <w:rFonts w:hint="eastAsia" w:ascii="宋体" w:hAnsi="宋体" w:eastAsia="宋体" w:cs="宋体"/>
          <w:color w:val="auto"/>
          <w:sz w:val="24"/>
          <w:szCs w:val="24"/>
        </w:rPr>
        <w:t>未被中国政府采购网列入政府采购严重违法失信行为记录名单</w:t>
      </w:r>
      <w:r>
        <w:rPr>
          <w:rFonts w:hint="eastAsia" w:ascii="宋体" w:hAnsi="宋体" w:eastAsia="宋体" w:cs="Times New Roman"/>
          <w:color w:val="auto"/>
          <w:sz w:val="24"/>
          <w:szCs w:val="24"/>
        </w:rPr>
        <w:t>。</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w:t>
      </w:r>
      <w:r>
        <w:rPr>
          <w:rFonts w:hint="eastAsia" w:ascii="宋体" w:hAnsi="宋体" w:eastAsia="宋体" w:cs="Times New Roman"/>
          <w:color w:val="auto"/>
          <w:sz w:val="24"/>
          <w:szCs w:val="24"/>
        </w:rPr>
        <w:t>本项目不接受联合体参加比选。</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二、采购比选文件组成</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（一）比选公告；</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（二）比选单位须知；</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（三）服务内容及要求；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（四）项目评审说明；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（五）比选响应文件格式；</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（六）项目合同模版。</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三、比选响应文件编写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（一）参与比选的单位应仔细阅读采购文件的所有内容，并按采购文件的规定及附件要求的内容和格式，提交完整的响应文件。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（二）响应文件语言和计量单位：响应文件和来往函件应用中文书写，计量单位应使用国家法定计量单位。</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w:t>
      </w:r>
      <w:r>
        <w:rPr>
          <w:rFonts w:ascii="宋体" w:hAnsi="宋体" w:eastAsia="宋体" w:cs="Times New Roman"/>
          <w:color w:val="auto"/>
          <w:sz w:val="24"/>
          <w:szCs w:val="24"/>
        </w:rPr>
        <w:t>）</w:t>
      </w:r>
      <w:r>
        <w:rPr>
          <w:rFonts w:hint="eastAsia" w:ascii="宋体" w:hAnsi="宋体" w:eastAsia="宋体" w:cs="Times New Roman"/>
          <w:color w:val="auto"/>
          <w:sz w:val="24"/>
          <w:szCs w:val="24"/>
        </w:rPr>
        <w:t>所有报价应用人民币报价。</w:t>
      </w:r>
    </w:p>
    <w:p>
      <w:pPr>
        <w:widowControl w:val="0"/>
        <w:adjustRightInd w:val="0"/>
        <w:snapToGrid w:val="0"/>
        <w:ind w:firstLine="482"/>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四、比选限价及说明</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（一）比选限价：人民币</w:t>
      </w:r>
      <w:r>
        <w:rPr>
          <w:rFonts w:hint="eastAsia" w:ascii="宋体" w:hAnsi="宋体" w:eastAsia="宋体" w:cs="Times New Roman"/>
          <w:color w:val="auto"/>
          <w:sz w:val="24"/>
          <w:szCs w:val="24"/>
          <w:lang w:val="en-US" w:eastAsia="zh-CN"/>
        </w:rPr>
        <w:t>65</w:t>
      </w:r>
      <w:r>
        <w:rPr>
          <w:rFonts w:hint="eastAsia" w:ascii="宋体" w:hAnsi="宋体" w:eastAsia="宋体" w:cs="Times New Roman"/>
          <w:color w:val="auto"/>
          <w:sz w:val="24"/>
          <w:szCs w:val="24"/>
        </w:rPr>
        <w:t>万元（不含</w:t>
      </w:r>
      <w:r>
        <w:rPr>
          <w:rFonts w:hint="eastAsia" w:ascii="宋体" w:hAnsi="宋体" w:eastAsia="宋体" w:cs="Times New Roman"/>
          <w:color w:val="auto"/>
          <w:sz w:val="24"/>
          <w:szCs w:val="24"/>
          <w:lang w:val="en-US" w:eastAsia="zh-CN"/>
        </w:rPr>
        <w:t>65</w:t>
      </w:r>
      <w:r>
        <w:rPr>
          <w:rFonts w:hint="eastAsia" w:ascii="宋体" w:hAnsi="宋体" w:eastAsia="宋体" w:cs="Times New Roman"/>
          <w:color w:val="auto"/>
          <w:sz w:val="24"/>
          <w:szCs w:val="24"/>
        </w:rPr>
        <w:t>万元），任何比选单位的总体报价超出限价均当废标处理。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（二）报价应包含：总报价须含税费、人工费、服务费等费用。</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五、比选响应文件组成及要求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（一）响应文件组成</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1.响应函；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2.报价表；</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3.法定代表人身份证明书；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4.法定代表人授权书；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5.委托人及受托人身份证复印件；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6.资质文件：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宋体"/>
          <w:color w:val="auto"/>
          <w:sz w:val="24"/>
          <w:szCs w:val="24"/>
        </w:rPr>
        <w:t>（1）营业执照（复印件）；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年至响应文件接受截止日任意1个月的纳税凭证（银行出具的纳税凭证或税务机关出具的证明的复印件）或免税证明（复印件）；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3</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年至响应文件接受截止日任意1个月的社会保障资金缴纳记录（专用收据或社会保险缴纳清单）或免缴纳证明（复印件）；</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（4）提供</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年度经审计的财务审计报告或</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年度财务报表（含资产负债表、利润表、现金流量表）；</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（5）提供有效的参加政府采购活动前3年内在经营活动中没有重大违法记录的书面声明；</w:t>
      </w:r>
    </w:p>
    <w:p>
      <w:pPr>
        <w:widowControl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（6）未被“信用中国”网站（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eastAsia="宋体" w:cs="宋体"/>
          <w:color w:val="auto"/>
          <w:sz w:val="24"/>
          <w:szCs w:val="24"/>
        </w:rPr>
        <w:t>www.creditchina.gov.cn）中列入失信被执行人和</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重大税收违法案件当事人名单、未被中国政府采购网（www.ccgp.gov.cn）列入政府采购严重违法失信行为记录名单（提供网站查询截图）；</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7.承诺函；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8.商务评审所需材料；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9.服务方案；</w:t>
      </w:r>
    </w:p>
    <w:p>
      <w:pPr>
        <w:widowControl w:val="0"/>
        <w:adjustRightInd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10.符合本比选项目要求的其他材料。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（二）比选响应文件格式上的要求</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1.比选单位向采购单位提交的以上纸质资料，应以“A4”纸张规格按上述先后顺序依次装订成册及标注页码，在规定要求盖章处加盖公章，并加盖骑缝章；</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2.响应文件须于20</w:t>
      </w:r>
      <w:r>
        <w:rPr>
          <w:rFonts w:hint="eastAsia" w:ascii="宋体" w:hAnsi="宋体" w:eastAsia="宋体" w:cs="Times New Roman"/>
          <w:color w:val="auto"/>
          <w:sz w:val="24"/>
          <w:szCs w:val="24"/>
          <w:lang w:val="en-US" w:eastAsia="zh-CN"/>
        </w:rPr>
        <w:t>22</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月</w:t>
      </w:r>
      <w:r>
        <w:rPr>
          <w:rFonts w:hint="eastAsia" w:ascii="宋体" w:hAnsi="宋体" w:eastAsia="宋体" w:cs="Times New Roman"/>
          <w:color w:val="auto"/>
          <w:sz w:val="24"/>
          <w:szCs w:val="24"/>
          <w:u w:val="single"/>
          <w:lang w:val="en-US" w:eastAsia="zh-CN"/>
        </w:rPr>
        <w:t>25</w:t>
      </w:r>
      <w:r>
        <w:rPr>
          <w:rFonts w:hint="eastAsia" w:ascii="宋体" w:hAnsi="宋体" w:eastAsia="宋体" w:cs="Times New Roman"/>
          <w:color w:val="auto"/>
          <w:sz w:val="24"/>
          <w:szCs w:val="24"/>
        </w:rPr>
        <w:t>日15点前送抵采购单位，交予本项目联系人（</w:t>
      </w:r>
      <w:r>
        <w:rPr>
          <w:rFonts w:hint="eastAsia" w:ascii="宋体" w:hAnsi="宋体" w:eastAsia="宋体" w:cs="Times New Roman"/>
          <w:color w:val="auto"/>
          <w:sz w:val="24"/>
          <w:szCs w:val="24"/>
          <w:lang w:eastAsia="zh-CN"/>
        </w:rPr>
        <w:t>黄先生</w:t>
      </w:r>
      <w:r>
        <w:rPr>
          <w:rFonts w:hint="eastAsia" w:ascii="宋体" w:hAnsi="宋体" w:eastAsia="宋体" w:cs="Times New Roman"/>
          <w:color w:val="auto"/>
          <w:sz w:val="24"/>
          <w:szCs w:val="24"/>
        </w:rPr>
        <w:t>，联系电话：0898-</w:t>
      </w:r>
      <w:r>
        <w:rPr>
          <w:rFonts w:hint="eastAsia" w:ascii="宋体" w:hAnsi="宋体" w:eastAsia="宋体" w:cs="Times New Roman"/>
          <w:color w:val="auto"/>
          <w:sz w:val="24"/>
          <w:szCs w:val="24"/>
          <w:lang w:val="en-US" w:eastAsia="zh-CN"/>
        </w:rPr>
        <w:t>65686529</w:t>
      </w:r>
      <w:r>
        <w:rPr>
          <w:rFonts w:hint="eastAsia" w:ascii="宋体" w:hAnsi="宋体" w:eastAsia="宋体" w:cs="Times New Roman"/>
          <w:color w:val="auto"/>
          <w:sz w:val="24"/>
          <w:szCs w:val="24"/>
        </w:rPr>
        <w:t>）。逾期递交的响应文件，概不受理；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所有提交的响应文件应一式5份，正本1份，副本4份，并注明“正本”和“副本”，如果正本与副本不符，应以正本为准。响应文件应由比选单位的合法授权代表正式签署，任何更改（如果有的话）应由原签署人签字。响应文件必须包装密封，在封口上加盖比选单位的公章，信封或包装的封面上应写明：</w:t>
      </w:r>
    </w:p>
    <w:p>
      <w:pPr>
        <w:widowControl w:val="0"/>
        <w:autoSpaceDE w:val="0"/>
        <w:autoSpaceDN w:val="0"/>
        <w:ind w:firstLine="48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名  称：</w:t>
      </w:r>
      <w:r>
        <w:rPr>
          <w:rFonts w:hint="eastAsia" w:ascii="宋体" w:hAnsi="宋体" w:eastAsia="宋体" w:cs="Times New Roman"/>
          <w:color w:val="auto"/>
          <w:sz w:val="24"/>
          <w:szCs w:val="24"/>
          <w:u w:val="single"/>
          <w:lang w:eastAsia="zh-CN"/>
        </w:rPr>
        <w:t>海口江东新区CBD起步区南片区概念设计方案</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联系人：</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比选单位名称、地址：</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六、开标</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（一）无论比选结果如何，采购单位将不予返回比选单位的响应文件。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（二）成交结果将由采购单位以书面形式通知成交供应商。</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（三）成交供应商自接到成交通知书后按采购单位要求时间到采购单位的办公地点签订项目合同（合同范本见第六章）。</w:t>
      </w:r>
    </w:p>
    <w:p>
      <w:pPr>
        <w:widowControl w:val="0"/>
        <w:adjustRightInd w:val="0"/>
        <w:snapToGrid w:val="0"/>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七、符合性审查</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开标时如出现下列任一种情况，其响应文件将被拒绝：</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（一）响应文件未按要求密封装订；</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（二）未在规定时间内递交响应文件；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（三）未提交采购文件中所规定的资格证明文件</w:t>
      </w:r>
      <w:r>
        <w:rPr>
          <w:rFonts w:ascii="宋体" w:hAnsi="宋体" w:eastAsia="宋体" w:cs="Times New Roman"/>
          <w:color w:val="auto"/>
          <w:sz w:val="24"/>
          <w:szCs w:val="24"/>
        </w:rPr>
        <w:t>(</w:t>
      </w:r>
      <w:r>
        <w:rPr>
          <w:rFonts w:hint="eastAsia" w:ascii="宋体" w:hAnsi="宋体" w:eastAsia="宋体" w:cs="Times New Roman"/>
          <w:color w:val="auto"/>
          <w:sz w:val="24"/>
          <w:szCs w:val="24"/>
        </w:rPr>
        <w:t>例：</w:t>
      </w:r>
      <w:r>
        <w:rPr>
          <w:rFonts w:ascii="宋体" w:hAnsi="宋体" w:eastAsia="宋体" w:cs="Times New Roman"/>
          <w:color w:val="auto"/>
          <w:sz w:val="24"/>
          <w:szCs w:val="24"/>
        </w:rPr>
        <w:t>营业执照)</w:t>
      </w:r>
      <w:r>
        <w:rPr>
          <w:rFonts w:hint="eastAsia" w:ascii="宋体" w:hAnsi="宋体" w:eastAsia="宋体" w:cs="Times New Roman"/>
          <w:color w:val="auto"/>
          <w:sz w:val="24"/>
          <w:szCs w:val="24"/>
        </w:rPr>
        <w:t>；</w:t>
      </w:r>
    </w:p>
    <w:p>
      <w:pPr>
        <w:widowControl w:val="0"/>
        <w:adjustRightInd w:val="0"/>
        <w:snapToGrid w:val="0"/>
        <w:ind w:firstLine="723"/>
        <w:rPr>
          <w:rFonts w:hint="eastAsia" w:ascii="Times New Roman" w:hAnsi="Times New Roman" w:eastAsia="宋体" w:cs="Times New Roman"/>
          <w:b/>
          <w:color w:val="auto"/>
          <w:sz w:val="36"/>
          <w:szCs w:val="36"/>
          <w:lang w:eastAsia="zh-CN"/>
        </w:rPr>
      </w:pPr>
    </w:p>
    <w:p>
      <w:pPr>
        <w:pStyle w:val="2"/>
        <w:rPr>
          <w:rFonts w:hint="eastAsia"/>
          <w:lang w:eastAsia="zh-CN"/>
        </w:rPr>
        <w:sectPr>
          <w:headerReference r:id="rId11" w:type="default"/>
          <w:footerReference r:id="rId12" w:type="default"/>
          <w:pgSz w:w="11907" w:h="16840"/>
          <w:pgMar w:top="1440" w:right="1026" w:bottom="1440" w:left="1366" w:header="794" w:footer="794" w:gutter="0"/>
          <w:cols w:space="720" w:num="1"/>
          <w:docGrid w:linePitch="286" w:charSpace="0"/>
        </w:sectPr>
      </w:pPr>
    </w:p>
    <w:p>
      <w:pPr>
        <w:widowControl w:val="0"/>
        <w:adjustRightInd w:val="0"/>
        <w:snapToGrid w:val="0"/>
        <w:ind w:firstLine="0" w:firstLineChars="0"/>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第三章服务内容及要求</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一</w:t>
      </w:r>
      <w:r>
        <w:rPr>
          <w:rFonts w:hint="eastAsia" w:ascii="宋体" w:hAnsi="宋体" w:eastAsia="宋体" w:cs="Times New Roman"/>
          <w:b/>
          <w:color w:val="auto"/>
          <w:sz w:val="24"/>
          <w:szCs w:val="24"/>
          <w:highlight w:val="none"/>
        </w:rPr>
        <w:t>、项目背景</w:t>
      </w:r>
    </w:p>
    <w:p>
      <w:pPr>
        <w:keepNext w:val="0"/>
        <w:keepLines w:val="0"/>
        <w:pageBreakBefore w:val="0"/>
        <w:widowControl/>
        <w:tabs>
          <w:tab w:val="left" w:pos="6663"/>
          <w:tab w:val="left" w:pos="7088"/>
        </w:tabs>
        <w:kinsoku/>
        <w:wordWrap/>
        <w:topLinePunct w:val="0"/>
        <w:bidi w:val="0"/>
        <w:spacing w:line="560" w:lineRule="exact"/>
        <w:ind w:firstLine="640"/>
        <w:textAlignment w:val="auto"/>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江东新区CBD起步区是江东新区先期启动建设的核心区域，正打造集企业总部、商务办公、创新服务、休闲娱乐功能为一体的生态总部集聚中心。作为独立的组团板块，江东新区CBD起步区需要具备功能复合、职住平衡、产城一体、生态宜居的综合性功能。为推进CBD起步区尽快出形象、出功能，需加快CBD起步区南片区的综合开发</w:t>
      </w:r>
      <w:r>
        <w:rPr>
          <w:rFonts w:hint="eastAsia" w:ascii="宋体" w:hAnsi="宋体" w:eastAsia="宋体" w:cs="Times New Roman"/>
          <w:bCs/>
          <w:color w:val="auto"/>
          <w:sz w:val="24"/>
          <w:szCs w:val="24"/>
          <w:highlight w:val="none"/>
        </w:rPr>
        <w:t>。</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二、服务内容</w:t>
      </w:r>
    </w:p>
    <w:p>
      <w:pPr>
        <w:keepNext w:val="0"/>
        <w:keepLines w:val="0"/>
        <w:pageBreakBefore w:val="0"/>
        <w:widowControl w:val="0"/>
        <w:kinsoku/>
        <w:wordWrap/>
        <w:topLinePunct w:val="0"/>
        <w:bidi w:val="0"/>
        <w:spacing w:line="560" w:lineRule="exact"/>
        <w:ind w:firstLine="48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重点关注</w:t>
      </w:r>
      <w:r>
        <w:rPr>
          <w:rFonts w:hint="eastAsia" w:ascii="宋体" w:hAnsi="宋体" w:eastAsia="宋体" w:cs="Times New Roman"/>
          <w:bCs/>
          <w:color w:val="auto"/>
          <w:sz w:val="24"/>
          <w:szCs w:val="24"/>
          <w:highlight w:val="none"/>
          <w:lang w:val="en-US" w:eastAsia="zh-CN"/>
        </w:rPr>
        <w:t>CBD起步区南片区的功能定位、产业定位、空间布局</w:t>
      </w:r>
      <w:r>
        <w:rPr>
          <w:rFonts w:hint="eastAsia" w:ascii="宋体" w:hAnsi="宋体" w:eastAsia="宋体" w:cs="Times New Roman"/>
          <w:bCs/>
          <w:color w:val="auto"/>
          <w:sz w:val="24"/>
          <w:szCs w:val="24"/>
          <w:highlight w:val="none"/>
          <w:lang w:eastAsia="zh-CN"/>
        </w:rPr>
        <w:t>：</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rPr>
        <w:t>明确该区域的功能定位</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围绕贯彻落实江东新区</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起步区南片区的重大战略和整体决策，以“服务协同提升江东新区起步区”为核心，系统梳理片区周边的基础设施和功能服务配套情况，明确CBD起步区南片区的整体功能定位。</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确定该区域的产业方向</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在功能定位的基础上，面向总部商务精英、中小企业办公人群、当地居民三类人群的需求，结合周边产业布局，谋划</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起步区南片区的产业方向</w:t>
      </w:r>
      <w:r>
        <w:rPr>
          <w:rFonts w:hint="eastAsia" w:ascii="宋体" w:hAnsi="宋体" w:eastAsia="宋体" w:cs="Times New Roman"/>
          <w:bCs/>
          <w:color w:val="auto"/>
          <w:sz w:val="24"/>
          <w:szCs w:val="24"/>
          <w:highlight w:val="none"/>
        </w:rPr>
        <w:t>。</w:t>
      </w:r>
    </w:p>
    <w:p>
      <w:pPr>
        <w:pStyle w:val="71"/>
        <w:keepNext w:val="0"/>
        <w:keepLines w:val="0"/>
        <w:pageBreakBefore w:val="0"/>
        <w:kinsoku/>
        <w:wordWrap/>
        <w:topLinePunct w:val="0"/>
        <w:bidi w:val="0"/>
        <w:spacing w:line="560" w:lineRule="exact"/>
        <w:ind w:firstLine="643"/>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统筹好该区域的空间布局</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sz w:val="24"/>
          <w:szCs w:val="24"/>
          <w:highlight w:val="none"/>
        </w:rPr>
        <w:t>结合产业空间需求、居住空间需求、配套设施空间需求，对片区范围内的用地类型及相应规模进行概念性策划，并制定片区范围内的功能分区。结合政府投资计划和招商计划及用地需求，初步拟定产业项目和配套设施的用地布局，为片区详细规划的编制提供参考。</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三、编制成果</w:t>
      </w:r>
    </w:p>
    <w:p>
      <w:pPr>
        <w:keepNext w:val="0"/>
        <w:keepLines w:val="0"/>
        <w:pageBreakBefore w:val="0"/>
        <w:widowControl w:val="0"/>
        <w:kinsoku/>
        <w:wordWrap/>
        <w:topLinePunct w:val="0"/>
        <w:bidi w:val="0"/>
        <w:spacing w:line="560" w:lineRule="exact"/>
        <w:ind w:firstLine="48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p>
    <w:p>
      <w:pPr>
        <w:keepNext w:val="0"/>
        <w:keepLines w:val="0"/>
        <w:pageBreakBefore w:val="0"/>
        <w:widowControl w:val="0"/>
        <w:kinsoku/>
        <w:wordWrap/>
        <w:topLinePunct w:val="0"/>
        <w:bidi w:val="0"/>
        <w:adjustRightInd w:val="0"/>
        <w:snapToGrid w:val="0"/>
        <w:spacing w:line="560" w:lineRule="exact"/>
        <w:ind w:firstLine="482"/>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四、工作时间</w:t>
      </w:r>
    </w:p>
    <w:p>
      <w:pPr>
        <w:keepNext w:val="0"/>
        <w:keepLines w:val="0"/>
        <w:pageBreakBefore w:val="0"/>
        <w:kinsoku/>
        <w:wordWrap/>
        <w:overflowPunct w:val="0"/>
        <w:topLinePunct w:val="0"/>
        <w:autoSpaceDE w:val="0"/>
        <w:autoSpaceDN w:val="0"/>
        <w:bidi w:val="0"/>
        <w:spacing w:line="560" w:lineRule="exact"/>
        <w:ind w:firstLine="464"/>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bCs/>
          <w:color w:val="auto"/>
          <w:sz w:val="24"/>
          <w:szCs w:val="24"/>
          <w:highlight w:val="none"/>
        </w:rPr>
        <w:t>于</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lang w:val="en-US" w:eastAsia="zh-CN"/>
        </w:rPr>
        <w:t>31</w:t>
      </w:r>
      <w:r>
        <w:rPr>
          <w:rFonts w:hint="eastAsia" w:ascii="宋体" w:hAnsi="宋体" w:eastAsia="宋体" w:cs="Times New Roman"/>
          <w:bCs/>
          <w:color w:val="auto"/>
          <w:sz w:val="24"/>
          <w:szCs w:val="24"/>
          <w:highlight w:val="none"/>
        </w:rPr>
        <w:t>日前</w:t>
      </w:r>
      <w:r>
        <w:rPr>
          <w:rFonts w:ascii="宋体" w:hAnsi="宋体" w:eastAsia="宋体" w:cs="Times New Roman"/>
          <w:bCs/>
          <w:color w:val="auto"/>
          <w:sz w:val="24"/>
          <w:szCs w:val="24"/>
          <w:highlight w:val="none"/>
        </w:rPr>
        <w:t>完成上述工作的报告提交</w:t>
      </w:r>
      <w:r>
        <w:rPr>
          <w:rFonts w:hint="eastAsia" w:ascii="宋体" w:hAnsi="宋体" w:eastAsia="宋体" w:cs="Times New Roman"/>
          <w:bCs/>
          <w:color w:val="auto"/>
          <w:sz w:val="24"/>
          <w:szCs w:val="24"/>
          <w:highlight w:val="none"/>
        </w:rPr>
        <w:t>，其中自合同签订之日起2周内提交《海口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》初步方案，自合同签订之日起</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中期报告</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5月31日前</w:t>
      </w:r>
      <w:r>
        <w:rPr>
          <w:rFonts w:hint="eastAsia" w:ascii="宋体" w:hAnsi="宋体" w:eastAsia="宋体" w:cs="Times New Roman"/>
          <w:bCs/>
          <w:color w:val="auto"/>
          <w:sz w:val="24"/>
          <w:szCs w:val="24"/>
          <w:highlight w:val="none"/>
        </w:rPr>
        <w:t>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》最终报告。</w:t>
      </w:r>
    </w:p>
    <w:p>
      <w:pPr>
        <w:keepNext w:val="0"/>
        <w:keepLines w:val="0"/>
        <w:pageBreakBefore w:val="0"/>
        <w:widowControl w:val="0"/>
        <w:kinsoku/>
        <w:wordWrap/>
        <w:topLinePunct w:val="0"/>
        <w:bidi w:val="0"/>
        <w:spacing w:line="560" w:lineRule="exact"/>
        <w:ind w:firstLine="420"/>
        <w:textAlignment w:val="auto"/>
        <w:rPr>
          <w:rFonts w:ascii="Times New Roman" w:hAnsi="Times New Roman" w:eastAsia="宋体" w:cs="Times New Roman"/>
          <w:color w:val="auto"/>
          <w:sz w:val="21"/>
          <w:szCs w:val="24"/>
          <w:highlight w:val="none"/>
        </w:rPr>
        <w:sectPr>
          <w:pgSz w:w="11907" w:h="16840"/>
          <w:pgMar w:top="1440" w:right="1366" w:bottom="1440" w:left="1423" w:header="794" w:footer="794" w:gutter="0"/>
          <w:cols w:space="720" w:num="1"/>
          <w:docGrid w:linePitch="286" w:charSpace="0"/>
        </w:sectPr>
      </w:pPr>
    </w:p>
    <w:p>
      <w:pPr>
        <w:pStyle w:val="2"/>
        <w:rPr>
          <w:color w:val="auto"/>
        </w:rPr>
      </w:pPr>
    </w:p>
    <w:p>
      <w:pPr>
        <w:widowControl w:val="0"/>
        <w:numPr>
          <w:ilvl w:val="0"/>
          <w:numId w:val="2"/>
        </w:numPr>
        <w:spacing w:line="240" w:lineRule="auto"/>
        <w:ind w:firstLine="0" w:firstLineChars="0"/>
        <w:jc w:val="center"/>
        <w:rPr>
          <w:rFonts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项目评审说明</w:t>
      </w:r>
    </w:p>
    <w:p>
      <w:pPr>
        <w:tabs>
          <w:tab w:val="left" w:pos="945"/>
        </w:tabs>
        <w:ind w:firstLine="482"/>
        <w:rPr>
          <w:rFonts w:ascii="宋体" w:hAnsi="宋体" w:eastAsia="宋体" w:cs="Times New Roman"/>
          <w:b/>
          <w:color w:val="auto"/>
          <w:sz w:val="24"/>
          <w:szCs w:val="24"/>
        </w:rPr>
      </w:pPr>
      <w:bookmarkStart w:id="0" w:name="_Toc152045600"/>
      <w:bookmarkStart w:id="1" w:name="_Toc152042377"/>
      <w:bookmarkStart w:id="2" w:name="_Toc28179"/>
      <w:bookmarkStart w:id="3" w:name="_Toc144974567"/>
      <w:bookmarkStart w:id="4" w:name="_Toc246996986"/>
      <w:bookmarkStart w:id="5" w:name="_Toc179632618"/>
      <w:bookmarkStart w:id="6" w:name="_Toc247085758"/>
      <w:bookmarkStart w:id="7" w:name="_Toc373501036"/>
      <w:bookmarkStart w:id="8" w:name="_Toc246996243"/>
      <w:r>
        <w:rPr>
          <w:rFonts w:hint="eastAsia" w:ascii="宋体" w:hAnsi="宋体" w:eastAsia="宋体" w:cs="Times New Roman"/>
          <w:b/>
          <w:color w:val="auto"/>
          <w:sz w:val="24"/>
          <w:szCs w:val="24"/>
        </w:rPr>
        <w:t>一、评审方法</w:t>
      </w:r>
      <w:bookmarkEnd w:id="0"/>
      <w:bookmarkEnd w:id="1"/>
      <w:bookmarkEnd w:id="2"/>
      <w:bookmarkEnd w:id="3"/>
      <w:bookmarkEnd w:id="4"/>
      <w:bookmarkEnd w:id="5"/>
      <w:bookmarkEnd w:id="6"/>
      <w:bookmarkEnd w:id="7"/>
      <w:bookmarkEnd w:id="8"/>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本项目采用综合评审法。</w:t>
      </w:r>
    </w:p>
    <w:p>
      <w:pPr>
        <w:tabs>
          <w:tab w:val="left" w:pos="945"/>
        </w:tabs>
        <w:ind w:firstLine="482"/>
        <w:rPr>
          <w:rFonts w:ascii="宋体" w:hAnsi="宋体" w:eastAsia="宋体" w:cs="Times New Roman"/>
          <w:b/>
          <w:color w:val="auto"/>
          <w:sz w:val="24"/>
          <w:szCs w:val="24"/>
        </w:rPr>
      </w:pPr>
      <w:r>
        <w:rPr>
          <w:rFonts w:hint="eastAsia" w:ascii="宋体" w:hAnsi="宋体" w:eastAsia="宋体" w:cs="Times New Roman"/>
          <w:b/>
          <w:color w:val="auto"/>
          <w:sz w:val="24"/>
          <w:szCs w:val="24"/>
        </w:rPr>
        <w:t>二、评委及监督人员</w:t>
      </w:r>
    </w:p>
    <w:p>
      <w:pPr>
        <w:adjustRightInd w:val="0"/>
        <w:snapToGrid w:val="0"/>
        <w:ind w:firstLine="480"/>
        <w:jc w:val="left"/>
        <w:rPr>
          <w:rFonts w:ascii="宋体" w:hAnsi="宋体" w:eastAsia="宋体" w:cs="Times New Roman"/>
          <w:bCs/>
          <w:color w:val="auto"/>
          <w:sz w:val="24"/>
          <w:szCs w:val="24"/>
        </w:rPr>
      </w:pPr>
      <w:r>
        <w:rPr>
          <w:rFonts w:hint="eastAsia" w:ascii="宋体" w:hAnsi="宋体" w:eastAsia="宋体" w:cs="Times New Roman"/>
          <w:color w:val="auto"/>
          <w:sz w:val="24"/>
          <w:szCs w:val="24"/>
        </w:rPr>
        <w:t>本项目评审委员会由海口江东新区管理局各部门代表共5人组成，江</w:t>
      </w:r>
      <w:r>
        <w:rPr>
          <w:rFonts w:hint="eastAsia" w:ascii="宋体" w:hAnsi="宋体" w:eastAsia="宋体" w:cs="Times New Roman"/>
          <w:bCs/>
          <w:color w:val="auto"/>
          <w:sz w:val="24"/>
          <w:szCs w:val="24"/>
        </w:rPr>
        <w:t>东新区管理局纪检监察人员为项目开标评审全过程监督人员。</w:t>
      </w:r>
    </w:p>
    <w:p>
      <w:pPr>
        <w:tabs>
          <w:tab w:val="left" w:pos="945"/>
        </w:tabs>
        <w:ind w:firstLine="482"/>
        <w:rPr>
          <w:rFonts w:ascii="宋体" w:hAnsi="宋体" w:eastAsia="宋体" w:cs="Times New Roman"/>
          <w:b/>
          <w:color w:val="auto"/>
          <w:sz w:val="24"/>
          <w:szCs w:val="24"/>
        </w:rPr>
      </w:pPr>
      <w:bookmarkStart w:id="9" w:name="_Toc246996987"/>
      <w:bookmarkStart w:id="10" w:name="_Toc152045601"/>
      <w:bookmarkStart w:id="11" w:name="_Toc247085759"/>
      <w:bookmarkStart w:id="12" w:name="_Toc144974568"/>
      <w:bookmarkStart w:id="13" w:name="_Toc373501037"/>
      <w:bookmarkStart w:id="14" w:name="_Toc32424"/>
      <w:bookmarkStart w:id="15" w:name="_Toc246996244"/>
      <w:bookmarkStart w:id="16" w:name="_Toc152042378"/>
      <w:bookmarkStart w:id="17" w:name="_Toc179632619"/>
      <w:r>
        <w:rPr>
          <w:rFonts w:hint="eastAsia" w:ascii="宋体" w:hAnsi="宋体" w:eastAsia="宋体" w:cs="Times New Roman"/>
          <w:b/>
          <w:color w:val="auto"/>
          <w:sz w:val="24"/>
          <w:szCs w:val="24"/>
        </w:rPr>
        <w:t>三、项目评审</w:t>
      </w:r>
      <w:bookmarkEnd w:id="9"/>
      <w:bookmarkEnd w:id="10"/>
      <w:bookmarkEnd w:id="11"/>
      <w:bookmarkEnd w:id="12"/>
      <w:bookmarkEnd w:id="13"/>
      <w:bookmarkEnd w:id="14"/>
      <w:bookmarkEnd w:id="15"/>
      <w:bookmarkEnd w:id="16"/>
      <w:bookmarkEnd w:id="17"/>
      <w:r>
        <w:rPr>
          <w:rFonts w:hint="eastAsia" w:ascii="宋体" w:hAnsi="宋体" w:eastAsia="宋体" w:cs="Times New Roman"/>
          <w:b/>
          <w:color w:val="auto"/>
          <w:sz w:val="24"/>
          <w:szCs w:val="24"/>
        </w:rPr>
        <w:t>说明</w:t>
      </w:r>
    </w:p>
    <w:p>
      <w:pPr>
        <w:autoSpaceDE w:val="0"/>
        <w:autoSpaceDN w:val="0"/>
        <w:adjustRightInd w:val="0"/>
        <w:ind w:firstLine="480"/>
        <w:jc w:val="left"/>
        <w:rPr>
          <w:rFonts w:ascii="宋体" w:hAnsi="宋体" w:eastAsia="宋体" w:cs="Times New Roman"/>
          <w:color w:val="auto"/>
          <w:sz w:val="24"/>
          <w:szCs w:val="24"/>
        </w:rPr>
      </w:pPr>
      <w:bookmarkStart w:id="18" w:name="_Toc179632620"/>
      <w:bookmarkStart w:id="19" w:name="_Toc246996988"/>
      <w:bookmarkStart w:id="20" w:name="_Toc247085760"/>
      <w:bookmarkStart w:id="21" w:name="_Toc246996245"/>
      <w:bookmarkStart w:id="22" w:name="_Toc373501038"/>
      <w:bookmarkStart w:id="23" w:name="_Toc152045602"/>
      <w:bookmarkStart w:id="24" w:name="_Toc152042379"/>
      <w:bookmarkStart w:id="25" w:name="_Toc144974569"/>
      <w:bookmarkStart w:id="26" w:name="_Toc11114"/>
      <w:r>
        <w:rPr>
          <w:rFonts w:hint="eastAsia" w:ascii="宋体" w:hAnsi="宋体" w:eastAsia="宋体" w:cs="Times New Roman"/>
          <w:color w:val="auto"/>
          <w:sz w:val="24"/>
          <w:szCs w:val="24"/>
        </w:rPr>
        <w:t>（一）初步评审标准</w:t>
      </w:r>
      <w:bookmarkEnd w:id="18"/>
      <w:bookmarkEnd w:id="19"/>
      <w:bookmarkEnd w:id="20"/>
      <w:bookmarkEnd w:id="21"/>
      <w:bookmarkEnd w:id="22"/>
      <w:bookmarkEnd w:id="23"/>
      <w:bookmarkEnd w:id="24"/>
      <w:bookmarkEnd w:id="25"/>
      <w:bookmarkEnd w:id="26"/>
    </w:p>
    <w:p>
      <w:pPr>
        <w:adjustRightInd w:val="0"/>
        <w:snapToGrid w:val="0"/>
        <w:ind w:firstLine="480"/>
        <w:jc w:val="left"/>
        <w:rPr>
          <w:rFonts w:ascii="宋体" w:hAnsi="宋体" w:eastAsia="宋体" w:cs="Times New Roman"/>
          <w:bCs/>
          <w:color w:val="auto"/>
          <w:sz w:val="24"/>
          <w:szCs w:val="24"/>
        </w:rPr>
      </w:pPr>
      <w:bookmarkStart w:id="27" w:name="_Toc373501039"/>
      <w:bookmarkStart w:id="28" w:name="_Toc144974570"/>
      <w:bookmarkStart w:id="29" w:name="_Toc247085761"/>
      <w:bookmarkStart w:id="30" w:name="_Toc152045603"/>
      <w:bookmarkStart w:id="31" w:name="_Toc246996246"/>
      <w:bookmarkStart w:id="32" w:name="_Toc179632621"/>
      <w:bookmarkStart w:id="33" w:name="_Toc26575"/>
      <w:bookmarkStart w:id="34" w:name="_Toc152042380"/>
      <w:bookmarkStart w:id="35" w:name="_Toc246996989"/>
      <w:r>
        <w:rPr>
          <w:rFonts w:hint="eastAsia" w:ascii="宋体" w:hAnsi="宋体" w:eastAsia="宋体" w:cs="Times New Roman"/>
          <w:bCs/>
          <w:color w:val="auto"/>
          <w:sz w:val="24"/>
          <w:szCs w:val="24"/>
        </w:rPr>
        <w:t>评审委员会将对比选单位提交的响应资料进行初步审查，初步评审的内容如附表1所示，初步评审中的资格评审如附表2所示，未通过初步审查的比选单位将以废标处理。</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（二）</w:t>
      </w:r>
      <w:bookmarkEnd w:id="27"/>
      <w:bookmarkEnd w:id="28"/>
      <w:bookmarkEnd w:id="29"/>
      <w:bookmarkEnd w:id="30"/>
      <w:bookmarkEnd w:id="31"/>
      <w:bookmarkEnd w:id="32"/>
      <w:bookmarkEnd w:id="33"/>
      <w:bookmarkEnd w:id="34"/>
      <w:bookmarkEnd w:id="35"/>
      <w:r>
        <w:rPr>
          <w:rFonts w:hint="eastAsia" w:ascii="宋体" w:hAnsi="宋体" w:eastAsia="宋体" w:cs="Times New Roman"/>
          <w:color w:val="auto"/>
          <w:sz w:val="24"/>
          <w:szCs w:val="24"/>
        </w:rPr>
        <w:t>商务评审、技术评审及价格评审</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1.分值构成</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本项目总分100分，其中商务评审40分，技术评审40分，报价评审2</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（1）商务评审因素及分值分配如附表</w:t>
      </w:r>
      <w:r>
        <w:rPr>
          <w:rFonts w:ascii="宋体" w:hAnsi="宋体" w:eastAsia="宋体" w:cs="Times New Roman"/>
          <w:color w:val="auto"/>
          <w:sz w:val="24"/>
          <w:szCs w:val="24"/>
        </w:rPr>
        <w:t>3</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（2）技术评审因素及分值分配见附表</w:t>
      </w:r>
      <w:r>
        <w:rPr>
          <w:rFonts w:ascii="宋体" w:hAnsi="宋体" w:eastAsia="宋体" w:cs="Times New Roman"/>
          <w:color w:val="auto"/>
          <w:sz w:val="24"/>
          <w:szCs w:val="24"/>
        </w:rPr>
        <w:t>4</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（3）价格评审因素及分值分配如附表</w:t>
      </w:r>
      <w:r>
        <w:rPr>
          <w:rFonts w:ascii="宋体" w:hAnsi="宋体" w:eastAsia="宋体" w:cs="Times New Roman"/>
          <w:color w:val="auto"/>
          <w:sz w:val="24"/>
          <w:szCs w:val="24"/>
        </w:rPr>
        <w:t>5</w:t>
      </w:r>
      <w:r>
        <w:rPr>
          <w:rFonts w:hint="eastAsia" w:ascii="宋体" w:hAnsi="宋体" w:eastAsia="宋体" w:cs="Times New Roman"/>
          <w:color w:val="auto"/>
          <w:sz w:val="24"/>
          <w:szCs w:val="24"/>
        </w:rPr>
        <w:t>所示；</w:t>
      </w:r>
    </w:p>
    <w:p>
      <w:pPr>
        <w:autoSpaceDE w:val="0"/>
        <w:autoSpaceDN w:val="0"/>
        <w:adjustRightInd w:val="0"/>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w:t>
      </w:r>
      <w:r>
        <w:rPr>
          <w:rFonts w:hint="eastAsia" w:ascii="宋体" w:hAnsi="宋体" w:eastAsia="宋体" w:cs="Times New Roman"/>
          <w:color w:val="auto"/>
          <w:sz w:val="24"/>
          <w:szCs w:val="24"/>
        </w:rPr>
        <w:t>评审程序</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通过初步评审的比选单位，评审委员会将按照附表3、附表4、附表5的标准对其进行打分，并计算出综合总分。</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（1）按附表3规定的评审因素和分值对商务评分计算出得分A；</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（2）按附表4规定的评审因素和分值对技术评分计算出得分B；</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（3）按附表5规定的评审因素和分值对报价计算出得分C；</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（4）评分分值计算保留小数点后两位，小数点后第三位“四舍五入”；</w:t>
      </w:r>
    </w:p>
    <w:p>
      <w:pPr>
        <w:autoSpaceDE w:val="0"/>
        <w:autoSpaceDN w:val="0"/>
        <w:adjustRightInd w:val="0"/>
        <w:ind w:firstLine="480"/>
        <w:jc w:val="left"/>
        <w:rPr>
          <w:rFonts w:ascii="宋体" w:hAnsi="宋体" w:eastAsia="宋体" w:cs="宋体"/>
          <w:color w:val="auto"/>
          <w:sz w:val="24"/>
          <w:szCs w:val="24"/>
        </w:rPr>
      </w:pPr>
      <w:r>
        <w:rPr>
          <w:rFonts w:hint="eastAsia" w:ascii="宋体" w:hAnsi="宋体" w:eastAsia="宋体" w:cs="宋体"/>
          <w:color w:val="auto"/>
          <w:sz w:val="24"/>
          <w:szCs w:val="24"/>
        </w:rPr>
        <w:t>（5）比选单位得分=A+B+C；</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6）评审委员会发现比选单位的报价明显低于其他单位报价，使得其报价可能低于其个别成本的，应当要求该比选单位作出书面说明并提供相应的证明材料。比选单位不能合理说明或者不能提供相应证明材料的，评审委员会应当认定该比选单位以低于成本报价竞标，否决其报价。</w:t>
      </w:r>
    </w:p>
    <w:p>
      <w:pPr>
        <w:tabs>
          <w:tab w:val="left" w:pos="540"/>
          <w:tab w:val="left" w:pos="945"/>
        </w:tabs>
        <w:ind w:firstLine="480"/>
        <w:rPr>
          <w:rFonts w:ascii="宋体" w:hAnsi="宋体" w:eastAsia="宋体" w:cs="Times New Roman"/>
          <w:bCs/>
          <w:color w:val="auto"/>
          <w:sz w:val="24"/>
          <w:szCs w:val="24"/>
        </w:rPr>
      </w:pPr>
      <w:r>
        <w:rPr>
          <w:rFonts w:hint="eastAsia" w:ascii="宋体" w:hAnsi="宋体" w:eastAsia="宋体" w:cs="Times New Roman"/>
          <w:bCs/>
          <w:color w:val="auto"/>
          <w:sz w:val="24"/>
          <w:szCs w:val="24"/>
        </w:rPr>
        <w:t>3</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最终排序</w:t>
      </w:r>
    </w:p>
    <w:p>
      <w:pPr>
        <w:autoSpaceDE w:val="0"/>
        <w:autoSpaceDN w:val="0"/>
        <w:adjustRightInd w:val="0"/>
        <w:ind w:firstLine="480"/>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5名评委对比选单位进行独立打分，比选单位的最终得分为5名评委打分的算术平均值。按最终得分由高至低排出各有效比选单位的名次，最终得分相等时，以报价低的优先；报价也相等时，由评审委员会自行确定。</w:t>
      </w:r>
    </w:p>
    <w:p>
      <w:pPr>
        <w:tabs>
          <w:tab w:val="left" w:pos="945"/>
        </w:tabs>
        <w:ind w:firstLine="482"/>
        <w:rPr>
          <w:rFonts w:ascii="Times New Roman" w:hAnsi="Times New Roman" w:eastAsia="宋体" w:cs="Times New Roman"/>
          <w:b/>
          <w:color w:val="auto"/>
          <w:sz w:val="24"/>
          <w:szCs w:val="24"/>
        </w:rPr>
      </w:pPr>
      <w:r>
        <w:rPr>
          <w:rFonts w:hint="eastAsia" w:ascii="宋体" w:hAnsi="宋体" w:eastAsia="宋体" w:cs="Times New Roman"/>
          <w:b/>
          <w:color w:val="auto"/>
          <w:sz w:val="24"/>
          <w:szCs w:val="24"/>
        </w:rPr>
        <w:t>四、成交</w:t>
      </w:r>
      <w:r>
        <w:rPr>
          <w:rFonts w:hint="eastAsia" w:ascii="Times New Roman" w:hAnsi="Times New Roman" w:eastAsia="宋体" w:cs="Times New Roman"/>
          <w:b/>
          <w:bCs/>
          <w:color w:val="auto"/>
          <w:sz w:val="24"/>
          <w:szCs w:val="24"/>
        </w:rPr>
        <w:t>候选人</w:t>
      </w:r>
    </w:p>
    <w:p>
      <w:pPr>
        <w:widowControl w:val="0"/>
        <w:adjustRightInd w:val="0"/>
        <w:snapToGrid w:val="0"/>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评审委员会按本评审办法规定作出的评审结果排序并出具经评审委员会全体成员签字的评审报告，推荐不多于3名成交候选人。最终得分最高</w:t>
      </w:r>
      <w:r>
        <w:rPr>
          <w:rFonts w:hint="eastAsia" w:ascii="宋体" w:hAnsi="宋体" w:eastAsia="宋体" w:cs="Times New Roman"/>
          <w:color w:val="auto"/>
          <w:sz w:val="24"/>
          <w:szCs w:val="24"/>
        </w:rPr>
        <w:t>的为第一成交候选人，最终得分次高的为第二成交候选人，以此类推。</w:t>
      </w:r>
    </w:p>
    <w:p>
      <w:pPr>
        <w:widowControl w:val="0"/>
        <w:adjustRightInd w:val="0"/>
        <w:snapToGrid w:val="0"/>
        <w:ind w:firstLine="0" w:firstLineChars="0"/>
        <w:rPr>
          <w:rFonts w:ascii="宋体" w:hAnsi="宋体" w:eastAsia="宋体" w:cs="Times New Roman"/>
          <w:color w:val="auto"/>
          <w:sz w:val="24"/>
          <w:szCs w:val="24"/>
        </w:rPr>
      </w:pPr>
    </w:p>
    <w:p>
      <w:pPr>
        <w:pageBreakBefore/>
        <w:widowControl w:val="0"/>
        <w:ind w:firstLine="422"/>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附表1：</w:t>
      </w:r>
    </w:p>
    <w:p>
      <w:pPr>
        <w:widowControl w:val="0"/>
        <w:ind w:firstLine="482"/>
        <w:rPr>
          <w:rFonts w:ascii="Times New Roman" w:hAnsi="Times New Roman" w:eastAsia="宋体" w:cs="Times New Roman"/>
          <w:b/>
          <w:color w:val="auto"/>
          <w:sz w:val="24"/>
          <w:szCs w:val="24"/>
        </w:rPr>
      </w:pPr>
    </w:p>
    <w:p>
      <w:pPr>
        <w:widowControl w:val="0"/>
        <w:ind w:firstLine="482"/>
        <w:jc w:val="center"/>
        <w:rPr>
          <w:rFonts w:ascii="Times New Roman" w:hAnsi="Times New Roman" w:eastAsia="宋体" w:cs="Times New Roman"/>
          <w:b/>
          <w:color w:val="auto"/>
          <w:sz w:val="28"/>
          <w:szCs w:val="24"/>
        </w:rPr>
      </w:pPr>
      <w:r>
        <w:rPr>
          <w:rFonts w:hint="eastAsia" w:ascii="宋体" w:hAnsi="宋体" w:eastAsia="宋体" w:cs="宋体"/>
          <w:b/>
          <w:color w:val="auto"/>
          <w:sz w:val="24"/>
          <w:szCs w:val="24"/>
        </w:rPr>
        <w:t>初步审查表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9"/>
        <w:gridCol w:w="3173"/>
        <w:gridCol w:w="2910"/>
        <w:gridCol w:w="15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39" w:type="dxa"/>
            <w:vAlign w:val="bottom"/>
          </w:tcPr>
          <w:p>
            <w:pPr>
              <w:widowControl w:val="0"/>
              <w:ind w:firstLine="0" w:firstLineChars="0"/>
              <w:jc w:val="right"/>
              <w:rPr>
                <w:rFonts w:ascii="宋体" w:hAnsi="宋体" w:eastAsia="宋体" w:cs="Times New Roman"/>
                <w:color w:val="auto"/>
                <w:sz w:val="21"/>
                <w:szCs w:val="21"/>
              </w:rPr>
            </w:pPr>
            <w:r>
              <w:rPr>
                <w:rFonts w:ascii="宋体" w:hAnsi="宋体" w:eastAsia="宋体" w:cs="Times New Roman"/>
                <w:color w:val="auto"/>
                <w:sz w:val="21"/>
                <w:szCs w:val="21"/>
              </w:rPr>
              <w:t>序号</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评审</w:t>
            </w:r>
            <w:r>
              <w:rPr>
                <w:rFonts w:ascii="宋体" w:hAnsi="宋体" w:eastAsia="宋体" w:cs="Times New Roman"/>
                <w:color w:val="auto"/>
                <w:sz w:val="21"/>
                <w:szCs w:val="21"/>
              </w:rPr>
              <w:t>内容</w:t>
            </w:r>
          </w:p>
        </w:tc>
        <w:tc>
          <w:tcPr>
            <w:tcW w:w="2910"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评审合格标准</w:t>
            </w:r>
          </w:p>
        </w:tc>
        <w:tc>
          <w:tcPr>
            <w:tcW w:w="1505"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是否合格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639" w:type="dxa"/>
            <w:vAlign w:val="center"/>
          </w:tcPr>
          <w:p>
            <w:pPr>
              <w:widowControl w:val="0"/>
              <w:tabs>
                <w:tab w:val="left" w:pos="315"/>
                <w:tab w:val="left" w:pos="1785"/>
                <w:tab w:val="left" w:pos="2310"/>
                <w:tab w:val="left" w:pos="8640"/>
              </w:tabs>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3173" w:type="dxa"/>
            <w:vAlign w:val="center"/>
          </w:tcPr>
          <w:p>
            <w:pPr>
              <w:widowControl w:val="0"/>
              <w:tabs>
                <w:tab w:val="left" w:pos="315"/>
                <w:tab w:val="left" w:pos="1785"/>
                <w:tab w:val="left" w:pos="2310"/>
                <w:tab w:val="left" w:pos="8640"/>
              </w:tabs>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响应文件有效性</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响应文件齐全、格式符合采购文件要求，盖公章、签字有效。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报价</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报价价格是固定价且未超过本项目最高限价。</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3</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响应文件有效期</w:t>
            </w:r>
          </w:p>
        </w:tc>
        <w:tc>
          <w:tcPr>
            <w:tcW w:w="2910" w:type="dxa"/>
          </w:tcPr>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响应文件截止日起90天内有效。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4</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法定代表人身份证明书、授权委托书、委托人及受托人身份证复印件</w:t>
            </w:r>
          </w:p>
        </w:tc>
        <w:tc>
          <w:tcPr>
            <w:tcW w:w="2910" w:type="dxa"/>
          </w:tcPr>
          <w:p>
            <w:pPr>
              <w:widowControl w:val="0"/>
              <w:tabs>
                <w:tab w:val="left" w:pos="0"/>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盖公章、签字有效</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资格审查</w:t>
            </w:r>
          </w:p>
        </w:tc>
        <w:tc>
          <w:tcPr>
            <w:tcW w:w="2910" w:type="dxa"/>
          </w:tcPr>
          <w:p>
            <w:pPr>
              <w:widowControl w:val="0"/>
              <w:tabs>
                <w:tab w:val="left" w:pos="0"/>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按采购文件的要求提交资格证明材料并符合要求。</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3173" w:type="dxa"/>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其他</w:t>
            </w:r>
          </w:p>
        </w:tc>
        <w:tc>
          <w:tcPr>
            <w:tcW w:w="2910" w:type="dxa"/>
          </w:tcPr>
          <w:p>
            <w:pPr>
              <w:widowControl w:val="0"/>
              <w:tabs>
                <w:tab w:val="left" w:pos="315"/>
                <w:tab w:val="left" w:pos="1785"/>
                <w:tab w:val="left" w:pos="2310"/>
                <w:tab w:val="left" w:pos="8640"/>
              </w:tabs>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不存在采购文件及相关法律法规规定的废标情形的。</w:t>
            </w: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bottom"/>
          </w:tcPr>
          <w:p>
            <w:pPr>
              <w:widowControl w:val="0"/>
              <w:ind w:firstLine="0" w:firstLineChars="0"/>
              <w:jc w:val="right"/>
              <w:rPr>
                <w:rFonts w:ascii="宋体" w:hAnsi="宋体" w:eastAsia="宋体" w:cs="Times New Roman"/>
                <w:color w:val="auto"/>
                <w:sz w:val="21"/>
                <w:szCs w:val="21"/>
              </w:rPr>
            </w:pPr>
            <w:r>
              <w:rPr>
                <w:rFonts w:ascii="宋体" w:hAnsi="宋体" w:eastAsia="宋体" w:cs="Times New Roman"/>
                <w:color w:val="auto"/>
                <w:sz w:val="21"/>
                <w:szCs w:val="21"/>
              </w:rPr>
              <w:t>结论</w:t>
            </w:r>
          </w:p>
        </w:tc>
        <w:tc>
          <w:tcPr>
            <w:tcW w:w="3173" w:type="dxa"/>
            <w:vAlign w:val="center"/>
          </w:tcPr>
          <w:p>
            <w:pPr>
              <w:widowControl w:val="0"/>
              <w:ind w:firstLine="0" w:firstLineChars="0"/>
              <w:jc w:val="center"/>
              <w:rPr>
                <w:rFonts w:ascii="宋体" w:hAnsi="宋体" w:eastAsia="宋体" w:cs="Times New Roman"/>
                <w:color w:val="auto"/>
                <w:sz w:val="21"/>
                <w:szCs w:val="21"/>
              </w:rPr>
            </w:pPr>
          </w:p>
        </w:tc>
        <w:tc>
          <w:tcPr>
            <w:tcW w:w="2910" w:type="dxa"/>
            <w:vAlign w:val="center"/>
          </w:tcPr>
          <w:p>
            <w:pPr>
              <w:widowControl w:val="0"/>
              <w:ind w:firstLine="0" w:firstLineChars="0"/>
              <w:jc w:val="center"/>
              <w:rPr>
                <w:rFonts w:ascii="宋体" w:hAnsi="宋体" w:eastAsia="宋体" w:cs="Times New Roman"/>
                <w:color w:val="auto"/>
                <w:sz w:val="21"/>
                <w:szCs w:val="21"/>
              </w:rPr>
            </w:pPr>
          </w:p>
        </w:tc>
        <w:tc>
          <w:tcPr>
            <w:tcW w:w="1505" w:type="dxa"/>
            <w:vAlign w:val="center"/>
          </w:tcPr>
          <w:p>
            <w:pPr>
              <w:widowControl w:val="0"/>
              <w:ind w:firstLine="0" w:firstLineChars="0"/>
              <w:rPr>
                <w:rFonts w:ascii="宋体" w:hAnsi="宋体"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6722" w:type="dxa"/>
            <w:gridSpan w:val="3"/>
            <w:vAlign w:val="center"/>
          </w:tcPr>
          <w:p>
            <w:pPr>
              <w:widowControl w:val="0"/>
              <w:ind w:firstLine="0" w:firstLineChars="0"/>
              <w:jc w:val="center"/>
              <w:rPr>
                <w:rFonts w:ascii="宋体" w:hAnsi="宋体" w:eastAsia="宋体" w:cs="Times New Roman"/>
                <w:color w:val="auto"/>
                <w:sz w:val="21"/>
                <w:szCs w:val="21"/>
              </w:rPr>
            </w:pPr>
          </w:p>
        </w:tc>
        <w:tc>
          <w:tcPr>
            <w:tcW w:w="1505" w:type="dxa"/>
            <w:vAlign w:val="center"/>
          </w:tcPr>
          <w:p>
            <w:pPr>
              <w:widowControl w:val="0"/>
              <w:ind w:firstLine="0" w:firstLineChars="0"/>
              <w:rPr>
                <w:rFonts w:ascii="宋体" w:hAnsi="宋体" w:eastAsia="宋体" w:cs="Times New Roman"/>
                <w:color w:val="auto"/>
                <w:sz w:val="21"/>
                <w:szCs w:val="21"/>
              </w:rPr>
            </w:pPr>
          </w:p>
        </w:tc>
      </w:tr>
    </w:tbl>
    <w:p>
      <w:pPr>
        <w:widowControl w:val="0"/>
        <w:ind w:firstLine="420"/>
        <w:rPr>
          <w:rFonts w:ascii="宋体" w:hAnsi="宋体" w:eastAsia="宋体" w:cs="Times New Roman"/>
          <w:color w:val="auto"/>
          <w:sz w:val="21"/>
          <w:szCs w:val="21"/>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widowControl w:val="0"/>
        <w:ind w:firstLine="482"/>
        <w:rPr>
          <w:rFonts w:ascii="宋体" w:hAnsi="宋体" w:eastAsia="宋体" w:cs="Times New Roman"/>
          <w:b/>
          <w:bCs/>
          <w:color w:val="auto"/>
          <w:sz w:val="24"/>
          <w:szCs w:val="24"/>
        </w:rPr>
      </w:pPr>
    </w:p>
    <w:p>
      <w:pPr>
        <w:pStyle w:val="2"/>
        <w:ind w:firstLine="643"/>
        <w:rPr>
          <w:color w:val="auto"/>
        </w:rPr>
      </w:pPr>
    </w:p>
    <w:p>
      <w:pPr>
        <w:widowControl w:val="0"/>
        <w:ind w:firstLine="482"/>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附表2</w:t>
      </w:r>
      <w:r>
        <w:rPr>
          <w:rFonts w:ascii="宋体" w:hAnsi="宋体" w:eastAsia="宋体" w:cs="Times New Roman"/>
          <w:b/>
          <w:bCs/>
          <w:color w:val="auto"/>
          <w:sz w:val="24"/>
          <w:szCs w:val="24"/>
        </w:rPr>
        <w:t>:</w:t>
      </w:r>
    </w:p>
    <w:p>
      <w:pPr>
        <w:widowControl w:val="0"/>
        <w:ind w:firstLine="438"/>
        <w:jc w:val="center"/>
        <w:rPr>
          <w:rFonts w:ascii="宋体" w:hAnsi="宋体" w:eastAsia="宋体" w:cs="方正小标宋简体"/>
          <w:b/>
          <w:bCs/>
          <w:color w:val="auto"/>
          <w:spacing w:val="-11"/>
          <w:sz w:val="24"/>
          <w:szCs w:val="24"/>
        </w:rPr>
      </w:pPr>
      <w:bookmarkStart w:id="36" w:name="_Toc18471"/>
      <w:bookmarkStart w:id="37" w:name="_Toc30288"/>
      <w:r>
        <w:rPr>
          <w:rFonts w:ascii="宋体" w:hAnsi="宋体" w:eastAsia="宋体" w:cs="方正小标宋简体"/>
          <w:b/>
          <w:bCs/>
          <w:color w:val="auto"/>
          <w:spacing w:val="-11"/>
          <w:sz w:val="24"/>
          <w:szCs w:val="24"/>
        </w:rPr>
        <w:t>资格审查表</w:t>
      </w:r>
      <w:bookmarkEnd w:id="36"/>
      <w:bookmarkEnd w:id="37"/>
    </w:p>
    <w:tbl>
      <w:tblPr>
        <w:tblStyle w:val="2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87"/>
        <w:gridCol w:w="4124"/>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b/>
                <w:color w:val="auto"/>
                <w:sz w:val="21"/>
                <w:szCs w:val="21"/>
              </w:rPr>
            </w:pPr>
            <w:bookmarkStart w:id="38" w:name="_Hlk47298222"/>
            <w:r>
              <w:rPr>
                <w:rFonts w:ascii="宋体" w:hAnsi="宋体" w:eastAsia="宋体" w:cs="Times New Roman"/>
                <w:b/>
                <w:color w:val="auto"/>
                <w:sz w:val="21"/>
                <w:szCs w:val="21"/>
              </w:rPr>
              <w:t>序号</w:t>
            </w:r>
          </w:p>
        </w:tc>
        <w:tc>
          <w:tcPr>
            <w:tcW w:w="2887" w:type="dxa"/>
            <w:vAlign w:val="center"/>
          </w:tcPr>
          <w:p>
            <w:pPr>
              <w:widowControl w:val="0"/>
              <w:snapToGrid w:val="0"/>
              <w:ind w:firstLine="0" w:firstLineChars="0"/>
              <w:jc w:val="center"/>
              <w:rPr>
                <w:rFonts w:ascii="宋体" w:hAnsi="宋体" w:eastAsia="宋体" w:cs="Times New Roman"/>
                <w:b/>
                <w:color w:val="auto"/>
                <w:sz w:val="21"/>
                <w:szCs w:val="21"/>
              </w:rPr>
            </w:pPr>
            <w:r>
              <w:rPr>
                <w:rFonts w:ascii="宋体" w:hAnsi="宋体" w:eastAsia="宋体" w:cs="Times New Roman"/>
                <w:b/>
                <w:color w:val="auto"/>
                <w:sz w:val="21"/>
                <w:szCs w:val="21"/>
              </w:rPr>
              <w:t>评审内容</w:t>
            </w:r>
          </w:p>
        </w:tc>
        <w:tc>
          <w:tcPr>
            <w:tcW w:w="4124"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评审合格标准</w:t>
            </w:r>
          </w:p>
        </w:tc>
        <w:tc>
          <w:tcPr>
            <w:tcW w:w="1499"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color w:val="auto"/>
                <w:sz w:val="21"/>
                <w:szCs w:val="21"/>
              </w:rPr>
              <w:t>1</w:t>
            </w:r>
          </w:p>
        </w:tc>
        <w:tc>
          <w:tcPr>
            <w:tcW w:w="2887" w:type="dxa"/>
            <w:vAlign w:val="center"/>
          </w:tcPr>
          <w:p>
            <w:pPr>
              <w:widowControl w:val="0"/>
              <w:snapToGrid w:val="0"/>
              <w:ind w:firstLine="0" w:firstLineChars="0"/>
              <w:jc w:val="center"/>
              <w:rPr>
                <w:rFonts w:ascii="宋体" w:hAnsi="宋体" w:eastAsia="宋体" w:cs="Times New Roman"/>
                <w:b/>
                <w:color w:val="auto"/>
                <w:sz w:val="21"/>
                <w:szCs w:val="21"/>
              </w:rPr>
            </w:pPr>
            <w:r>
              <w:rPr>
                <w:rFonts w:hint="eastAsia" w:ascii="宋体" w:hAnsi="宋体" w:eastAsia="宋体" w:cs="Times New Roman"/>
                <w:color w:val="auto"/>
                <w:sz w:val="21"/>
                <w:szCs w:val="21"/>
              </w:rPr>
              <w:t>供应商名称</w:t>
            </w:r>
          </w:p>
        </w:tc>
        <w:tc>
          <w:tcPr>
            <w:tcW w:w="4124" w:type="dxa"/>
          </w:tcPr>
          <w:p>
            <w:pPr>
              <w:widowControl w:val="0"/>
              <w:snapToGrid w:val="0"/>
              <w:ind w:firstLine="0" w:firstLineChars="0"/>
              <w:rPr>
                <w:rFonts w:ascii="宋体" w:hAnsi="宋体" w:eastAsia="宋体" w:cs="Times New Roman"/>
                <w:b/>
                <w:color w:val="auto"/>
                <w:sz w:val="21"/>
                <w:szCs w:val="21"/>
              </w:rPr>
            </w:pPr>
            <w:r>
              <w:rPr>
                <w:rFonts w:hint="eastAsia" w:ascii="宋体" w:hAnsi="宋体" w:eastAsia="宋体" w:cs="Times New Roman"/>
                <w:color w:val="auto"/>
                <w:sz w:val="21"/>
                <w:szCs w:val="21"/>
              </w:rPr>
              <w:t>与比选报名、营业执照一致（符合法定工商变更程序除外）。</w:t>
            </w:r>
          </w:p>
        </w:tc>
        <w:tc>
          <w:tcPr>
            <w:tcW w:w="1499" w:type="dxa"/>
            <w:vAlign w:val="center"/>
          </w:tcPr>
          <w:p>
            <w:pPr>
              <w:widowControl w:val="0"/>
              <w:snapToGrid w:val="0"/>
              <w:ind w:firstLine="0" w:firstLineChars="0"/>
              <w:jc w:val="center"/>
              <w:rPr>
                <w:rFonts w:ascii="宋体" w:hAnsi="宋体"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具有独立承担民事责任的能力</w:t>
            </w:r>
          </w:p>
        </w:tc>
        <w:tc>
          <w:tcPr>
            <w:tcW w:w="4124" w:type="dxa"/>
          </w:tcPr>
          <w:p>
            <w:pPr>
              <w:widowControl w:val="0"/>
              <w:snapToGrid w:val="0"/>
              <w:ind w:firstLine="0" w:firstLineChars="0"/>
              <w:rPr>
                <w:rFonts w:ascii="宋体" w:hAnsi="宋体" w:eastAsia="宋体" w:cs="Times New Roman"/>
                <w:color w:val="auto"/>
                <w:sz w:val="21"/>
                <w:szCs w:val="21"/>
              </w:rPr>
            </w:pPr>
            <w:r>
              <w:rPr>
                <w:rFonts w:ascii="宋体" w:hAnsi="宋体" w:eastAsia="宋体" w:cs="Times New Roman"/>
                <w:color w:val="auto"/>
                <w:sz w:val="21"/>
                <w:szCs w:val="21"/>
              </w:rPr>
              <w:t>提供了</w:t>
            </w:r>
            <w:r>
              <w:rPr>
                <w:rFonts w:hint="eastAsia" w:ascii="宋体" w:hAnsi="宋体" w:eastAsia="宋体" w:cs="Times New Roman"/>
                <w:color w:val="auto"/>
                <w:sz w:val="21"/>
                <w:szCs w:val="21"/>
              </w:rPr>
              <w:t>有效的</w:t>
            </w:r>
            <w:r>
              <w:rPr>
                <w:rFonts w:ascii="宋体" w:hAnsi="宋体" w:eastAsia="宋体" w:cs="宋体"/>
                <w:color w:val="auto"/>
                <w:sz w:val="21"/>
                <w:szCs w:val="21"/>
              </w:rPr>
              <w:t>法人或者其他组织的营业执照等证明文件，自然人的身份证明</w:t>
            </w:r>
            <w:r>
              <w:rPr>
                <w:rFonts w:hint="eastAsia" w:ascii="宋体" w:hAnsi="宋体" w:eastAsia="宋体" w:cs="宋体"/>
                <w:color w:val="auto"/>
                <w:sz w:val="21"/>
                <w:szCs w:val="21"/>
              </w:rPr>
              <w:t>。</w:t>
            </w:r>
            <w:r>
              <w:rPr>
                <w:rFonts w:ascii="宋体" w:hAnsi="宋体" w:eastAsia="宋体" w:cs="宋体"/>
                <w:color w:val="auto"/>
                <w:sz w:val="21"/>
                <w:szCs w:val="21"/>
              </w:rPr>
              <w:t>（如是分支机构，须取得其总公司授权</w:t>
            </w:r>
            <w:r>
              <w:rPr>
                <w:rFonts w:hint="eastAsia" w:ascii="宋体" w:hAnsi="宋体" w:eastAsia="宋体" w:cs="宋体"/>
                <w:color w:val="auto"/>
                <w:sz w:val="21"/>
                <w:szCs w:val="21"/>
              </w:rPr>
              <w:t>。</w:t>
            </w:r>
            <w:r>
              <w:rPr>
                <w:rFonts w:ascii="宋体" w:hAnsi="宋体" w:eastAsia="宋体" w:cs="宋体"/>
                <w:color w:val="auto"/>
                <w:sz w:val="21"/>
                <w:szCs w:val="21"/>
              </w:rPr>
              <w:t>）</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ascii="宋体" w:hAnsi="宋体" w:eastAsia="宋体" w:cs="Times New Roman"/>
                <w:color w:val="auto"/>
                <w:sz w:val="21"/>
                <w:szCs w:val="21"/>
              </w:rPr>
              <w:t>3</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有依法缴纳税收和社会保障资金的良好记录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1.提供202</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年至响应文件提交截止日任意1个月的纳税凭证（银行出具的纳税凭证或税务机关出具的证明的复印件，并加盖本单位公章）或免税证明。</w:t>
            </w:r>
          </w:p>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2.提供202</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年至响应文件提交截止日任意1个月的社会保障资金缴纳记录（专用收据或社会保险缴纳清单）或免缴纳证明。</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4</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健全的财务会计制度</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提供</w:t>
            </w:r>
            <w:r>
              <w:rPr>
                <w:rFonts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年度经审计的财务审计报告或</w:t>
            </w:r>
            <w:r>
              <w:rPr>
                <w:rFonts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年度财务报表（含资产负债表、利润表、现金流量表）。</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参加政府采购活动前三年内，在经营活动中没有重大违法记录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提供有效的参加政府采购活动前3年内在经营活动中没有重大违法记录的书面声明。</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“信用中国”网站和“中国政府采购网”查询记录</w:t>
            </w:r>
          </w:p>
        </w:tc>
        <w:tc>
          <w:tcPr>
            <w:tcW w:w="4124" w:type="dxa"/>
          </w:tcPr>
          <w:p>
            <w:pPr>
              <w:widowControl w:val="0"/>
              <w:snapToGrid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eastAsia="宋体" w:cs="Times New Roman"/>
                <w:color w:val="auto"/>
                <w:sz w:val="21"/>
                <w:szCs w:val="21"/>
              </w:rPr>
              <w:t>www.creditchina.gov.cn）中列入失信被执行人和</w:t>
            </w:r>
            <w:r>
              <w:rPr>
                <w:rFonts w:hint="eastAsia" w:ascii="宋体" w:hAnsi="宋体" w:eastAsia="宋体" w:cs="Times New Roman"/>
                <w:color w:val="auto"/>
                <w:sz w:val="21"/>
                <w:szCs w:val="21"/>
              </w:rPr>
              <w:fldChar w:fldCharType="end"/>
            </w:r>
            <w:r>
              <w:rPr>
                <w:rFonts w:hint="eastAsia" w:ascii="宋体" w:hAnsi="宋体" w:eastAsia="宋体" w:cs="Times New Roman"/>
                <w:color w:val="auto"/>
                <w:sz w:val="21"/>
                <w:szCs w:val="21"/>
              </w:rPr>
              <w:t>重大税收违法案件当事人名单、未被中国政府采购网（www.ccgp.gov.cn）列入政府采购严重违法失信行为记录名单。</w:t>
            </w: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ascii="宋体" w:hAnsi="宋体" w:eastAsia="宋体" w:cs="Times New Roman"/>
                <w:color w:val="auto"/>
                <w:sz w:val="21"/>
                <w:szCs w:val="21"/>
              </w:rPr>
            </w:pPr>
          </w:p>
        </w:tc>
        <w:tc>
          <w:tcPr>
            <w:tcW w:w="2887" w:type="dxa"/>
            <w:vAlign w:val="center"/>
          </w:tcPr>
          <w:p>
            <w:pPr>
              <w:widowControl w:val="0"/>
              <w:snapToGrid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结论</w:t>
            </w:r>
          </w:p>
        </w:tc>
        <w:tc>
          <w:tcPr>
            <w:tcW w:w="4124" w:type="dxa"/>
          </w:tcPr>
          <w:p>
            <w:pPr>
              <w:widowControl w:val="0"/>
              <w:snapToGrid w:val="0"/>
              <w:ind w:firstLine="0" w:firstLineChars="0"/>
              <w:jc w:val="center"/>
              <w:rPr>
                <w:rFonts w:ascii="宋体" w:hAnsi="宋体" w:eastAsia="宋体" w:cs="Times New Roman"/>
                <w:color w:val="auto"/>
                <w:sz w:val="21"/>
                <w:szCs w:val="21"/>
              </w:rPr>
            </w:pPr>
          </w:p>
        </w:tc>
        <w:tc>
          <w:tcPr>
            <w:tcW w:w="1499" w:type="dxa"/>
            <w:vAlign w:val="center"/>
          </w:tcPr>
          <w:p>
            <w:pPr>
              <w:widowControl w:val="0"/>
              <w:snapToGrid w:val="0"/>
              <w:ind w:firstLine="0" w:firstLineChars="0"/>
              <w:jc w:val="center"/>
              <w:rPr>
                <w:rFonts w:ascii="宋体" w:hAnsi="宋体" w:eastAsia="宋体" w:cs="Times New Roman"/>
                <w:color w:val="auto"/>
                <w:sz w:val="21"/>
                <w:szCs w:val="21"/>
              </w:rPr>
            </w:pPr>
          </w:p>
        </w:tc>
      </w:tr>
      <w:bookmarkEnd w:id="38"/>
    </w:tbl>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p>
    <w:p>
      <w:pPr>
        <w:ind w:firstLine="482"/>
        <w:jc w:val="left"/>
        <w:rPr>
          <w:rFonts w:ascii="宋体" w:hAnsi="宋体" w:eastAsia="宋体" w:cs="宋体"/>
          <w:b/>
          <w:bCs/>
          <w:color w:val="auto"/>
          <w:sz w:val="24"/>
          <w:szCs w:val="24"/>
        </w:rPr>
      </w:pPr>
      <w:r>
        <w:rPr>
          <w:rFonts w:hint="eastAsia" w:ascii="宋体" w:hAnsi="宋体" w:eastAsia="宋体" w:cs="宋体"/>
          <w:b/>
          <w:bCs/>
          <w:color w:val="auto"/>
          <w:sz w:val="24"/>
          <w:szCs w:val="24"/>
        </w:rPr>
        <w:t>附表3:</w:t>
      </w:r>
    </w:p>
    <w:p>
      <w:pPr>
        <w:widowControl w:val="0"/>
        <w:ind w:firstLine="420"/>
        <w:rPr>
          <w:rFonts w:ascii="Times New Roman" w:hAnsi="Times New Roman" w:eastAsia="宋体" w:cs="Times New Roman"/>
          <w:color w:val="auto"/>
          <w:sz w:val="21"/>
          <w:szCs w:val="24"/>
        </w:rPr>
      </w:pPr>
    </w:p>
    <w:p>
      <w:pPr>
        <w:widowControl w:val="0"/>
        <w:ind w:firstLine="438"/>
        <w:jc w:val="center"/>
        <w:rPr>
          <w:rFonts w:ascii="宋体" w:hAnsi="宋体" w:eastAsia="宋体" w:cs="方正小标宋简体"/>
          <w:b/>
          <w:bCs/>
          <w:color w:val="auto"/>
          <w:spacing w:val="-11"/>
          <w:sz w:val="24"/>
          <w:szCs w:val="24"/>
        </w:rPr>
      </w:pPr>
      <w:bookmarkStart w:id="39" w:name="_Toc5632"/>
      <w:bookmarkStart w:id="40" w:name="_Toc410631198"/>
      <w:bookmarkStart w:id="41" w:name="_Toc25550"/>
      <w:bookmarkStart w:id="42" w:name="_Toc414446034"/>
      <w:r>
        <w:rPr>
          <w:rFonts w:ascii="宋体" w:hAnsi="宋体" w:eastAsia="宋体" w:cs="方正小标宋简体"/>
          <w:b/>
          <w:bCs/>
          <w:color w:val="auto"/>
          <w:spacing w:val="-11"/>
          <w:sz w:val="24"/>
          <w:szCs w:val="24"/>
        </w:rPr>
        <w:t>商务评审因素及分值分配表</w:t>
      </w:r>
      <w:bookmarkEnd w:id="39"/>
      <w:bookmarkEnd w:id="40"/>
      <w:bookmarkEnd w:id="41"/>
      <w:bookmarkEnd w:id="42"/>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58"/>
        <w:gridCol w:w="1130"/>
        <w:gridCol w:w="497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Align w:val="center"/>
          </w:tcPr>
          <w:p>
            <w:pPr>
              <w:widowControl w:val="0"/>
              <w:ind w:firstLine="0" w:firstLineChars="0"/>
              <w:jc w:val="center"/>
              <w:rPr>
                <w:rFonts w:ascii="宋体" w:hAnsi="宋体" w:eastAsia="宋体" w:cs="Times New Roman"/>
                <w:b/>
                <w:bCs/>
                <w:color w:val="auto"/>
                <w:sz w:val="24"/>
                <w:szCs w:val="24"/>
                <w:highlight w:val="none"/>
              </w:rPr>
            </w:pPr>
            <w:bookmarkStart w:id="43" w:name="_Hlk47298294"/>
            <w:r>
              <w:rPr>
                <w:rFonts w:ascii="宋体" w:hAnsi="宋体" w:eastAsia="宋体" w:cs="Times New Roman"/>
                <w:b/>
                <w:bCs/>
                <w:color w:val="auto"/>
                <w:sz w:val="24"/>
                <w:szCs w:val="24"/>
                <w:highlight w:val="none"/>
              </w:rPr>
              <w:t>序号</w:t>
            </w:r>
          </w:p>
        </w:tc>
        <w:tc>
          <w:tcPr>
            <w:tcW w:w="904"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评审内容</w:t>
            </w:r>
          </w:p>
        </w:tc>
        <w:tc>
          <w:tcPr>
            <w:tcW w:w="616"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标准分</w:t>
            </w:r>
          </w:p>
        </w:tc>
        <w:tc>
          <w:tcPr>
            <w:tcW w:w="2712"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评  审  标  准</w:t>
            </w:r>
          </w:p>
        </w:tc>
        <w:tc>
          <w:tcPr>
            <w:tcW w:w="392" w:type="pct"/>
            <w:vAlign w:val="center"/>
          </w:tcPr>
          <w:p>
            <w:pPr>
              <w:widowControl w:val="0"/>
              <w:ind w:firstLine="0" w:firstLineChars="0"/>
              <w:jc w:val="center"/>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项目负责人个人专业能力</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auto"/>
                <w:sz w:val="21"/>
                <w:szCs w:val="24"/>
                <w:highlight w:val="none"/>
                <w:lang w:val="en-US" w:eastAsia="zh-CN"/>
              </w:rPr>
              <w:t>其中</w:t>
            </w:r>
            <w:r>
              <w:rPr>
                <w:rFonts w:hint="eastAsia" w:ascii="Times New Roman" w:hAnsi="Times New Roman" w:eastAsia="宋体" w:cs="Times New Roman"/>
                <w:color w:val="auto"/>
                <w:sz w:val="21"/>
                <w:szCs w:val="24"/>
                <w:highlight w:val="none"/>
              </w:rPr>
              <w:t>课题组负责人需具有</w:t>
            </w:r>
            <w:r>
              <w:rPr>
                <w:rFonts w:hint="eastAsia" w:ascii="Times New Roman" w:hAnsi="Times New Roman" w:eastAsia="宋体" w:cs="Times New Roman"/>
                <w:color w:val="auto"/>
                <w:sz w:val="21"/>
                <w:szCs w:val="24"/>
                <w:highlight w:val="none"/>
                <w:lang w:val="en-US" w:eastAsia="zh-CN"/>
              </w:rPr>
              <w:t>正</w:t>
            </w:r>
            <w:r>
              <w:rPr>
                <w:rFonts w:hint="eastAsia" w:ascii="Times New Roman" w:hAnsi="Times New Roman" w:eastAsia="宋体" w:cs="Times New Roman"/>
                <w:color w:val="auto"/>
                <w:sz w:val="21"/>
                <w:szCs w:val="24"/>
                <w:highlight w:val="none"/>
              </w:rPr>
              <w:t>高级职称</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3分</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 w:val="21"/>
                <w:szCs w:val="24"/>
                <w:highlight w:val="none"/>
                <w:lang w:val="en-US" w:eastAsia="zh-CN"/>
              </w:rPr>
              <w:t>高级职称（1分），其他不加分。</w:t>
            </w:r>
            <w:r>
              <w:rPr>
                <w:rFonts w:hint="eastAsia" w:ascii="Times New Roman" w:hAnsi="Times New Roman" w:eastAsia="宋体" w:cs="Times New Roman"/>
                <w:color w:val="auto"/>
                <w:sz w:val="21"/>
                <w:szCs w:val="24"/>
                <w:highlight w:val="none"/>
              </w:rPr>
              <w:t>项目负责人</w:t>
            </w:r>
            <w:r>
              <w:rPr>
                <w:rFonts w:hint="eastAsia" w:ascii="Times New Roman" w:hAnsi="Times New Roman" w:eastAsia="宋体" w:cs="Times New Roman"/>
                <w:color w:val="auto"/>
                <w:sz w:val="21"/>
                <w:szCs w:val="24"/>
                <w:highlight w:val="none"/>
                <w:lang w:val="en-US" w:eastAsia="zh-CN"/>
              </w:rPr>
              <w:t>作为相关规划课题或者地方产业研究的负责人的业绩，一个业绩得1分，本项最高得5分。</w:t>
            </w:r>
          </w:p>
          <w:p>
            <w:pPr>
              <w:widowControl w:val="0"/>
              <w:spacing w:line="240" w:lineRule="auto"/>
              <w:ind w:firstLine="0" w:firstLineChars="0"/>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证明材料：提供项目负责人个人</w:t>
            </w:r>
            <w:r>
              <w:rPr>
                <w:rFonts w:hint="eastAsia" w:ascii="Times New Roman" w:hAnsi="Times New Roman" w:eastAsia="宋体" w:cs="Times New Roman"/>
                <w:color w:val="auto"/>
                <w:sz w:val="21"/>
                <w:szCs w:val="24"/>
                <w:highlight w:val="none"/>
                <w:lang w:eastAsia="zh-CN"/>
              </w:rPr>
              <w:t>职称</w:t>
            </w:r>
            <w:r>
              <w:rPr>
                <w:rFonts w:hint="eastAsia" w:ascii="Times New Roman" w:hAnsi="Times New Roman" w:eastAsia="宋体" w:cs="Times New Roman"/>
                <w:color w:val="auto"/>
                <w:sz w:val="21"/>
                <w:szCs w:val="24"/>
                <w:highlight w:val="none"/>
              </w:rPr>
              <w:t>、学历证明、工作业绩合同关键页复印件，提供的材料须体现本项目负责人姓名。</w:t>
            </w:r>
          </w:p>
          <w:p>
            <w:pPr>
              <w:widowControl w:val="0"/>
              <w:spacing w:line="240" w:lineRule="auto"/>
              <w:ind w:firstLine="0" w:firstLineChars="0"/>
              <w:rPr>
                <w:rFonts w:ascii="Times New Roman" w:hAnsi="Times New Roman" w:eastAsia="宋体" w:cs="Times New Roman"/>
                <w:color w:val="auto"/>
                <w:sz w:val="21"/>
                <w:szCs w:val="24"/>
                <w:highlight w:val="none"/>
              </w:rPr>
            </w:pP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响应单位业绩</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w:t>24</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响应单位在报名截止日前三年内</w:t>
            </w:r>
            <w:r>
              <w:rPr>
                <w:rFonts w:hint="default" w:ascii="Times New Roman" w:hAnsi="Times New Roman" w:eastAsia="宋体" w:cs="Times New Roman"/>
                <w:color w:val="auto"/>
                <w:sz w:val="21"/>
                <w:szCs w:val="24"/>
                <w:highlight w:val="none"/>
                <w:shd w:val="clear" w:color="auto" w:fill="auto"/>
              </w:rPr>
              <w:t>承担过相关规划（概念性规划或产业规划）的课题研究</w:t>
            </w:r>
            <w:r>
              <w:rPr>
                <w:rFonts w:hint="eastAsia" w:ascii="Times New Roman" w:hAnsi="Times New Roman" w:eastAsia="宋体" w:cs="Times New Roman"/>
                <w:color w:val="auto"/>
                <w:sz w:val="21"/>
                <w:szCs w:val="24"/>
                <w:highlight w:val="none"/>
              </w:rPr>
              <w:t>，每提供一个得</w:t>
            </w:r>
            <w:r>
              <w:rPr>
                <w:rFonts w:hint="eastAsia" w:ascii="Times New Roman" w:hAnsi="Times New Roman" w:eastAsia="宋体" w:cs="Times New Roman"/>
                <w:color w:val="auto"/>
                <w:sz w:val="21"/>
                <w:szCs w:val="24"/>
                <w:highlight w:val="none"/>
                <w:lang w:val="en-US" w:eastAsia="zh-CN"/>
              </w:rPr>
              <w:t>3</w:t>
            </w:r>
            <w:r>
              <w:rPr>
                <w:rFonts w:hint="eastAsia" w:ascii="Times New Roman" w:hAnsi="Times New Roman" w:eastAsia="宋体" w:cs="Times New Roman"/>
                <w:color w:val="auto"/>
                <w:sz w:val="21"/>
                <w:szCs w:val="24"/>
                <w:highlight w:val="none"/>
              </w:rPr>
              <w:t>分，本项满分24分。</w:t>
            </w:r>
          </w:p>
          <w:p>
            <w:pPr>
              <w:widowControl w:val="0"/>
              <w:spacing w:line="240" w:lineRule="auto"/>
              <w:ind w:firstLine="0" w:firstLineChars="0"/>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证明材料：提供相关项目合同（首页、签字盖章页）或中标通知书复印件，提供的材料须体现本项目负责人姓名。</w:t>
            </w: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376" w:type="pct"/>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长期驻场响应</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分</w:t>
            </w:r>
          </w:p>
        </w:tc>
        <w:tc>
          <w:tcPr>
            <w:tcW w:w="271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hint="eastAsia" w:ascii="Times New Roman" w:hAnsi="Times New Roman" w:eastAsia="宋体" w:cs="Times New Roman"/>
                <w:color w:val="auto"/>
                <w:sz w:val="21"/>
                <w:szCs w:val="24"/>
                <w:highlight w:val="none"/>
                <w:shd w:val="clear" w:color="auto" w:fill="auto"/>
              </w:rPr>
            </w:pPr>
            <w:r>
              <w:rPr>
                <w:rFonts w:hint="eastAsia" w:ascii="Times New Roman" w:hAnsi="Times New Roman" w:eastAsia="宋体" w:cs="Times New Roman"/>
                <w:color w:val="auto"/>
                <w:sz w:val="21"/>
                <w:szCs w:val="24"/>
                <w:highlight w:val="none"/>
                <w:shd w:val="clear" w:color="auto" w:fill="auto"/>
              </w:rPr>
              <w:t>项目其他团队成员资质</w:t>
            </w:r>
            <w:r>
              <w:rPr>
                <w:rFonts w:hint="eastAsia" w:ascii="Times New Roman" w:hAnsi="Times New Roman" w:eastAsia="宋体" w:cs="Times New Roman"/>
                <w:color w:val="auto"/>
                <w:sz w:val="21"/>
                <w:szCs w:val="24"/>
                <w:highlight w:val="none"/>
                <w:shd w:val="clear" w:color="auto" w:fill="auto"/>
                <w:lang w:val="en-US" w:eastAsia="zh-CN"/>
              </w:rPr>
              <w:t>8</w:t>
            </w:r>
            <w:r>
              <w:rPr>
                <w:rFonts w:hint="eastAsia" w:ascii="Times New Roman" w:hAnsi="Times New Roman" w:eastAsia="宋体" w:cs="Times New Roman"/>
                <w:color w:val="auto"/>
                <w:sz w:val="21"/>
                <w:szCs w:val="24"/>
                <w:highlight w:val="none"/>
                <w:shd w:val="clear" w:color="auto" w:fill="auto"/>
              </w:rPr>
              <w:t>分</w:t>
            </w:r>
            <w:r>
              <w:rPr>
                <w:rFonts w:hint="eastAsia" w:ascii="Times New Roman" w:hAnsi="Times New Roman" w:eastAsia="宋体" w:cs="Times New Roman"/>
                <w:color w:val="auto"/>
                <w:sz w:val="21"/>
                <w:szCs w:val="24"/>
                <w:highlight w:val="none"/>
                <w:shd w:val="clear" w:color="auto" w:fill="auto"/>
                <w:lang w:eastAsia="zh-CN"/>
              </w:rPr>
              <w:t>。</w:t>
            </w:r>
            <w:r>
              <w:rPr>
                <w:rFonts w:hint="eastAsia" w:ascii="Times New Roman" w:hAnsi="Times New Roman" w:eastAsia="宋体" w:cs="Times New Roman"/>
                <w:color w:val="auto"/>
                <w:sz w:val="21"/>
                <w:szCs w:val="24"/>
                <w:highlight w:val="none"/>
                <w:shd w:val="clear" w:color="auto" w:fill="auto"/>
                <w:lang w:val="en-US" w:eastAsia="zh-CN"/>
              </w:rPr>
              <w:t>成员中具有正高级技术职称资格不少于5人，超出5人部分每增加1人得2分；副高级技术职称资格不少于5人，超出5人部分每增加1人得1分。</w:t>
            </w:r>
          </w:p>
          <w:p>
            <w:pPr>
              <w:widowControl w:val="0"/>
              <w:spacing w:line="240" w:lineRule="auto"/>
              <w:ind w:firstLine="0" w:firstLineChars="0"/>
              <w:rPr>
                <w:color w:val="auto"/>
                <w:sz w:val="28"/>
                <w:szCs w:val="36"/>
              </w:rPr>
            </w:pPr>
            <w:r>
              <w:rPr>
                <w:rFonts w:hint="eastAsia" w:ascii="Times New Roman" w:hAnsi="Times New Roman" w:eastAsia="宋体" w:cs="Times New Roman"/>
                <w:color w:val="auto"/>
                <w:sz w:val="21"/>
                <w:szCs w:val="24"/>
                <w:highlight w:val="none"/>
                <w:shd w:val="clear" w:color="auto" w:fill="auto"/>
              </w:rPr>
              <w:t>证明材料：提供个人</w:t>
            </w:r>
            <w:r>
              <w:rPr>
                <w:rFonts w:hint="eastAsia" w:ascii="Times New Roman" w:hAnsi="Times New Roman" w:eastAsia="宋体" w:cs="Times New Roman"/>
                <w:color w:val="auto"/>
                <w:sz w:val="21"/>
                <w:szCs w:val="24"/>
                <w:highlight w:val="none"/>
                <w:shd w:val="clear" w:color="auto" w:fill="auto"/>
                <w:lang w:val="en-US" w:eastAsia="zh-CN"/>
              </w:rPr>
              <w:t>职称</w:t>
            </w:r>
            <w:r>
              <w:rPr>
                <w:rFonts w:hint="eastAsia" w:ascii="Times New Roman" w:hAnsi="Times New Roman" w:eastAsia="宋体" w:cs="Times New Roman"/>
                <w:color w:val="auto"/>
                <w:sz w:val="21"/>
                <w:szCs w:val="24"/>
                <w:highlight w:val="none"/>
                <w:shd w:val="clear" w:color="auto" w:fill="auto"/>
              </w:rPr>
              <w:t>、学历证明（复印件）。</w:t>
            </w:r>
          </w:p>
          <w:p>
            <w:pPr>
              <w:widowControl w:val="0"/>
              <w:tabs>
                <w:tab w:val="right" w:pos="4178"/>
              </w:tabs>
              <w:spacing w:line="240" w:lineRule="auto"/>
              <w:ind w:firstLine="0" w:firstLineChars="0"/>
              <w:rPr>
                <w:rFonts w:ascii="宋体" w:hAnsi="宋体" w:eastAsia="宋体" w:cs="Times New Roman"/>
                <w:bCs/>
                <w:color w:val="auto"/>
                <w:sz w:val="21"/>
                <w:szCs w:val="21"/>
                <w:highlight w:val="none"/>
              </w:rPr>
            </w:pPr>
          </w:p>
        </w:tc>
        <w:tc>
          <w:tcPr>
            <w:tcW w:w="392" w:type="pct"/>
            <w:vAlign w:val="center"/>
          </w:tcPr>
          <w:p>
            <w:pPr>
              <w:widowControl w:val="0"/>
              <w:ind w:firstLine="0" w:firstLineChars="0"/>
              <w:rPr>
                <w:rFonts w:ascii="宋体" w:hAnsi="宋体" w:eastAsia="宋体" w:cs="Times New Roman"/>
                <w:color w:val="auto"/>
                <w:sz w:val="24"/>
                <w:szCs w:val="24"/>
                <w:highlight w:val="none"/>
              </w:rPr>
            </w:pPr>
          </w:p>
        </w:tc>
      </w:tr>
      <w:bookmarkEnd w:id="43"/>
    </w:tbl>
    <w:p>
      <w:pPr>
        <w:pStyle w:val="2"/>
        <w:rPr>
          <w:color w:val="auto"/>
        </w:rPr>
      </w:pPr>
    </w:p>
    <w:p>
      <w:pPr>
        <w:pageBreakBefore/>
        <w:ind w:firstLine="482"/>
        <w:jc w:val="left"/>
        <w:rPr>
          <w:rFonts w:ascii="宋体" w:hAnsi="宋体" w:eastAsia="宋体" w:cs="宋体"/>
          <w:b/>
          <w:bCs/>
          <w:color w:val="auto"/>
          <w:sz w:val="24"/>
          <w:szCs w:val="24"/>
        </w:rPr>
      </w:pPr>
      <w:r>
        <w:rPr>
          <w:rFonts w:hint="eastAsia" w:ascii="宋体" w:hAnsi="宋体" w:eastAsia="宋体" w:cs="宋体"/>
          <w:b/>
          <w:bCs/>
          <w:color w:val="auto"/>
          <w:sz w:val="24"/>
          <w:szCs w:val="24"/>
        </w:rPr>
        <w:t>附表4：</w:t>
      </w:r>
    </w:p>
    <w:p>
      <w:pPr>
        <w:widowControl w:val="0"/>
        <w:ind w:firstLine="438"/>
        <w:jc w:val="center"/>
        <w:rPr>
          <w:rFonts w:ascii="宋体" w:hAnsi="宋体" w:eastAsia="宋体" w:cs="方正小标宋简体"/>
          <w:b/>
          <w:bCs/>
          <w:color w:val="auto"/>
          <w:spacing w:val="-11"/>
          <w:sz w:val="24"/>
          <w:szCs w:val="24"/>
        </w:rPr>
      </w:pPr>
      <w:r>
        <w:rPr>
          <w:rFonts w:ascii="宋体" w:hAnsi="宋体" w:eastAsia="宋体" w:cs="方正小标宋简体"/>
          <w:b/>
          <w:bCs/>
          <w:color w:val="auto"/>
          <w:spacing w:val="-11"/>
          <w:sz w:val="24"/>
          <w:szCs w:val="24"/>
        </w:rPr>
        <w:t>技术评审因素及分值分配</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17"/>
        <w:gridCol w:w="1270"/>
        <w:gridCol w:w="477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序号</w:t>
            </w:r>
          </w:p>
        </w:tc>
        <w:tc>
          <w:tcPr>
            <w:tcW w:w="827"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w:t>
            </w:r>
          </w:p>
        </w:tc>
        <w:tc>
          <w:tcPr>
            <w:tcW w:w="69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分值</w:t>
            </w:r>
          </w:p>
        </w:tc>
        <w:tc>
          <w:tcPr>
            <w:tcW w:w="2605"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评分标准</w:t>
            </w:r>
          </w:p>
        </w:tc>
        <w:tc>
          <w:tcPr>
            <w:tcW w:w="512" w:type="pct"/>
            <w:vAlign w:val="center"/>
          </w:tcPr>
          <w:p>
            <w:pPr>
              <w:widowControl w:val="0"/>
              <w:ind w:firstLine="0" w:firstLineChars="0"/>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tcBorders>
              <w:bottom w:val="single" w:color="auto" w:sz="4" w:space="0"/>
            </w:tcBorders>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1543" w:type="dxa"/>
            <w:tcBorders>
              <w:bottom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w:t>
            </w:r>
            <w:r>
              <w:rPr>
                <w:rFonts w:hint="eastAsia" w:ascii="Times New Roman" w:hAnsi="Times New Roman" w:eastAsia="宋体" w:cs="Times New Roman"/>
                <w:color w:val="auto"/>
                <w:sz w:val="21"/>
                <w:szCs w:val="21"/>
                <w:highlight w:val="none"/>
                <w:lang w:eastAsia="zh-CN"/>
              </w:rPr>
              <w:t>江东新区</w:t>
            </w:r>
            <w:r>
              <w:rPr>
                <w:rFonts w:hint="eastAsia" w:ascii="Times New Roman" w:hAnsi="Times New Roman" w:eastAsia="宋体" w:cs="Times New Roman"/>
                <w:color w:val="auto"/>
                <w:sz w:val="21"/>
                <w:szCs w:val="21"/>
                <w:highlight w:val="none"/>
              </w:rPr>
              <w:t>发展优势的理解</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ascii="Times New Roman" w:hAnsi="Times New Roman" w:eastAsia="宋体" w:cs="Times New Roman"/>
                <w:color w:val="auto"/>
                <w:sz w:val="21"/>
                <w:szCs w:val="21"/>
                <w:highlight w:val="none"/>
              </w:rPr>
              <w:t>12</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rPr>
              <w:t>供应商</w:t>
            </w:r>
            <w:r>
              <w:rPr>
                <w:rFonts w:hint="eastAsia" w:ascii="宋体" w:hAnsi="宋体" w:eastAsia="宋体" w:cs="宋体"/>
                <w:color w:val="auto"/>
                <w:sz w:val="21"/>
                <w:szCs w:val="21"/>
                <w:highlight w:val="none"/>
              </w:rPr>
              <w:t>提交的服务方案对</w:t>
            </w:r>
            <w:r>
              <w:rPr>
                <w:rFonts w:hint="eastAsia" w:ascii="宋体" w:hAnsi="宋体" w:eastAsia="宋体" w:cs="宋体"/>
                <w:color w:val="auto"/>
                <w:sz w:val="21"/>
                <w:szCs w:val="21"/>
                <w:highlight w:val="none"/>
                <w:lang w:eastAsia="zh-CN"/>
              </w:rPr>
              <w:t>江东新区发展</w:t>
            </w:r>
            <w:r>
              <w:rPr>
                <w:rFonts w:hint="eastAsia" w:ascii="宋体" w:hAnsi="宋体" w:eastAsia="宋体" w:cs="宋体"/>
                <w:color w:val="auto"/>
                <w:sz w:val="21"/>
                <w:szCs w:val="21"/>
                <w:highlight w:val="none"/>
              </w:rPr>
              <w:t>优势的理解程度</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优：能够清晰了解</w:t>
            </w:r>
            <w:r>
              <w:rPr>
                <w:rFonts w:hint="eastAsia" w:ascii="宋体" w:hAnsi="宋体" w:eastAsia="宋体" w:cs="宋体"/>
                <w:color w:val="auto"/>
                <w:sz w:val="21"/>
                <w:szCs w:val="21"/>
                <w:highlight w:val="none"/>
                <w:lang w:eastAsia="zh-CN"/>
              </w:rPr>
              <w:t>江东新区的产业发展优势</w:t>
            </w:r>
            <w:r>
              <w:rPr>
                <w:rFonts w:hint="eastAsia" w:ascii="宋体" w:hAnsi="宋体" w:eastAsia="宋体" w:cs="宋体"/>
                <w:color w:val="auto"/>
                <w:sz w:val="21"/>
                <w:szCs w:val="21"/>
                <w:highlight w:val="none"/>
              </w:rPr>
              <w:t>，并能够清晰展现</w:t>
            </w:r>
            <w:r>
              <w:rPr>
                <w:rFonts w:hint="eastAsia" w:ascii="宋体" w:hAnsi="宋体" w:eastAsia="宋体" w:cs="宋体"/>
                <w:color w:val="auto"/>
                <w:sz w:val="21"/>
                <w:szCs w:val="21"/>
                <w:highlight w:val="none"/>
                <w:lang w:eastAsia="zh-CN"/>
              </w:rPr>
              <w:t>江东新区产业发展优势</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自由贸易港其他地区产业发展的差别</w:t>
            </w:r>
            <w:r>
              <w:rPr>
                <w:rFonts w:hint="eastAsia" w:ascii="宋体" w:hAnsi="宋体" w:eastAsia="宋体" w:cs="宋体"/>
                <w:color w:val="auto"/>
                <w:sz w:val="21"/>
                <w:szCs w:val="21"/>
                <w:highlight w:val="none"/>
              </w:rPr>
              <w:t>的，得</w:t>
            </w: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12</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良：能够较为清晰地了解</w:t>
            </w:r>
            <w:r>
              <w:rPr>
                <w:rFonts w:hint="eastAsia" w:ascii="宋体" w:hAnsi="宋体" w:eastAsia="宋体" w:cs="宋体"/>
                <w:color w:val="auto"/>
                <w:sz w:val="21"/>
                <w:szCs w:val="21"/>
                <w:highlight w:val="none"/>
                <w:lang w:eastAsia="zh-CN"/>
              </w:rPr>
              <w:t>江东新区的产业发展优势</w:t>
            </w:r>
            <w:r>
              <w:rPr>
                <w:rFonts w:hint="eastAsia" w:ascii="宋体" w:hAnsi="宋体" w:eastAsia="宋体" w:cs="宋体"/>
                <w:color w:val="auto"/>
                <w:sz w:val="21"/>
                <w:szCs w:val="21"/>
                <w:highlight w:val="none"/>
              </w:rPr>
              <w:t>，并能够基本了解</w:t>
            </w:r>
            <w:r>
              <w:rPr>
                <w:rFonts w:hint="eastAsia" w:ascii="宋体" w:hAnsi="宋体" w:eastAsia="宋体" w:cs="宋体"/>
                <w:color w:val="auto"/>
                <w:sz w:val="21"/>
                <w:szCs w:val="21"/>
                <w:highlight w:val="none"/>
                <w:lang w:eastAsia="zh-CN"/>
              </w:rPr>
              <w:t>江东新区产业</w:t>
            </w:r>
            <w:r>
              <w:rPr>
                <w:rFonts w:hint="eastAsia" w:ascii="宋体" w:hAnsi="宋体" w:eastAsia="宋体" w:cs="宋体"/>
                <w:color w:val="auto"/>
                <w:sz w:val="21"/>
                <w:szCs w:val="21"/>
                <w:highlight w:val="none"/>
              </w:rPr>
              <w:t>优势的，得</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Times New Roman" w:hAnsi="Times New Roman" w:eastAsia="宋体" w:cs="Times New Roman"/>
                <w:color w:val="auto"/>
                <w:sz w:val="21"/>
                <w:szCs w:val="24"/>
                <w:highlight w:val="none"/>
              </w:rPr>
            </w:pPr>
            <w:r>
              <w:rPr>
                <w:rFonts w:hint="eastAsia" w:ascii="宋体" w:hAnsi="宋体" w:eastAsia="宋体" w:cs="宋体"/>
                <w:color w:val="auto"/>
                <w:sz w:val="21"/>
                <w:szCs w:val="21"/>
                <w:highlight w:val="none"/>
              </w:rPr>
              <w:t>差：对</w:t>
            </w:r>
            <w:r>
              <w:rPr>
                <w:rFonts w:hint="eastAsia" w:ascii="宋体" w:hAnsi="宋体" w:eastAsia="宋体" w:cs="宋体"/>
                <w:color w:val="auto"/>
                <w:sz w:val="21"/>
                <w:szCs w:val="21"/>
                <w:highlight w:val="none"/>
                <w:lang w:eastAsia="zh-CN"/>
              </w:rPr>
              <w:t>江东新区产业发展优势</w:t>
            </w:r>
            <w:r>
              <w:rPr>
                <w:rFonts w:hint="eastAsia" w:ascii="宋体" w:hAnsi="宋体" w:eastAsia="宋体" w:cs="宋体"/>
                <w:color w:val="auto"/>
                <w:sz w:val="21"/>
                <w:szCs w:val="21"/>
                <w:highlight w:val="none"/>
              </w:rPr>
              <w:t>了解有限的，未能明晰</w:t>
            </w:r>
            <w:r>
              <w:rPr>
                <w:rFonts w:hint="eastAsia" w:ascii="宋体" w:hAnsi="宋体" w:eastAsia="宋体" w:cs="宋体"/>
                <w:color w:val="auto"/>
                <w:sz w:val="21"/>
                <w:szCs w:val="21"/>
                <w:highlight w:val="none"/>
                <w:lang w:eastAsia="zh-CN"/>
              </w:rPr>
              <w:t>江东新区产业</w:t>
            </w:r>
            <w:r>
              <w:rPr>
                <w:rFonts w:hint="eastAsia" w:ascii="宋体" w:hAnsi="宋体" w:eastAsia="宋体" w:cs="宋体"/>
                <w:color w:val="auto"/>
                <w:sz w:val="21"/>
                <w:szCs w:val="21"/>
                <w:highlight w:val="none"/>
              </w:rPr>
              <w:t>优势的，得0-</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tc>
        <w:tc>
          <w:tcPr>
            <w:tcW w:w="512" w:type="pct"/>
            <w:tcBorders>
              <w:bottom w:val="single" w:color="auto" w:sz="4" w:space="0"/>
            </w:tcBorders>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543" w:type="dxa"/>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对江东新区</w:t>
            </w:r>
            <w:r>
              <w:rPr>
                <w:rFonts w:hint="eastAsia" w:ascii="Times New Roman" w:hAnsi="Times New Roman" w:eastAsia="宋体" w:cs="Times New Roman"/>
                <w:color w:val="auto"/>
                <w:sz w:val="21"/>
                <w:szCs w:val="21"/>
                <w:highlight w:val="none"/>
                <w:lang w:val="en-US" w:eastAsia="zh-CN"/>
              </w:rPr>
              <w:t>CBD起步区南片区功能定位、产业方向和空间布局</w:t>
            </w:r>
            <w:r>
              <w:rPr>
                <w:rFonts w:hint="eastAsia" w:ascii="Times New Roman" w:hAnsi="Times New Roman" w:eastAsia="宋体" w:cs="Times New Roman"/>
                <w:color w:val="auto"/>
                <w:sz w:val="21"/>
                <w:szCs w:val="21"/>
                <w:highlight w:val="none"/>
              </w:rPr>
              <w:t>的初步思路</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w:t>
            </w:r>
            <w:r>
              <w:rPr>
                <w:rFonts w:ascii="Times New Roman" w:hAnsi="Times New Roman" w:eastAsia="宋体" w:cs="Times New Roman"/>
                <w:color w:val="auto"/>
                <w:sz w:val="21"/>
                <w:szCs w:val="21"/>
                <w:highlight w:val="none"/>
              </w:rPr>
              <w:t>0</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rPr>
              <w:t>供应商</w:t>
            </w:r>
            <w:r>
              <w:rPr>
                <w:rFonts w:hint="eastAsia" w:ascii="宋体" w:hAnsi="宋体" w:eastAsia="宋体" w:cs="宋体"/>
                <w:color w:val="auto"/>
                <w:sz w:val="21"/>
                <w:szCs w:val="21"/>
                <w:highlight w:val="none"/>
              </w:rPr>
              <w:t>提交的服务方案对</w:t>
            </w:r>
            <w:r>
              <w:rPr>
                <w:rFonts w:hint="eastAsia" w:ascii="宋体" w:hAnsi="宋体" w:eastAsia="宋体" w:cs="宋体"/>
                <w:color w:val="auto"/>
                <w:sz w:val="21"/>
                <w:szCs w:val="21"/>
                <w:highlight w:val="none"/>
                <w:lang w:val="en-US" w:eastAsia="zh-CN"/>
              </w:rPr>
              <w:t>CBD起步区南片区功能定位、产业方向和空间布局的</w:t>
            </w:r>
            <w:r>
              <w:rPr>
                <w:rFonts w:hint="eastAsia" w:ascii="宋体" w:hAnsi="宋体" w:eastAsia="宋体" w:cs="宋体"/>
                <w:color w:val="auto"/>
                <w:sz w:val="21"/>
                <w:szCs w:val="21"/>
                <w:highlight w:val="none"/>
              </w:rPr>
              <w:t>初步思考</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优：结合</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发展逻辑，能够较为合理地初步提出</w:t>
            </w:r>
            <w:r>
              <w:rPr>
                <w:rFonts w:hint="eastAsia" w:ascii="宋体" w:hAnsi="宋体" w:eastAsia="宋体" w:cs="宋体"/>
                <w:color w:val="auto"/>
                <w:sz w:val="21"/>
                <w:szCs w:val="21"/>
                <w:highlight w:val="none"/>
                <w:lang w:val="en-US" w:eastAsia="zh-CN"/>
              </w:rPr>
              <w:t>CBD起步区南片区功能定位、产业方向和空间布局</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ascii="宋体" w:hAnsi="宋体" w:eastAsia="宋体" w:cs="宋体"/>
                <w:color w:val="auto"/>
                <w:sz w:val="21"/>
                <w:szCs w:val="21"/>
                <w:highlight w:val="none"/>
              </w:rPr>
              <w:t>16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良：结合</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CBD起步区南片区功能定位、产业方向和空间布局</w:t>
            </w:r>
            <w:r>
              <w:rPr>
                <w:rFonts w:hint="eastAsia" w:ascii="宋体" w:hAnsi="宋体" w:eastAsia="宋体" w:cs="宋体"/>
                <w:color w:val="auto"/>
                <w:sz w:val="21"/>
                <w:szCs w:val="21"/>
                <w:highlight w:val="none"/>
              </w:rPr>
              <w:t>具有一定思考，但与实际情况存有偏离的，得9-1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差：对江东新区</w:t>
            </w:r>
            <w:r>
              <w:rPr>
                <w:rFonts w:hint="eastAsia" w:ascii="宋体" w:hAnsi="宋体" w:eastAsia="宋体" w:cs="宋体"/>
                <w:color w:val="auto"/>
                <w:sz w:val="21"/>
                <w:szCs w:val="21"/>
                <w:highlight w:val="none"/>
                <w:lang w:val="en-US" w:eastAsia="zh-CN"/>
              </w:rPr>
              <w:t>CBD起步区南片区的整体</w:t>
            </w:r>
            <w:r>
              <w:rPr>
                <w:rFonts w:hint="eastAsia" w:ascii="宋体" w:hAnsi="宋体" w:eastAsia="宋体" w:cs="宋体"/>
                <w:color w:val="auto"/>
                <w:sz w:val="21"/>
                <w:szCs w:val="21"/>
                <w:highlight w:val="none"/>
              </w:rPr>
              <w:t>发展逻辑思考不足，未能提出基本思路见解或提出的初步思路与实际情况差异较大的，得0-</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1543" w:type="dxa"/>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rPr>
              <w:t>工作计划与时间安排</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color w:val="auto"/>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结合工作内容提交的工作计划与时间安排情况</w:t>
            </w:r>
            <w:r>
              <w:rPr>
                <w:rFonts w:hint="eastAsia" w:ascii="宋体" w:hAnsi="宋体" w:eastAsia="宋体" w:cs="宋体"/>
                <w:color w:val="auto"/>
                <w:sz w:val="21"/>
                <w:szCs w:val="21"/>
                <w:highlight w:val="none"/>
                <w:lang w:eastAsia="zh-CN"/>
              </w:rPr>
              <w:t>。</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工作计划方案合理、路径明确的，得</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工作计划方案合理、路径较明确的，得</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工作计划方案一般、路径不明确的，得0-</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676" w:type="dxa"/>
            <w:vAlign w:val="center"/>
          </w:tcPr>
          <w:p>
            <w:pPr>
              <w:widowControl w:val="0"/>
              <w:ind w:firstLine="0" w:firstLineChars="0"/>
              <w:jc w:val="center"/>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p>
        </w:tc>
        <w:tc>
          <w:tcPr>
            <w:tcW w:w="1543" w:type="dxa"/>
            <w:vAlign w:val="center"/>
          </w:tcPr>
          <w:p>
            <w:pPr>
              <w:widowControl w:val="0"/>
              <w:spacing w:line="240" w:lineRule="auto"/>
              <w:ind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质量承诺及控制措施</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分</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服务质量承诺完整、保证体系健全、控制措施非常有效得</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spacing w:line="360" w:lineRule="exact"/>
              <w:ind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服务质量承诺较完整、保证体系较健全、控制措施一般得2分；</w:t>
            </w:r>
          </w:p>
          <w:p>
            <w:pPr>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服务质量承诺完整性较差、保证体系一般、控制措施较差得0-1分。</w:t>
            </w:r>
          </w:p>
        </w:tc>
        <w:tc>
          <w:tcPr>
            <w:tcW w:w="512" w:type="pct"/>
            <w:vAlign w:val="center"/>
          </w:tcPr>
          <w:p>
            <w:pPr>
              <w:widowControl w:val="0"/>
              <w:ind w:firstLine="0" w:firstLineChars="0"/>
              <w:jc w:val="center"/>
              <w:rPr>
                <w:rFonts w:ascii="宋体" w:hAnsi="宋体" w:eastAsia="宋体" w:cs="Times New Roman"/>
                <w:color w:val="auto"/>
                <w:sz w:val="21"/>
                <w:szCs w:val="21"/>
                <w:highlight w:val="none"/>
              </w:rPr>
            </w:pPr>
          </w:p>
        </w:tc>
      </w:tr>
    </w:tbl>
    <w:p>
      <w:pPr>
        <w:pStyle w:val="2"/>
        <w:rPr>
          <w:color w:val="auto"/>
        </w:rPr>
      </w:pPr>
    </w:p>
    <w:p>
      <w:pPr>
        <w:pageBreakBefore/>
        <w:ind w:firstLine="482"/>
        <w:jc w:val="left"/>
        <w:rPr>
          <w:rFonts w:ascii="宋体" w:hAnsi="宋体" w:eastAsia="宋体" w:cs="黑体"/>
          <w:b/>
          <w:bCs/>
          <w:color w:val="auto"/>
          <w:kern w:val="0"/>
          <w:sz w:val="24"/>
          <w:szCs w:val="24"/>
        </w:rPr>
      </w:pPr>
      <w:r>
        <w:rPr>
          <w:rFonts w:hint="eastAsia" w:ascii="宋体" w:hAnsi="宋体" w:eastAsia="宋体" w:cs="黑体"/>
          <w:b/>
          <w:bCs/>
          <w:color w:val="auto"/>
          <w:kern w:val="0"/>
          <w:sz w:val="24"/>
          <w:szCs w:val="24"/>
        </w:rPr>
        <w:t>附表5</w:t>
      </w:r>
      <w:r>
        <w:rPr>
          <w:rFonts w:ascii="宋体" w:hAnsi="宋体" w:eastAsia="宋体" w:cs="黑体"/>
          <w:b/>
          <w:bCs/>
          <w:color w:val="auto"/>
          <w:kern w:val="0"/>
          <w:sz w:val="24"/>
          <w:szCs w:val="24"/>
        </w:rPr>
        <w:t>:</w:t>
      </w:r>
    </w:p>
    <w:p>
      <w:pPr>
        <w:widowControl w:val="0"/>
        <w:ind w:firstLine="438"/>
        <w:jc w:val="center"/>
        <w:rPr>
          <w:rFonts w:ascii="宋体" w:hAnsi="宋体" w:eastAsia="宋体" w:cs="方正小标宋简体"/>
          <w:b/>
          <w:bCs/>
          <w:color w:val="auto"/>
          <w:spacing w:val="-11"/>
          <w:sz w:val="24"/>
          <w:szCs w:val="24"/>
        </w:rPr>
      </w:pPr>
      <w:r>
        <w:rPr>
          <w:rFonts w:hint="eastAsia" w:ascii="宋体" w:hAnsi="宋体" w:eastAsia="宋体" w:cs="方正小标宋简体"/>
          <w:b/>
          <w:bCs/>
          <w:color w:val="auto"/>
          <w:spacing w:val="-11"/>
          <w:sz w:val="24"/>
          <w:szCs w:val="24"/>
        </w:rPr>
        <w:t>价格</w:t>
      </w:r>
      <w:r>
        <w:rPr>
          <w:rFonts w:ascii="宋体" w:hAnsi="宋体" w:eastAsia="宋体" w:cs="方正小标宋简体"/>
          <w:b/>
          <w:bCs/>
          <w:color w:val="auto"/>
          <w:spacing w:val="-11"/>
          <w:sz w:val="24"/>
          <w:szCs w:val="24"/>
        </w:rPr>
        <w:t>评审因素及分值分配表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58"/>
        <w:gridCol w:w="1130"/>
        <w:gridCol w:w="497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序号</w:t>
            </w:r>
          </w:p>
        </w:tc>
        <w:tc>
          <w:tcPr>
            <w:tcW w:w="904"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评审内容</w:t>
            </w:r>
          </w:p>
        </w:tc>
        <w:tc>
          <w:tcPr>
            <w:tcW w:w="616" w:type="pct"/>
            <w:vAlign w:val="center"/>
          </w:tcPr>
          <w:p>
            <w:pPr>
              <w:widowControl w:val="0"/>
              <w:ind w:firstLine="0" w:firstLineChars="0"/>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标准分</w:t>
            </w:r>
          </w:p>
        </w:tc>
        <w:tc>
          <w:tcPr>
            <w:tcW w:w="2712"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评  审  标  准</w:t>
            </w:r>
          </w:p>
        </w:tc>
        <w:tc>
          <w:tcPr>
            <w:tcW w:w="393" w:type="pct"/>
            <w:vAlign w:val="center"/>
          </w:tcPr>
          <w:p>
            <w:pPr>
              <w:widowControl w:val="0"/>
              <w:ind w:firstLine="0" w:firstLineChars="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项目报价</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20分</w:t>
            </w:r>
          </w:p>
        </w:tc>
        <w:tc>
          <w:tcPr>
            <w:tcW w:w="506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价格分采用低价优先法计算，即满足招标文件要求且投标价格最低的投标报价为评标基准价，其价格分为满分。其他供应商的价格分统一按照下列公式计算： </w:t>
            </w:r>
          </w:p>
          <w:p>
            <w:pPr>
              <w:widowControl w:val="0"/>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投标报价得分=(评标基准价／投标报价)×价格分</w:t>
            </w:r>
          </w:p>
        </w:tc>
        <w:tc>
          <w:tcPr>
            <w:tcW w:w="393" w:type="pct"/>
            <w:vAlign w:val="center"/>
          </w:tcPr>
          <w:p>
            <w:pPr>
              <w:widowControl w:val="0"/>
              <w:ind w:firstLine="0" w:firstLineChars="0"/>
              <w:rPr>
                <w:rFonts w:ascii="宋体" w:hAnsi="宋体" w:eastAsia="宋体" w:cs="Times New Roman"/>
                <w:color w:val="auto"/>
                <w:sz w:val="21"/>
                <w:szCs w:val="21"/>
              </w:rPr>
            </w:pPr>
          </w:p>
        </w:tc>
      </w:tr>
    </w:tbl>
    <w:p>
      <w:pPr>
        <w:widowControl w:val="0"/>
        <w:ind w:firstLine="480"/>
        <w:rPr>
          <w:rFonts w:ascii="Times New Roman" w:hAnsi="宋体" w:eastAsia="宋体" w:cs="黑体"/>
          <w:color w:val="auto"/>
          <w:kern w:val="0"/>
          <w:sz w:val="24"/>
          <w:szCs w:val="24"/>
        </w:rPr>
      </w:pPr>
    </w:p>
    <w:p>
      <w:pPr>
        <w:ind w:firstLine="0" w:firstLineChars="0"/>
        <w:jc w:val="left"/>
        <w:rPr>
          <w:rFonts w:ascii="宋体" w:hAnsi="宋体" w:eastAsia="宋体" w:cs="Times New Roman"/>
          <w:b/>
          <w:color w:val="auto"/>
          <w:sz w:val="21"/>
          <w:szCs w:val="21"/>
        </w:rPr>
      </w:pPr>
    </w:p>
    <w:p>
      <w:pPr>
        <w:pageBreakBefore/>
        <w:widowControl w:val="0"/>
        <w:autoSpaceDE w:val="0"/>
        <w:autoSpaceDN w:val="0"/>
        <w:adjustRightInd w:val="0"/>
        <w:ind w:firstLine="723"/>
        <w:jc w:val="center"/>
        <w:rPr>
          <w:rFonts w:ascii="宋体" w:hAnsi="宋体" w:eastAsia="宋体" w:cs="宋体"/>
          <w:b/>
          <w:bCs/>
          <w:color w:val="auto"/>
          <w:sz w:val="36"/>
          <w:szCs w:val="36"/>
        </w:rPr>
      </w:pPr>
      <w:r>
        <w:rPr>
          <w:rFonts w:hint="eastAsia" w:ascii="宋体" w:hAnsi="宋体" w:eastAsia="宋体" w:cs="宋体"/>
          <w:b/>
          <w:bCs/>
          <w:color w:val="auto"/>
          <w:sz w:val="36"/>
          <w:szCs w:val="36"/>
        </w:rPr>
        <w:t>第五章   比选</w:t>
      </w:r>
      <w:r>
        <w:rPr>
          <w:rFonts w:hint="eastAsia" w:ascii="宋体" w:hAnsi="宋体" w:eastAsia="宋体" w:cs="宋体"/>
          <w:b/>
          <w:bCs/>
          <w:color w:val="auto"/>
          <w:kern w:val="0"/>
          <w:sz w:val="36"/>
          <w:szCs w:val="36"/>
        </w:rPr>
        <w:t>响应文件格式</w:t>
      </w:r>
    </w:p>
    <w:p>
      <w:pPr>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附件1：响应函</w:t>
      </w:r>
    </w:p>
    <w:p>
      <w:pPr>
        <w:widowControl w:val="0"/>
        <w:adjustRightInd w:val="0"/>
        <w:snapToGrid w:val="0"/>
        <w:ind w:firstLine="480"/>
        <w:rPr>
          <w:rFonts w:ascii="宋体" w:hAnsi="宋体" w:eastAsia="宋体" w:cs="Times New Roman"/>
          <w:color w:val="auto"/>
          <w:sz w:val="24"/>
          <w:szCs w:val="24"/>
          <w:u w:val="single"/>
        </w:rPr>
      </w:pPr>
    </w:p>
    <w:p>
      <w:pPr>
        <w:widowControl w:val="0"/>
        <w:adjustRightInd w:val="0"/>
        <w:snapToGrid w:val="0"/>
        <w:ind w:firstLine="480"/>
        <w:rPr>
          <w:rFonts w:ascii="宋体" w:hAnsi="宋体" w:eastAsia="宋体" w:cs="Times New Roman"/>
          <w:color w:val="auto"/>
          <w:sz w:val="24"/>
          <w:szCs w:val="24"/>
          <w:u w:val="single"/>
        </w:rPr>
      </w:pPr>
      <w:r>
        <w:rPr>
          <w:rFonts w:hint="eastAsia" w:ascii="宋体" w:hAnsi="宋体" w:eastAsia="宋体" w:cs="Times New Roman"/>
          <w:color w:val="auto"/>
          <w:sz w:val="24"/>
          <w:szCs w:val="24"/>
          <w:u w:val="single"/>
        </w:rPr>
        <w:t>海口江东新区管理局：</w:t>
      </w:r>
    </w:p>
    <w:p>
      <w:pPr>
        <w:widowControl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根据贵局</w:t>
      </w:r>
      <w:r>
        <w:rPr>
          <w:rFonts w:hint="eastAsia" w:ascii="宋体" w:hAnsi="宋体" w:eastAsia="宋体" w:cs="Times New Roman"/>
          <w:color w:val="auto"/>
          <w:sz w:val="24"/>
          <w:szCs w:val="24"/>
          <w:u w:val="single"/>
          <w:lang w:eastAsia="zh-CN"/>
        </w:rPr>
        <w:t>海口江东新区CBD起步区南片区概念设计方案</w:t>
      </w:r>
      <w:r>
        <w:rPr>
          <w:rFonts w:hint="eastAsia" w:ascii="宋体" w:hAnsi="宋体" w:eastAsia="宋体" w:cs="Times New Roman"/>
          <w:color w:val="auto"/>
          <w:sz w:val="24"/>
          <w:szCs w:val="24"/>
        </w:rPr>
        <w:t>项目采购文件（以下简称《采购文件》）的要求，</w:t>
      </w:r>
      <w:r>
        <w:rPr>
          <w:rFonts w:hint="eastAsia" w:ascii="宋体" w:hAnsi="宋体" w:eastAsia="宋体" w:cs="Times New Roman"/>
          <w:color w:val="auto"/>
          <w:sz w:val="24"/>
          <w:szCs w:val="24"/>
          <w:u w:val="single"/>
        </w:rPr>
        <w:t xml:space="preserve">       （全名及职衔）</w:t>
      </w:r>
      <w:r>
        <w:rPr>
          <w:rFonts w:hint="eastAsia" w:ascii="宋体" w:hAnsi="宋体" w:eastAsia="宋体" w:cs="Times New Roman"/>
          <w:color w:val="auto"/>
          <w:sz w:val="24"/>
          <w:szCs w:val="24"/>
        </w:rPr>
        <w:t>经正式授权并以（比选单位名称）的名义报价。提交下列响应文件正本1份，副本4份：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1.响应函；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2.报价表；</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3.法定代表人身份证明书； </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4.法定代表人授权书；</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5.委托人及受托人身份证复印件；</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6.资质文件：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（1）营业执照（复印件）；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（2）提供202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年至响应文件接受截止日任意1个月的纳税凭证（银行出具的纳税凭证或税务机关出具的证明的复印件）或免税证明（复印件）；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（3）提供202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年至响应文件接受截止日任意1个月的社会保障资金缴纳记录（专用收据或社会保险缴纳清单）或免缴纳证明（复印件）；</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（4）提供</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年度经审计的财务审计报告或</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年度财务报表（含资产负债表、利润表、现金流量表）；</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（5）提供有效的参加政府采购活动前3年内在经营活动中没有重大违法记录的书面声明；</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（6）未被“信用中国”网站（www.creditchina.gov.cn）中列入失信被执行人和重大税收违法案件当事人名单、未被中国政府采购网（www.ccgp.gov.cn）列入政府采购严重违法失信行为记录名单（提供网站查询截图）；</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7.承诺函；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8.商务评审所需的材料；</w:t>
      </w:r>
    </w:p>
    <w:p>
      <w:pPr>
        <w:widowControl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9.服务方案；</w:t>
      </w:r>
    </w:p>
    <w:p>
      <w:pPr>
        <w:widowControl w:val="0"/>
        <w:adjustRightInd w:val="0"/>
        <w:snapToGrid w:val="0"/>
        <w:ind w:firstLine="480"/>
        <w:rPr>
          <w:rFonts w:ascii="宋体" w:hAnsi="宋体" w:eastAsia="宋体" w:cs="宋体"/>
          <w:color w:val="auto"/>
          <w:sz w:val="24"/>
          <w:szCs w:val="24"/>
        </w:rPr>
      </w:pPr>
      <w:r>
        <w:rPr>
          <w:rFonts w:hint="eastAsia" w:ascii="宋体" w:hAnsi="宋体" w:eastAsia="宋体" w:cs="宋体"/>
          <w:color w:val="auto"/>
          <w:sz w:val="24"/>
          <w:szCs w:val="24"/>
        </w:rPr>
        <w:t>10.符合本比选项目要求的其他材料。</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签字代表在此声明并同意：</w:t>
      </w:r>
    </w:p>
    <w:p>
      <w:pPr>
        <w:widowControl w:val="0"/>
        <w:adjustRightInd w:val="0"/>
        <w:snapToGrid w:val="0"/>
        <w:ind w:firstLine="480"/>
        <w:rPr>
          <w:rFonts w:ascii="宋体" w:hAnsi="宋体" w:eastAsia="宋体" w:cs="Times New Roman"/>
          <w:color w:val="auto"/>
          <w:sz w:val="24"/>
          <w:szCs w:val="24"/>
          <w:u w:val="single"/>
        </w:rPr>
      </w:pPr>
      <w:r>
        <w:rPr>
          <w:rFonts w:hint="eastAsia" w:ascii="宋体" w:hAnsi="宋体" w:eastAsia="宋体" w:cs="Times New Roman"/>
          <w:color w:val="auto"/>
          <w:sz w:val="24"/>
          <w:szCs w:val="24"/>
        </w:rPr>
        <w:t>1.我们愿意遵守采购文件中的各项规定，提供符合采购文件所要求的</w:t>
      </w:r>
      <w:r>
        <w:rPr>
          <w:rFonts w:hint="eastAsia" w:ascii="宋体" w:hAnsi="宋体" w:eastAsia="宋体" w:cs="Times New Roman"/>
          <w:color w:val="auto"/>
          <w:sz w:val="24"/>
          <w:szCs w:val="24"/>
          <w:u w:val="single"/>
        </w:rPr>
        <w:t>（</w:t>
      </w:r>
      <w:r>
        <w:rPr>
          <w:rFonts w:hint="eastAsia" w:ascii="宋体" w:hAnsi="宋体" w:eastAsia="宋体" w:cs="Times New Roman"/>
          <w:color w:val="auto"/>
          <w:sz w:val="24"/>
          <w:szCs w:val="24"/>
          <w:u w:val="single"/>
          <w:lang w:eastAsia="zh-CN"/>
        </w:rPr>
        <w:t>海口江东新区CBD起步区南片区概念设计方案</w:t>
      </w:r>
      <w:r>
        <w:rPr>
          <w:rFonts w:hint="eastAsia" w:ascii="宋体" w:hAnsi="宋体" w:eastAsia="宋体" w:cs="Times New Roman"/>
          <w:color w:val="auto"/>
          <w:sz w:val="24"/>
          <w:szCs w:val="24"/>
          <w:u w:val="single"/>
        </w:rPr>
        <w:t>）</w:t>
      </w:r>
      <w:r>
        <w:rPr>
          <w:rFonts w:hint="eastAsia" w:ascii="宋体" w:hAnsi="宋体" w:eastAsia="宋体" w:cs="Times New Roman"/>
          <w:color w:val="auto"/>
          <w:sz w:val="24"/>
          <w:szCs w:val="24"/>
        </w:rPr>
        <w:t>，总价人民币为：。</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2.我们同意本响应文件自响应文件接受截止日起90天内有效。如果我们的报价被接受，则直至协议生效时止，本响应文件始终有效。</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3.我们已经详细地阅读了全部比选文件及附件，包括澄清及参考文件（如果有的话），我们完全理解并同意放弃对这方面有不明及误解的权利。</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4.我们同意按贵司的要求提供有关资料，并保证真实性（附承诺函）。</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pPr>
        <w:widowControl w:val="0"/>
        <w:adjustRightInd w:val="0"/>
        <w:snapToGrid w:val="0"/>
        <w:ind w:firstLine="480"/>
        <w:rPr>
          <w:rFonts w:ascii="宋体" w:hAnsi="宋体" w:eastAsia="宋体" w:cs="Times New Roman"/>
          <w:color w:val="auto"/>
          <w:sz w:val="24"/>
          <w:szCs w:val="24"/>
        </w:rPr>
      </w:pPr>
    </w:p>
    <w:p>
      <w:pPr>
        <w:keepNext/>
        <w:keepLines/>
        <w:widowControl w:val="0"/>
        <w:ind w:firstLine="643"/>
        <w:outlineLvl w:val="2"/>
        <w:rPr>
          <w:rFonts w:ascii="Times New Roman" w:hAnsi="Times New Roman" w:eastAsia="宋体" w:cs="Times New Roman"/>
          <w:b/>
          <w:bCs/>
          <w:color w:val="auto"/>
          <w:szCs w:val="32"/>
        </w:rPr>
      </w:pPr>
    </w:p>
    <w:p>
      <w:pPr>
        <w:widowControl w:val="0"/>
        <w:ind w:firstLine="420"/>
        <w:rPr>
          <w:rFonts w:ascii="Times New Roman" w:hAnsi="Times New Roman" w:eastAsia="宋体" w:cs="Times New Roman"/>
          <w:color w:val="auto"/>
          <w:sz w:val="21"/>
          <w:szCs w:val="24"/>
        </w:rPr>
      </w:pP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比选单位（公章）：                          日    期：</w:t>
      </w:r>
    </w:p>
    <w:p>
      <w:pPr>
        <w:widowControl w:val="0"/>
        <w:ind w:firstLine="640"/>
        <w:rPr>
          <w:rFonts w:ascii="宋体" w:hAnsi="宋体" w:eastAsia="宋体" w:cs="Times New Roman"/>
          <w:color w:val="auto"/>
          <w:szCs w:val="32"/>
        </w:rPr>
        <w:sectPr>
          <w:headerReference r:id="rId13" w:type="default"/>
          <w:footerReference r:id="rId14" w:type="default"/>
          <w:pgSz w:w="11906" w:h="16838"/>
          <w:pgMar w:top="1440" w:right="1523" w:bottom="1440" w:left="1423" w:header="851" w:footer="992" w:gutter="0"/>
          <w:cols w:space="720" w:num="1"/>
          <w:docGrid w:linePitch="312" w:charSpace="0"/>
        </w:sectPr>
      </w:pPr>
    </w:p>
    <w:p>
      <w:pPr>
        <w:widowControl w:val="0"/>
        <w:ind w:firstLine="482"/>
        <w:rPr>
          <w:rFonts w:ascii="宋体" w:hAnsi="宋体" w:eastAsia="宋体" w:cs="Times New Roman"/>
          <w:color w:val="auto"/>
          <w:szCs w:val="32"/>
        </w:rPr>
      </w:pPr>
      <w:r>
        <w:rPr>
          <w:rFonts w:hint="eastAsia" w:ascii="宋体" w:hAnsi="宋体" w:eastAsia="宋体" w:cs="Times New Roman"/>
          <w:b/>
          <w:bCs/>
          <w:color w:val="auto"/>
          <w:sz w:val="24"/>
          <w:szCs w:val="24"/>
        </w:rPr>
        <w:t>附件2：报价表</w:t>
      </w:r>
    </w:p>
    <w:p>
      <w:pPr>
        <w:topLinePunct/>
        <w:adjustRightInd w:val="0"/>
        <w:ind w:firstLine="640"/>
        <w:jc w:val="center"/>
        <w:rPr>
          <w:rFonts w:ascii="宋体" w:hAnsi="宋体" w:eastAsia="宋体" w:cs="宋体"/>
          <w:color w:val="auto"/>
          <w:szCs w:val="32"/>
        </w:rPr>
      </w:pPr>
      <w:r>
        <w:rPr>
          <w:rFonts w:hint="eastAsia" w:ascii="宋体" w:hAnsi="宋体" w:eastAsia="宋体" w:cs="宋体"/>
          <w:color w:val="auto"/>
          <w:szCs w:val="32"/>
        </w:rPr>
        <w:t>报价表</w:t>
      </w:r>
    </w:p>
    <w:tbl>
      <w:tblPr>
        <w:tblStyle w:val="2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405" w:type="dxa"/>
            <w:vAlign w:val="center"/>
          </w:tcPr>
          <w:p>
            <w:pPr>
              <w:topLinePunct/>
              <w:spacing w:line="288" w:lineRule="auto"/>
              <w:ind w:left="214" w:leftChars="67" w:right="157" w:rightChars="49" w:firstLine="482"/>
              <w:jc w:val="center"/>
              <w:rPr>
                <w:rFonts w:ascii="宋体" w:hAnsi="宋体" w:eastAsia="宋体" w:cs="宋体"/>
                <w:b/>
                <w:color w:val="auto"/>
                <w:sz w:val="24"/>
              </w:rPr>
            </w:pPr>
            <w:r>
              <w:rPr>
                <w:rFonts w:hint="eastAsia" w:ascii="宋体" w:hAnsi="宋体" w:eastAsia="宋体" w:cs="宋体"/>
                <w:b/>
                <w:color w:val="auto"/>
                <w:sz w:val="24"/>
              </w:rPr>
              <w:t>项目名称</w:t>
            </w:r>
          </w:p>
        </w:tc>
        <w:tc>
          <w:tcPr>
            <w:tcW w:w="6946" w:type="dxa"/>
            <w:vAlign w:val="center"/>
          </w:tcPr>
          <w:p>
            <w:pPr>
              <w:pStyle w:val="11"/>
              <w:tabs>
                <w:tab w:val="left" w:pos="5580"/>
              </w:tabs>
              <w:topLinePunct/>
              <w:spacing w:before="120" w:line="288" w:lineRule="auto"/>
              <w:ind w:left="96" w:leftChars="30" w:right="96" w:rightChars="30"/>
              <w:rPr>
                <w:rFonts w:hint="eastAsia" w:hAnsi="宋体" w:eastAsia="宋体" w:cs="宋体"/>
                <w:color w:val="auto"/>
                <w:sz w:val="24"/>
                <w:szCs w:val="24"/>
                <w:lang w:eastAsia="zh-CN"/>
              </w:rPr>
            </w:pPr>
            <w:r>
              <w:rPr>
                <w:rFonts w:hint="eastAsia" w:hAnsi="宋体" w:eastAsia="宋体" w:cs="宋体"/>
                <w:color w:val="auto"/>
                <w:sz w:val="24"/>
                <w:szCs w:val="24"/>
                <w:lang w:eastAsia="zh-CN"/>
              </w:rPr>
              <w:t>海口江东新区CBD起步区南片区概念设计方案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响应文件总价</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人民币（小写金额）：</w:t>
            </w:r>
            <w:r>
              <w:rPr>
                <w:rFonts w:hint="eastAsia" w:hAnsi="宋体" w:eastAsia="宋体" w:cs="宋体"/>
                <w:color w:val="auto"/>
                <w:sz w:val="24"/>
                <w:szCs w:val="24"/>
                <w:u w:val="single"/>
              </w:rPr>
              <w:t xml:space="preserve">                          </w:t>
            </w:r>
            <w:r>
              <w:rPr>
                <w:rFonts w:hint="eastAsia" w:hAnsi="宋体" w:eastAsia="宋体" w:cs="宋体"/>
                <w:color w:val="auto"/>
                <w:sz w:val="24"/>
                <w:szCs w:val="24"/>
              </w:rPr>
              <w:t>元</w:t>
            </w:r>
          </w:p>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人民币（大写金额）：</w:t>
            </w:r>
            <w:r>
              <w:rPr>
                <w:rFonts w:hint="eastAsia" w:hAnsi="宋体" w:eastAsia="宋体" w:cs="宋体"/>
                <w:color w:val="auto"/>
                <w:sz w:val="24"/>
                <w:szCs w:val="24"/>
                <w:u w:val="single"/>
              </w:rPr>
              <w:t xml:space="preserve">                          </w:t>
            </w:r>
            <w:r>
              <w:rPr>
                <w:rFonts w:hint="eastAsia" w:hAnsi="宋体" w:eastAsia="宋体" w:cs="宋体"/>
                <w:color w:val="auto"/>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服务期</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405" w:type="dxa"/>
            <w:vAlign w:val="center"/>
          </w:tcPr>
          <w:p>
            <w:pPr>
              <w:topLinePunct/>
              <w:spacing w:line="288" w:lineRule="auto"/>
              <w:ind w:left="-19" w:leftChars="-6" w:firstLine="482"/>
              <w:jc w:val="center"/>
              <w:rPr>
                <w:rFonts w:ascii="宋体" w:hAnsi="宋体" w:eastAsia="宋体" w:cs="宋体"/>
                <w:b/>
                <w:color w:val="auto"/>
                <w:sz w:val="24"/>
              </w:rPr>
            </w:pPr>
            <w:r>
              <w:rPr>
                <w:rFonts w:hint="eastAsia" w:ascii="宋体" w:hAnsi="宋体" w:eastAsia="宋体" w:cs="宋体"/>
                <w:b/>
                <w:color w:val="auto"/>
                <w:sz w:val="24"/>
              </w:rPr>
              <w:t>服务地点</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r>
              <w:rPr>
                <w:rFonts w:hint="eastAsia" w:hAnsi="宋体" w:eastAsia="宋体" w:cs="宋体"/>
                <w:color w:val="auto"/>
                <w:sz w:val="24"/>
                <w:szCs w:val="24"/>
              </w:rPr>
              <w:t>海口江东新区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2405" w:type="dxa"/>
            <w:vAlign w:val="center"/>
          </w:tcPr>
          <w:p>
            <w:pPr>
              <w:topLinePunct/>
              <w:spacing w:line="288" w:lineRule="auto"/>
              <w:ind w:firstLine="482"/>
              <w:jc w:val="center"/>
              <w:rPr>
                <w:rFonts w:ascii="宋体" w:hAnsi="宋体" w:eastAsia="宋体" w:cs="宋体"/>
                <w:b/>
                <w:color w:val="auto"/>
                <w:sz w:val="24"/>
              </w:rPr>
            </w:pPr>
            <w:r>
              <w:rPr>
                <w:rFonts w:hint="eastAsia" w:ascii="宋体" w:hAnsi="宋体" w:eastAsia="宋体" w:cs="宋体"/>
                <w:b/>
                <w:color w:val="auto"/>
                <w:sz w:val="24"/>
              </w:rPr>
              <w:t>其他声明</w:t>
            </w:r>
          </w:p>
          <w:p>
            <w:pPr>
              <w:topLinePunct/>
              <w:spacing w:line="288" w:lineRule="auto"/>
              <w:ind w:firstLine="482"/>
              <w:jc w:val="center"/>
              <w:rPr>
                <w:rFonts w:ascii="宋体" w:hAnsi="宋体" w:eastAsia="宋体" w:cs="宋体"/>
                <w:b/>
                <w:color w:val="auto"/>
                <w:sz w:val="24"/>
              </w:rPr>
            </w:pPr>
            <w:r>
              <w:rPr>
                <w:rFonts w:hint="eastAsia" w:ascii="宋体" w:hAnsi="宋体" w:eastAsia="宋体" w:cs="宋体"/>
                <w:b/>
                <w:color w:val="auto"/>
                <w:sz w:val="24"/>
              </w:rPr>
              <w:t>（如有）</w:t>
            </w:r>
          </w:p>
        </w:tc>
        <w:tc>
          <w:tcPr>
            <w:tcW w:w="6946" w:type="dxa"/>
            <w:vAlign w:val="center"/>
          </w:tcPr>
          <w:p>
            <w:pPr>
              <w:pStyle w:val="11"/>
              <w:tabs>
                <w:tab w:val="left" w:pos="5580"/>
              </w:tabs>
              <w:topLinePunct/>
              <w:spacing w:before="120" w:line="288" w:lineRule="auto"/>
              <w:ind w:left="96" w:leftChars="30" w:right="96" w:rightChars="30"/>
              <w:rPr>
                <w:rFonts w:hAnsi="宋体" w:eastAsia="宋体" w:cs="宋体"/>
                <w:color w:val="auto"/>
                <w:sz w:val="24"/>
                <w:szCs w:val="24"/>
              </w:rPr>
            </w:pPr>
          </w:p>
        </w:tc>
      </w:tr>
    </w:tbl>
    <w:p>
      <w:pPr>
        <w:pStyle w:val="11"/>
        <w:tabs>
          <w:tab w:val="left" w:pos="5580"/>
        </w:tabs>
        <w:topLinePunct/>
        <w:spacing w:before="120"/>
        <w:rPr>
          <w:rFonts w:hAnsi="宋体" w:eastAsia="宋体" w:cs="宋体"/>
          <w:color w:val="auto"/>
          <w:sz w:val="24"/>
        </w:rPr>
      </w:pPr>
    </w:p>
    <w:p>
      <w:pPr>
        <w:pStyle w:val="11"/>
        <w:tabs>
          <w:tab w:val="left" w:pos="5580"/>
        </w:tabs>
        <w:topLinePunct/>
        <w:spacing w:before="120"/>
        <w:ind w:firstLine="480"/>
        <w:rPr>
          <w:rFonts w:hAnsi="宋体" w:eastAsia="宋体" w:cs="宋体"/>
          <w:color w:val="auto"/>
          <w:sz w:val="24"/>
        </w:rPr>
      </w:pPr>
      <w:r>
        <w:rPr>
          <w:rFonts w:hint="eastAsia" w:hAnsi="宋体" w:eastAsia="宋体" w:cs="宋体"/>
          <w:color w:val="auto"/>
          <w:sz w:val="24"/>
        </w:rPr>
        <w:t>供应商（加盖公章章）：</w:t>
      </w:r>
    </w:p>
    <w:p>
      <w:pPr>
        <w:pStyle w:val="11"/>
        <w:tabs>
          <w:tab w:val="left" w:pos="5580"/>
        </w:tabs>
        <w:topLinePunct/>
        <w:spacing w:before="120"/>
        <w:ind w:firstLine="480"/>
        <w:rPr>
          <w:rFonts w:hAnsi="宋体" w:eastAsia="宋体" w:cs="宋体"/>
          <w:color w:val="auto"/>
          <w:sz w:val="24"/>
          <w:u w:val="single"/>
        </w:rPr>
      </w:pPr>
      <w:r>
        <w:rPr>
          <w:rFonts w:hint="eastAsia" w:hAnsi="宋体" w:eastAsia="宋体" w:cs="宋体"/>
          <w:color w:val="auto"/>
          <w:sz w:val="24"/>
        </w:rPr>
        <w:t>供应商授权代表（签字或盖人名章）：</w:t>
      </w:r>
    </w:p>
    <w:p>
      <w:pPr>
        <w:pStyle w:val="11"/>
        <w:tabs>
          <w:tab w:val="left" w:pos="5580"/>
        </w:tabs>
        <w:topLinePunct/>
        <w:spacing w:before="120"/>
        <w:ind w:firstLine="480"/>
        <w:rPr>
          <w:rFonts w:hAnsi="宋体" w:eastAsia="宋体" w:cs="宋体"/>
          <w:color w:val="auto"/>
          <w:sz w:val="24"/>
        </w:rPr>
      </w:pPr>
      <w:r>
        <w:rPr>
          <w:rFonts w:hint="eastAsia" w:hAnsi="宋体" w:eastAsia="宋体" w:cs="宋体"/>
          <w:color w:val="auto"/>
          <w:sz w:val="24"/>
        </w:rPr>
        <w:t>日期：</w:t>
      </w:r>
    </w:p>
    <w:p>
      <w:pPr>
        <w:pStyle w:val="11"/>
        <w:tabs>
          <w:tab w:val="left" w:pos="5580"/>
        </w:tabs>
        <w:topLinePunct/>
        <w:spacing w:before="120"/>
        <w:ind w:firstLine="480"/>
        <w:rPr>
          <w:rFonts w:hAnsi="宋体" w:eastAsia="宋体" w:cs="宋体"/>
          <w:color w:val="auto"/>
          <w:sz w:val="24"/>
          <w:u w:val="single"/>
        </w:rPr>
      </w:pPr>
    </w:p>
    <w:p>
      <w:pPr>
        <w:pStyle w:val="11"/>
        <w:tabs>
          <w:tab w:val="left" w:pos="5580"/>
        </w:tabs>
        <w:topLinePunct/>
        <w:spacing w:before="120"/>
        <w:ind w:firstLine="480"/>
        <w:rPr>
          <w:rFonts w:hAnsi="宋体" w:eastAsia="宋体" w:cs="宋体"/>
          <w:color w:val="auto"/>
          <w:sz w:val="24"/>
          <w:u w:val="single"/>
        </w:rPr>
      </w:pPr>
    </w:p>
    <w:p>
      <w:pPr>
        <w:pStyle w:val="11"/>
        <w:tabs>
          <w:tab w:val="left" w:pos="5580"/>
        </w:tabs>
        <w:topLinePunct/>
        <w:spacing w:before="120"/>
        <w:ind w:firstLine="480"/>
        <w:rPr>
          <w:rFonts w:hAnsi="宋体" w:eastAsia="宋体" w:cs="宋体"/>
          <w:color w:val="auto"/>
          <w:sz w:val="24"/>
          <w:u w:val="single"/>
        </w:rPr>
      </w:pPr>
    </w:p>
    <w:p>
      <w:pPr>
        <w:widowControl w:val="0"/>
        <w:ind w:firstLine="480"/>
        <w:rPr>
          <w:rFonts w:ascii="宋体" w:hAnsi="宋体" w:eastAsia="宋体" w:cs="宋体"/>
          <w:color w:val="auto"/>
          <w:szCs w:val="32"/>
        </w:rPr>
      </w:pPr>
      <w:r>
        <w:rPr>
          <w:rFonts w:hint="eastAsia" w:ascii="宋体" w:hAnsi="宋体" w:eastAsia="宋体" w:cs="宋体"/>
          <w:color w:val="auto"/>
          <w:sz w:val="24"/>
        </w:rPr>
        <w:br w:type="page"/>
      </w:r>
    </w:p>
    <w:p>
      <w:pPr>
        <w:widowControl w:val="0"/>
        <w:ind w:firstLine="482"/>
        <w:rPr>
          <w:rFonts w:ascii="楷体_GB2312" w:hAnsi="Times New Roman" w:eastAsia="楷体_GB2312" w:cs="Times New Roman"/>
          <w:b/>
          <w:color w:val="auto"/>
          <w:sz w:val="24"/>
          <w:szCs w:val="24"/>
        </w:rPr>
      </w:pPr>
      <w:r>
        <w:rPr>
          <w:rFonts w:hint="eastAsia" w:ascii="宋体" w:hAnsi="宋体" w:eastAsia="宋体" w:cs="Times New Roman"/>
          <w:b/>
          <w:bCs/>
          <w:color w:val="auto"/>
          <w:sz w:val="24"/>
          <w:szCs w:val="24"/>
        </w:rPr>
        <w:t>附件3：</w:t>
      </w:r>
    </w:p>
    <w:p>
      <w:pPr>
        <w:widowControl w:val="0"/>
        <w:ind w:firstLine="480"/>
        <w:jc w:val="center"/>
        <w:rPr>
          <w:rFonts w:ascii="楷体_GB2312" w:hAnsi="Times New Roman" w:eastAsia="楷体_GB2312" w:cs="Times New Roman"/>
          <w:color w:val="auto"/>
          <w:sz w:val="24"/>
          <w:szCs w:val="24"/>
        </w:rPr>
      </w:pPr>
    </w:p>
    <w:p>
      <w:pPr>
        <w:adjustRightInd w:val="0"/>
        <w:snapToGrid w:val="0"/>
        <w:ind w:firstLine="482"/>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法定代表人身份证明书</w:t>
      </w:r>
    </w:p>
    <w:p>
      <w:pPr>
        <w:widowControl w:val="0"/>
        <w:ind w:firstLine="480"/>
        <w:rPr>
          <w:rFonts w:ascii="楷体_GB2312" w:hAnsi="Times New Roman" w:eastAsia="楷体_GB2312" w:cs="Times New Roman"/>
          <w:color w:val="auto"/>
          <w:sz w:val="24"/>
          <w:szCs w:val="24"/>
        </w:rPr>
      </w:pP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u w:val="single"/>
        </w:rPr>
      </w:pPr>
      <w:r>
        <w:rPr>
          <w:rFonts w:hint="eastAsia" w:ascii="宋体" w:hAnsi="宋体" w:eastAsia="宋体" w:cs="宋体"/>
          <w:color w:val="auto"/>
          <w:sz w:val="24"/>
          <w:szCs w:val="24"/>
        </w:rPr>
        <w:t xml:space="preserve">姓    名：         性别：       年龄：            职务： </w:t>
      </w: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系 </w:t>
      </w:r>
      <w:r>
        <w:rPr>
          <w:rFonts w:hint="eastAsia" w:ascii="宋体" w:hAnsi="宋体" w:eastAsia="宋体" w:cs="宋体"/>
          <w:color w:val="auto"/>
          <w:sz w:val="24"/>
          <w:szCs w:val="24"/>
          <w:u w:val="single"/>
        </w:rPr>
        <w:t xml:space="preserve">   （比选单位名称）  </w:t>
      </w:r>
      <w:r>
        <w:rPr>
          <w:rFonts w:hint="eastAsia" w:ascii="宋体" w:hAnsi="宋体" w:eastAsia="宋体" w:cs="宋体"/>
          <w:color w:val="auto"/>
          <w:sz w:val="24"/>
          <w:szCs w:val="24"/>
        </w:rPr>
        <w:t>的法定代表人。</w:t>
      </w: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特此证明。</w:t>
      </w: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楷体_GB2312" w:hAnsi="Times New Roman" w:eastAsia="楷体_GB2312" w:cs="Times New Roman"/>
          <w:color w:val="auto"/>
          <w:sz w:val="24"/>
          <w:szCs w:val="24"/>
        </w:rPr>
      </w:pP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比选单位（公章）：                </w:t>
      </w:r>
    </w:p>
    <w:p>
      <w:pPr>
        <w:widowControl w:val="0"/>
        <w:ind w:firstLine="480"/>
        <w:rPr>
          <w:rFonts w:ascii="宋体" w:hAnsi="宋体" w:eastAsia="宋体" w:cs="宋体"/>
          <w:color w:val="auto"/>
          <w:sz w:val="24"/>
          <w:szCs w:val="24"/>
        </w:rPr>
      </w:pPr>
    </w:p>
    <w:p>
      <w:pPr>
        <w:widowControl w:val="0"/>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 xml:space="preserve"> 年  月  日 </w:t>
      </w:r>
    </w:p>
    <w:p>
      <w:pPr>
        <w:ind w:firstLine="640"/>
        <w:jc w:val="left"/>
        <w:rPr>
          <w:rFonts w:ascii="宋体" w:hAnsi="宋体" w:eastAsia="宋体" w:cs="宋体"/>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640"/>
        <w:jc w:val="left"/>
        <w:rPr>
          <w:rFonts w:ascii="宋体" w:hAnsi="宋体" w:eastAsia="宋体" w:cs="Times New Roman"/>
          <w:color w:val="auto"/>
          <w:szCs w:val="32"/>
        </w:rPr>
      </w:pPr>
    </w:p>
    <w:p>
      <w:pPr>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附件4：</w:t>
      </w:r>
    </w:p>
    <w:p>
      <w:pPr>
        <w:adjustRightInd w:val="0"/>
        <w:snapToGrid w:val="0"/>
        <w:ind w:firstLine="482"/>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授权委托书</w:t>
      </w:r>
    </w:p>
    <w:p>
      <w:pPr>
        <w:adjustRightInd w:val="0"/>
        <w:snapToGrid w:val="0"/>
        <w:ind w:firstLine="480"/>
        <w:jc w:val="center"/>
        <w:rPr>
          <w:rFonts w:ascii="宋体" w:hAnsi="宋体" w:eastAsia="宋体" w:cs="Arial"/>
          <w:color w:val="auto"/>
          <w:kern w:val="0"/>
          <w:sz w:val="24"/>
          <w:szCs w:val="24"/>
        </w:rPr>
      </w:pPr>
    </w:p>
    <w:p>
      <w:pPr>
        <w:widowControl w:val="0"/>
        <w:ind w:firstLine="480"/>
        <w:jc w:val="left"/>
        <w:rPr>
          <w:rFonts w:ascii="宋体" w:hAnsi="宋体" w:eastAsia="宋体" w:cs="Times New Roman"/>
          <w:color w:val="auto"/>
          <w:sz w:val="24"/>
          <w:szCs w:val="24"/>
          <w:u w:val="single"/>
        </w:rPr>
      </w:pPr>
      <w:r>
        <w:rPr>
          <w:rFonts w:hint="eastAsia" w:ascii="宋体" w:hAnsi="宋体" w:eastAsia="宋体" w:cs="Arial"/>
          <w:color w:val="auto"/>
          <w:kern w:val="0"/>
          <w:sz w:val="24"/>
          <w:szCs w:val="24"/>
          <w:u w:val="single"/>
        </w:rPr>
        <w:t xml:space="preserve">     （比选单位名称）     </w:t>
      </w:r>
      <w:r>
        <w:rPr>
          <w:rFonts w:hint="eastAsia" w:ascii="宋体" w:hAnsi="宋体" w:eastAsia="宋体" w:cs="Arial"/>
          <w:color w:val="auto"/>
          <w:kern w:val="0"/>
          <w:sz w:val="24"/>
          <w:szCs w:val="24"/>
        </w:rPr>
        <w:t>法定代表人授权我司员工全权负责</w:t>
      </w:r>
      <w:r>
        <w:rPr>
          <w:rFonts w:hint="eastAsia" w:ascii="宋体" w:hAnsi="宋体" w:eastAsia="宋体" w:cs="Arial"/>
          <w:color w:val="auto"/>
          <w:kern w:val="0"/>
          <w:sz w:val="24"/>
          <w:szCs w:val="24"/>
          <w:lang w:eastAsia="zh-CN"/>
        </w:rPr>
        <w:t>海口江东新区CBD起步区南片区概念设计方案</w:t>
      </w:r>
      <w:r>
        <w:rPr>
          <w:rFonts w:hint="eastAsia" w:ascii="宋体" w:hAnsi="宋体" w:eastAsia="宋体" w:cs="Arial"/>
          <w:color w:val="auto"/>
          <w:kern w:val="0"/>
          <w:sz w:val="24"/>
          <w:szCs w:val="24"/>
        </w:rPr>
        <w:t>项目的一切相关事宜。本授权书于_______年_____月_____日签字生效，特此声明。</w:t>
      </w:r>
    </w:p>
    <w:p>
      <w:pPr>
        <w:widowControl w:val="0"/>
        <w:adjustRightInd w:val="0"/>
        <w:snapToGrid w:val="0"/>
        <w:ind w:firstLine="480"/>
        <w:rPr>
          <w:rFonts w:ascii="宋体" w:hAnsi="宋体" w:eastAsia="宋体" w:cs="Arial"/>
          <w:color w:val="auto"/>
          <w:kern w:val="0"/>
          <w:sz w:val="24"/>
          <w:szCs w:val="24"/>
        </w:rPr>
      </w:pPr>
    </w:p>
    <w:p>
      <w:pPr>
        <w:widowControl w:val="0"/>
        <w:adjustRightInd w:val="0"/>
        <w:snapToGrid w:val="0"/>
        <w:ind w:firstLine="480"/>
        <w:rPr>
          <w:rFonts w:ascii="宋体" w:hAnsi="宋体" w:eastAsia="宋体" w:cs="Arial"/>
          <w:color w:val="auto"/>
          <w:kern w:val="0"/>
          <w:sz w:val="24"/>
          <w:szCs w:val="24"/>
        </w:rPr>
      </w:pPr>
    </w:p>
    <w:p>
      <w:pPr>
        <w:adjustRightInd w:val="0"/>
        <w:snapToGrid w:val="0"/>
        <w:ind w:firstLine="480"/>
        <w:rPr>
          <w:rFonts w:ascii="宋体" w:hAnsi="宋体" w:eastAsia="宋体" w:cs="Arial"/>
          <w:color w:val="auto"/>
          <w:kern w:val="0"/>
          <w:sz w:val="24"/>
          <w:szCs w:val="24"/>
        </w:rPr>
      </w:pP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比选单位（公章）：                                                         </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法定代表人签字：</w:t>
      </w:r>
    </w:p>
    <w:p>
      <w:pPr>
        <w:widowControl w:val="0"/>
        <w:adjustRightInd w:val="0"/>
        <w:snapToGrid w:val="0"/>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（或法人章）</w:t>
      </w:r>
    </w:p>
    <w:p>
      <w:pPr>
        <w:widowControl w:val="0"/>
        <w:adjustRightInd w:val="0"/>
        <w:snapToGrid w:val="0"/>
        <w:ind w:firstLine="480"/>
        <w:rPr>
          <w:rFonts w:ascii="宋体" w:hAnsi="宋体" w:eastAsia="宋体" w:cs="Times New Roman"/>
          <w:color w:val="auto"/>
          <w:sz w:val="28"/>
          <w:szCs w:val="28"/>
        </w:rPr>
      </w:pPr>
      <w:r>
        <w:rPr>
          <w:rFonts w:hint="eastAsia" w:ascii="宋体" w:hAnsi="宋体" w:eastAsia="宋体" w:cs="Times New Roman"/>
          <w:color w:val="auto"/>
          <w:sz w:val="24"/>
          <w:szCs w:val="24"/>
        </w:rPr>
        <w:t xml:space="preserve">                                         被授权人签字：</w:t>
      </w:r>
      <w:r>
        <w:rPr>
          <w:rFonts w:hint="eastAsia" w:ascii="宋体" w:hAnsi="宋体" w:eastAsia="宋体" w:cs="Times New Roman"/>
          <w:color w:val="auto"/>
          <w:sz w:val="28"/>
          <w:szCs w:val="28"/>
        </w:rPr>
        <w:t> </w:t>
      </w:r>
      <w:bookmarkStart w:id="44" w:name="_Toc217437902"/>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widowControl w:val="0"/>
        <w:ind w:firstLine="420"/>
        <w:rPr>
          <w:rFonts w:ascii="Times New Roman" w:hAnsi="Times New Roman" w:eastAsia="宋体" w:cs="Times New Roman"/>
          <w:color w:val="auto"/>
          <w:sz w:val="21"/>
          <w:szCs w:val="24"/>
        </w:rPr>
      </w:pPr>
    </w:p>
    <w:p>
      <w:pPr>
        <w:ind w:firstLine="482"/>
        <w:jc w:val="left"/>
        <w:rPr>
          <w:rFonts w:ascii="宋体" w:hAnsi="宋体" w:eastAsia="宋体" w:cs="Times New Roman"/>
          <w:b/>
          <w:bCs/>
          <w:color w:val="auto"/>
          <w:sz w:val="24"/>
          <w:szCs w:val="24"/>
        </w:rPr>
      </w:pPr>
    </w:p>
    <w:p>
      <w:pPr>
        <w:pageBreakBefore/>
        <w:ind w:firstLine="482"/>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附件5：</w:t>
      </w:r>
    </w:p>
    <w:p>
      <w:pPr>
        <w:widowControl w:val="0"/>
        <w:ind w:firstLine="420"/>
        <w:rPr>
          <w:rFonts w:ascii="Times New Roman" w:hAnsi="Times New Roman" w:eastAsia="宋体" w:cs="Times New Roman"/>
          <w:color w:val="auto"/>
          <w:sz w:val="21"/>
          <w:szCs w:val="24"/>
        </w:rPr>
      </w:pPr>
    </w:p>
    <w:p>
      <w:pPr>
        <w:widowControl w:val="0"/>
        <w:ind w:firstLine="482"/>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承诺函</w:t>
      </w:r>
    </w:p>
    <w:p>
      <w:pPr>
        <w:widowControl w:val="0"/>
        <w:ind w:firstLine="482"/>
        <w:rPr>
          <w:rFonts w:ascii="宋体" w:hAnsi="宋体" w:eastAsia="宋体" w:cs="Times New Roman"/>
          <w:b/>
          <w:bCs/>
          <w:color w:val="auto"/>
          <w:sz w:val="24"/>
          <w:szCs w:val="24"/>
        </w:rPr>
      </w:pP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本公司郑重作以下承诺和声明：</w:t>
      </w: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在本项目的投标过程中，自觉遵守相关法律法规，不提供虚假材料、不参与围标串标、不以其他违法违规行为骗取中标，一旦违背承诺，本公司愿无条件接受采购单位取消中标资格、没收投标保证金、解除合同、拒绝后续投标等处理。</w:t>
      </w:r>
    </w:p>
    <w:p>
      <w:pPr>
        <w:widowControl w:val="0"/>
        <w:ind w:firstLine="480"/>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特此声明。</w:t>
      </w:r>
    </w:p>
    <w:p>
      <w:pPr>
        <w:widowControl w:val="0"/>
        <w:ind w:firstLine="480"/>
        <w:jc w:val="left"/>
        <w:rPr>
          <w:rFonts w:ascii="宋体" w:hAnsi="宋体" w:eastAsia="宋体" w:cs="Arial"/>
          <w:color w:val="auto"/>
          <w:kern w:val="0"/>
          <w:sz w:val="24"/>
          <w:szCs w:val="24"/>
        </w:rPr>
      </w:pPr>
    </w:p>
    <w:p>
      <w:pPr>
        <w:widowControl w:val="0"/>
        <w:ind w:firstLine="480"/>
        <w:jc w:val="left"/>
        <w:rPr>
          <w:rFonts w:ascii="宋体" w:hAnsi="宋体" w:eastAsia="宋体" w:cs="Arial"/>
          <w:color w:val="auto"/>
          <w:kern w:val="0"/>
          <w:sz w:val="24"/>
          <w:szCs w:val="24"/>
        </w:rPr>
      </w:pPr>
    </w:p>
    <w:p>
      <w:pPr>
        <w:widowControl w:val="0"/>
        <w:ind w:firstLine="480"/>
        <w:jc w:val="left"/>
        <w:rPr>
          <w:rFonts w:ascii="宋体" w:hAnsi="宋体" w:eastAsia="宋体" w:cs="Arial"/>
          <w:color w:val="auto"/>
          <w:kern w:val="0"/>
          <w:sz w:val="24"/>
          <w:szCs w:val="24"/>
        </w:rPr>
      </w:pPr>
    </w:p>
    <w:p>
      <w:pPr>
        <w:widowControl w:val="0"/>
        <w:ind w:firstLine="480"/>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承诺人（单位名称）：</w:t>
      </w:r>
    </w:p>
    <w:p>
      <w:pPr>
        <w:widowControl w:val="0"/>
        <w:ind w:firstLine="480"/>
        <w:jc w:val="center"/>
        <w:rPr>
          <w:rFonts w:ascii="Times New Roman" w:hAnsi="Times New Roman" w:eastAsia="宋体" w:cs="Times New Roman"/>
          <w:color w:val="auto"/>
          <w:sz w:val="21"/>
          <w:szCs w:val="24"/>
        </w:rPr>
        <w:sectPr>
          <w:pgSz w:w="11906" w:h="16838"/>
          <w:pgMar w:top="1440" w:right="1366" w:bottom="1440" w:left="1423" w:header="851" w:footer="992" w:gutter="0"/>
          <w:cols w:space="720" w:num="1"/>
          <w:docGrid w:linePitch="312" w:charSpace="0"/>
        </w:sectPr>
      </w:pPr>
      <w:r>
        <w:rPr>
          <w:rFonts w:hint="eastAsia" w:ascii="宋体" w:hAnsi="宋体" w:eastAsia="宋体" w:cs="Arial"/>
          <w:color w:val="auto"/>
          <w:kern w:val="0"/>
          <w:sz w:val="24"/>
          <w:szCs w:val="24"/>
        </w:rPr>
        <w:t>日期：</w:t>
      </w:r>
    </w:p>
    <w:bookmarkEnd w:id="44"/>
    <w:p>
      <w:pPr>
        <w:widowControl w:val="0"/>
        <w:numPr>
          <w:ilvl w:val="0"/>
          <w:numId w:val="3"/>
        </w:numPr>
        <w:spacing w:line="240" w:lineRule="auto"/>
        <w:ind w:firstLine="643" w:firstLineChars="0"/>
        <w:jc w:val="center"/>
        <w:rPr>
          <w:rFonts w:ascii="黑体" w:hAnsi="黑体" w:eastAsia="黑体" w:cs="Times New Roman"/>
          <w:color w:val="auto"/>
          <w:kern w:val="0"/>
          <w:szCs w:val="24"/>
        </w:rPr>
      </w:pPr>
      <w:r>
        <w:rPr>
          <w:rFonts w:hint="eastAsia" w:ascii="宋体" w:hAnsi="宋体" w:eastAsia="宋体" w:cs="Times New Roman"/>
          <w:b/>
          <w:bCs/>
          <w:color w:val="auto"/>
          <w:szCs w:val="32"/>
        </w:rPr>
        <w:t xml:space="preserve">  项目</w:t>
      </w:r>
      <w:r>
        <w:rPr>
          <w:rFonts w:hint="eastAsia" w:ascii="黑体" w:hAnsi="黑体" w:eastAsia="黑体" w:cs="Times New Roman"/>
          <w:color w:val="auto"/>
          <w:kern w:val="0"/>
          <w:szCs w:val="24"/>
        </w:rPr>
        <w:t>合同模板</w:t>
      </w:r>
    </w:p>
    <w:p>
      <w:pPr>
        <w:pStyle w:val="2"/>
      </w:pPr>
    </w:p>
    <w:p>
      <w:pPr>
        <w:widowControl w:val="0"/>
        <w:spacing w:after="120" w:afterLines="50"/>
        <w:ind w:firstLine="482"/>
        <w:rPr>
          <w:rFonts w:ascii="宋体" w:hAnsi="宋体" w:eastAsia="宋体" w:cs="仿宋"/>
          <w:b/>
          <w:bCs/>
          <w:color w:val="auto"/>
          <w:sz w:val="24"/>
          <w:szCs w:val="24"/>
          <w:highlight w:val="none"/>
        </w:rPr>
      </w:pPr>
      <w:bookmarkStart w:id="45" w:name="_Hlk16456413"/>
      <w:r>
        <w:rPr>
          <w:rFonts w:hint="eastAsia" w:ascii="宋体" w:hAnsi="宋体" w:eastAsia="宋体" w:cs="仿宋"/>
          <w:b/>
          <w:bCs/>
          <w:color w:val="auto"/>
          <w:sz w:val="24"/>
          <w:szCs w:val="24"/>
          <w:highlight w:val="none"/>
        </w:rPr>
        <w:t>甲方（委托方）：海口江东新区管理局</w:t>
      </w:r>
    </w:p>
    <w:p>
      <w:pPr>
        <w:widowControl w:val="0"/>
        <w:spacing w:after="120" w:afterLines="50"/>
        <w:ind w:firstLine="482"/>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乙方（承接方）：</w:t>
      </w:r>
    </w:p>
    <w:p>
      <w:pPr>
        <w:overflowPunct w:val="0"/>
        <w:autoSpaceDE w:val="0"/>
        <w:autoSpaceDN w:val="0"/>
        <w:spacing w:after="120" w:afterLines="50"/>
        <w:ind w:firstLine="464"/>
        <w:jc w:val="left"/>
        <w:rPr>
          <w:rFonts w:ascii="宋体" w:hAnsi="宋体" w:eastAsia="宋体" w:cs="Times New Roman"/>
          <w:color w:val="auto"/>
          <w:spacing w:val="-4"/>
          <w:kern w:val="0"/>
          <w:sz w:val="24"/>
          <w:szCs w:val="24"/>
          <w:highlight w:val="none"/>
          <w:lang w:val="de-DE"/>
        </w:rPr>
      </w:pPr>
      <w:r>
        <w:rPr>
          <w:rFonts w:hint="eastAsia" w:ascii="宋体" w:hAnsi="宋体" w:eastAsia="宋体" w:cs="Times New Roman"/>
          <w:color w:val="auto"/>
          <w:spacing w:val="-4"/>
          <w:kern w:val="0"/>
          <w:sz w:val="24"/>
          <w:szCs w:val="24"/>
          <w:highlight w:val="none"/>
          <w:lang w:val="de-DE"/>
        </w:rPr>
        <w:t>依据《中华人民共和国民法典》和有关法规的规定，甲乙双方经过友好协商，就乙方为甲方提供</w:t>
      </w:r>
      <w:r>
        <w:rPr>
          <w:rFonts w:hint="eastAsia" w:ascii="宋体" w:hAnsi="宋体" w:eastAsia="宋体" w:cs="Times New Roman"/>
          <w:color w:val="auto"/>
          <w:spacing w:val="-4"/>
          <w:kern w:val="0"/>
          <w:sz w:val="24"/>
          <w:szCs w:val="24"/>
          <w:highlight w:val="none"/>
        </w:rPr>
        <w:t>《</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Times New Roman"/>
          <w:color w:val="auto"/>
          <w:spacing w:val="-4"/>
          <w:kern w:val="0"/>
          <w:sz w:val="24"/>
          <w:szCs w:val="24"/>
          <w:highlight w:val="none"/>
        </w:rPr>
        <w:t>》咨询服务</w:t>
      </w:r>
      <w:r>
        <w:rPr>
          <w:rFonts w:ascii="宋体" w:hAnsi="宋体" w:eastAsia="宋体" w:cs="Times New Roman"/>
          <w:color w:val="auto"/>
          <w:spacing w:val="-4"/>
          <w:kern w:val="0"/>
          <w:sz w:val="24"/>
          <w:szCs w:val="24"/>
          <w:highlight w:val="none"/>
          <w:lang w:val="de-DE"/>
        </w:rPr>
        <w:t>。</w:t>
      </w:r>
      <w:r>
        <w:rPr>
          <w:rFonts w:hint="eastAsia" w:ascii="宋体" w:hAnsi="宋体" w:eastAsia="宋体" w:cs="Times New Roman"/>
          <w:color w:val="auto"/>
          <w:spacing w:val="-4"/>
          <w:kern w:val="0"/>
          <w:sz w:val="24"/>
          <w:szCs w:val="24"/>
          <w:highlight w:val="none"/>
          <w:lang w:val="de-DE"/>
        </w:rPr>
        <w:t>双方达成如下协议，以资共同遵守。</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委托事项</w:t>
      </w:r>
    </w:p>
    <w:p>
      <w:pPr>
        <w:overflowPunct w:val="0"/>
        <w:autoSpaceDE w:val="0"/>
        <w:autoSpaceDN w:val="0"/>
        <w:spacing w:after="120" w:afterLines="50"/>
        <w:ind w:firstLine="464"/>
        <w:jc w:val="left"/>
        <w:rPr>
          <w:rFonts w:ascii="宋体" w:hAnsi="宋体" w:eastAsia="宋体" w:cs="Times New Roman"/>
          <w:color w:val="auto"/>
          <w:spacing w:val="-4"/>
          <w:kern w:val="0"/>
          <w:sz w:val="24"/>
          <w:szCs w:val="24"/>
          <w:highlight w:val="none"/>
          <w:lang w:val="de-DE"/>
        </w:rPr>
      </w:pPr>
      <w:r>
        <w:rPr>
          <w:rFonts w:hint="eastAsia" w:ascii="宋体" w:hAnsi="宋体" w:eastAsia="宋体" w:cs="Times New Roman"/>
          <w:color w:val="auto"/>
          <w:spacing w:val="-4"/>
          <w:kern w:val="0"/>
          <w:sz w:val="24"/>
          <w:szCs w:val="24"/>
          <w:highlight w:val="none"/>
          <w:lang w:val="de-DE"/>
        </w:rPr>
        <w:t>乙方接受甲方委托，</w:t>
      </w:r>
      <w:r>
        <w:rPr>
          <w:rFonts w:hint="eastAsia" w:ascii="宋体" w:hAnsi="宋体" w:eastAsia="宋体" w:cs="Times New Roman"/>
          <w:color w:val="auto"/>
          <w:spacing w:val="-4"/>
          <w:kern w:val="0"/>
          <w:sz w:val="24"/>
          <w:szCs w:val="24"/>
          <w:highlight w:val="none"/>
        </w:rPr>
        <w:t>有偿提供</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Times New Roman"/>
          <w:color w:val="auto"/>
          <w:spacing w:val="-4"/>
          <w:kern w:val="0"/>
          <w:sz w:val="24"/>
          <w:szCs w:val="24"/>
          <w:highlight w:val="none"/>
        </w:rPr>
        <w:t>的编制工作</w:t>
      </w:r>
      <w:r>
        <w:rPr>
          <w:rFonts w:hint="eastAsia" w:ascii="宋体" w:hAnsi="宋体" w:eastAsia="宋体" w:cs="Times New Roman"/>
          <w:color w:val="auto"/>
          <w:spacing w:val="-4"/>
          <w:kern w:val="0"/>
          <w:sz w:val="24"/>
          <w:szCs w:val="24"/>
          <w:highlight w:val="none"/>
          <w:lang w:val="de-DE"/>
        </w:rPr>
        <w:t>。</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服务内容</w:t>
      </w:r>
    </w:p>
    <w:p>
      <w:pPr>
        <w:widowControl w:val="0"/>
        <w:ind w:firstLine="480"/>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重点关注</w:t>
      </w:r>
      <w:r>
        <w:rPr>
          <w:rFonts w:hint="eastAsia" w:ascii="宋体" w:hAnsi="宋体" w:eastAsia="宋体" w:cs="Times New Roman"/>
          <w:bCs/>
          <w:color w:val="auto"/>
          <w:sz w:val="24"/>
          <w:szCs w:val="24"/>
          <w:highlight w:val="none"/>
          <w:lang w:val="en-US" w:eastAsia="zh-CN"/>
        </w:rPr>
        <w:t>CBD起步区南片区的功能定位、产业定位、空间布局</w:t>
      </w:r>
      <w:r>
        <w:rPr>
          <w:rFonts w:hint="eastAsia" w:ascii="宋体" w:hAnsi="宋体" w:eastAsia="宋体" w:cs="Times New Roman"/>
          <w:bCs/>
          <w:color w:val="auto"/>
          <w:sz w:val="24"/>
          <w:szCs w:val="24"/>
          <w:highlight w:val="none"/>
          <w:lang w:eastAsia="zh-CN"/>
        </w:rPr>
        <w:t>：</w:t>
      </w:r>
    </w:p>
    <w:p>
      <w:pPr>
        <w:pStyle w:val="71"/>
        <w:ind w:firstLine="643"/>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rPr>
        <w:t>明确该区域的功能定位</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围绕贯彻落实江东新区</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起步区的重大战略和整体决策，以“服务协同提升江东新区起步区”为核心，系统梳理片区周边的基础设施和功能服务配套情况，明确CBD起步区南片区的整体功能定位。</w:t>
      </w:r>
    </w:p>
    <w:p>
      <w:pPr>
        <w:pStyle w:val="71"/>
        <w:ind w:firstLine="643"/>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确定该区域的产业方向</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kern w:val="2"/>
          <w:sz w:val="24"/>
          <w:szCs w:val="24"/>
          <w:highlight w:val="none"/>
          <w:lang w:val="en-US" w:eastAsia="zh-CN" w:bidi="ar-SA"/>
        </w:rPr>
        <w:t>在功能定位的基础上，面向总部商务精英、中小企业办公人群、当地居民三类人群的需求，结合周边产业布局，谋划</w:t>
      </w:r>
      <w:r>
        <w:rPr>
          <w:rFonts w:hint="eastAsia" w:ascii="宋体" w:hAnsi="宋体" w:eastAsia="宋体" w:cs="Times New Roman"/>
          <w:bCs/>
          <w:color w:val="auto"/>
          <w:sz w:val="24"/>
          <w:szCs w:val="24"/>
          <w:highlight w:val="none"/>
          <w:lang w:val="en-US" w:eastAsia="zh-CN"/>
        </w:rPr>
        <w:t>CBD</w:t>
      </w:r>
      <w:r>
        <w:rPr>
          <w:rFonts w:hint="eastAsia" w:ascii="宋体" w:hAnsi="宋体" w:eastAsia="宋体" w:cs="Times New Roman"/>
          <w:bCs/>
          <w:color w:val="auto"/>
          <w:kern w:val="2"/>
          <w:sz w:val="24"/>
          <w:szCs w:val="24"/>
          <w:highlight w:val="none"/>
          <w:lang w:val="en-US" w:eastAsia="zh-CN" w:bidi="ar-SA"/>
        </w:rPr>
        <w:t>起步区南片区的产业方向</w:t>
      </w:r>
      <w:r>
        <w:rPr>
          <w:rFonts w:hint="eastAsia" w:ascii="宋体" w:hAnsi="宋体" w:eastAsia="宋体" w:cs="Times New Roman"/>
          <w:bCs/>
          <w:color w:val="auto"/>
          <w:sz w:val="24"/>
          <w:szCs w:val="24"/>
          <w:highlight w:val="none"/>
        </w:rPr>
        <w:t>。</w:t>
      </w:r>
    </w:p>
    <w:p>
      <w:pPr>
        <w:pStyle w:val="71"/>
        <w:ind w:firstLine="643"/>
        <w:rPr>
          <w:rFonts w:hint="eastAsia" w:ascii="宋体" w:hAnsi="宋体" w:eastAsia="宋体" w:cs="Times New Roman"/>
          <w:bCs/>
          <w:color w:val="auto"/>
          <w:sz w:val="24"/>
          <w:szCs w:val="24"/>
          <w:highlight w:val="none"/>
        </w:rPr>
      </w:pPr>
      <w:r>
        <w:rPr>
          <w:rFonts w:hint="eastAsia" w:ascii="宋体" w:hAnsi="宋体" w:eastAsia="宋体" w:cs="Times New Roman"/>
          <w:b w:val="0"/>
          <w:bCs/>
          <w:color w:val="auto"/>
          <w:sz w:val="24"/>
          <w:szCs w:val="24"/>
          <w:highlight w:val="none"/>
          <w:lang w:val="en-US" w:eastAsia="zh-CN"/>
        </w:rPr>
        <w:t>统筹好该区域的空间布局</w:t>
      </w:r>
      <w:r>
        <w:rPr>
          <w:rFonts w:hint="eastAsia" w:ascii="宋体" w:hAnsi="宋体" w:eastAsia="宋体" w:cs="Times New Roman"/>
          <w:b w:val="0"/>
          <w:bCs/>
          <w:color w:val="auto"/>
          <w:sz w:val="24"/>
          <w:szCs w:val="24"/>
          <w:highlight w:val="none"/>
        </w:rPr>
        <w:t>。</w:t>
      </w:r>
      <w:r>
        <w:rPr>
          <w:rFonts w:hint="eastAsia" w:ascii="宋体" w:hAnsi="宋体" w:eastAsia="宋体" w:cs="Times New Roman"/>
          <w:bCs/>
          <w:color w:val="auto"/>
          <w:sz w:val="24"/>
          <w:szCs w:val="24"/>
          <w:highlight w:val="none"/>
        </w:rPr>
        <w:t>结合产业空间需求、居住空间需求、配套设施空间需求，对片区范围内的用地类型及相应规模进行概念性策划，并制定片区范围内的功能分区。结合政府投资计划和招商计划及用地需求，初步拟定产业项目和配套设施的用地布局，为片区详细规划的编制提供参考。</w:t>
      </w: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项目工作时间安排</w:t>
      </w:r>
    </w:p>
    <w:p>
      <w:pPr>
        <w:overflowPunct w:val="0"/>
        <w:autoSpaceDE w:val="0"/>
        <w:autoSpaceDN w:val="0"/>
        <w:spacing w:afterLines="50"/>
        <w:ind w:firstLine="464"/>
        <w:jc w:val="left"/>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本项目的交付成果为</w:t>
      </w:r>
      <w:r>
        <w:rPr>
          <w:rFonts w:hint="eastAsia" w:ascii="宋体" w:hAnsi="宋体" w:eastAsia="宋体" w:cs="Times New Roman"/>
          <w:bCs/>
          <w:color w:val="auto"/>
          <w:sz w:val="24"/>
          <w:szCs w:val="24"/>
          <w:highlight w:val="none"/>
        </w:rPr>
        <w:t>《海口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r>
        <w:rPr>
          <w:rFonts w:ascii="宋体" w:hAnsi="宋体" w:eastAsia="宋体" w:cs="Times New Roman"/>
          <w:color w:val="auto"/>
          <w:spacing w:val="-4"/>
          <w:kern w:val="0"/>
          <w:sz w:val="24"/>
          <w:szCs w:val="24"/>
          <w:highlight w:val="none"/>
        </w:rPr>
        <w:t>。</w:t>
      </w:r>
      <w:r>
        <w:rPr>
          <w:rFonts w:hint="eastAsia" w:ascii="宋体" w:hAnsi="宋体" w:eastAsia="宋体" w:cs="Times New Roman"/>
          <w:color w:val="auto"/>
          <w:spacing w:val="-4"/>
          <w:kern w:val="0"/>
          <w:sz w:val="24"/>
          <w:szCs w:val="24"/>
          <w:highlight w:val="none"/>
        </w:rPr>
        <w:t>乙方</w:t>
      </w:r>
      <w:r>
        <w:rPr>
          <w:rFonts w:hint="eastAsia" w:ascii="宋体" w:hAnsi="宋体" w:eastAsia="宋体" w:cs="Times New Roman"/>
          <w:bCs/>
          <w:color w:val="auto"/>
          <w:sz w:val="24"/>
          <w:szCs w:val="24"/>
          <w:highlight w:val="none"/>
        </w:rPr>
        <w:t>于</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lang w:val="en-US" w:eastAsia="zh-CN"/>
        </w:rPr>
        <w:t>31</w:t>
      </w:r>
      <w:r>
        <w:rPr>
          <w:rFonts w:hint="eastAsia" w:ascii="宋体" w:hAnsi="宋体" w:eastAsia="宋体" w:cs="Times New Roman"/>
          <w:bCs/>
          <w:color w:val="auto"/>
          <w:sz w:val="24"/>
          <w:szCs w:val="24"/>
          <w:highlight w:val="none"/>
        </w:rPr>
        <w:t>日前</w:t>
      </w:r>
      <w:r>
        <w:rPr>
          <w:rFonts w:ascii="宋体" w:hAnsi="宋体" w:eastAsia="宋体" w:cs="Times New Roman"/>
          <w:bCs/>
          <w:color w:val="auto"/>
          <w:sz w:val="24"/>
          <w:szCs w:val="24"/>
          <w:highlight w:val="none"/>
        </w:rPr>
        <w:t>完成上述工作的报告提交</w:t>
      </w:r>
      <w:r>
        <w:rPr>
          <w:rFonts w:hint="eastAsia" w:ascii="宋体" w:hAnsi="宋体" w:eastAsia="宋体" w:cs="Times New Roman"/>
          <w:bCs/>
          <w:color w:val="auto"/>
          <w:sz w:val="24"/>
          <w:szCs w:val="24"/>
          <w:highlight w:val="none"/>
        </w:rPr>
        <w:t>，其中自合同签订之日起2周内提交《海口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》初步方案，自合同签订之日起</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周内提交《海口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中期报告</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5月31日前</w:t>
      </w:r>
      <w:r>
        <w:rPr>
          <w:rFonts w:hint="eastAsia" w:ascii="宋体" w:hAnsi="宋体" w:eastAsia="宋体" w:cs="Times New Roman"/>
          <w:bCs/>
          <w:color w:val="auto"/>
          <w:sz w:val="24"/>
          <w:szCs w:val="24"/>
          <w:highlight w:val="none"/>
        </w:rPr>
        <w:t>内提交《海口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》最终报告。</w:t>
      </w:r>
    </w:p>
    <w:p>
      <w:pPr>
        <w:overflowPunct w:val="0"/>
        <w:autoSpaceDE w:val="0"/>
        <w:autoSpaceDN w:val="0"/>
        <w:spacing w:after="120" w:afterLines="50"/>
        <w:ind w:firstLine="464"/>
        <w:jc w:val="left"/>
        <w:rPr>
          <w:rFonts w:hint="eastAsia" w:ascii="宋体" w:hAnsi="宋体" w:eastAsia="宋体" w:cs="Times New Roman"/>
          <w:color w:val="auto"/>
          <w:spacing w:val="-4"/>
          <w:kern w:val="0"/>
          <w:sz w:val="24"/>
          <w:szCs w:val="24"/>
          <w:highlight w:val="none"/>
        </w:rPr>
      </w:pPr>
    </w:p>
    <w:p>
      <w:pPr>
        <w:widowControl w:val="0"/>
        <w:numPr>
          <w:ilvl w:val="0"/>
          <w:numId w:val="4"/>
        </w:numPr>
        <w:spacing w:after="120"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编制费用</w:t>
      </w:r>
    </w:p>
    <w:p>
      <w:pPr>
        <w:widowControl w:val="0"/>
        <w:snapToGrid w:val="0"/>
        <w:spacing w:after="120" w:afterLines="50"/>
        <w:ind w:firstLine="480"/>
        <w:rPr>
          <w:rFonts w:ascii="宋体" w:hAnsi="宋体" w:eastAsia="宋体" w:cs="仿宋"/>
          <w:b/>
          <w:bCs/>
          <w:color w:val="auto"/>
          <w:sz w:val="24"/>
          <w:szCs w:val="24"/>
          <w:highlight w:val="none"/>
        </w:rPr>
      </w:pPr>
      <w:r>
        <w:rPr>
          <w:rFonts w:hint="eastAsia" w:ascii="宋体" w:hAnsi="宋体" w:eastAsia="宋体" w:cs="仿宋"/>
          <w:color w:val="auto"/>
          <w:sz w:val="24"/>
          <w:szCs w:val="24"/>
          <w:highlight w:val="none"/>
        </w:rPr>
        <w:t>《</w:t>
      </w:r>
      <w:r>
        <w:rPr>
          <w:rFonts w:hint="eastAsia" w:ascii="宋体" w:hAnsi="宋体" w:eastAsia="宋体" w:cs="Times New Roman"/>
          <w:color w:val="auto"/>
          <w:sz w:val="24"/>
          <w:szCs w:val="24"/>
          <w:highlight w:val="none"/>
        </w:rPr>
        <w:t>海口</w:t>
      </w:r>
      <w:r>
        <w:rPr>
          <w:rFonts w:hint="eastAsia" w:ascii="宋体" w:hAnsi="宋体" w:eastAsia="宋体" w:cs="Times New Roman"/>
          <w:color w:val="auto"/>
          <w:sz w:val="24"/>
          <w:szCs w:val="24"/>
          <w:highlight w:val="none"/>
          <w:lang w:val="en-US" w:eastAsia="zh-CN"/>
        </w:rPr>
        <w:t>江东新区CBD起步区南片区概念设计方案</w:t>
      </w:r>
      <w:r>
        <w:rPr>
          <w:rFonts w:hint="eastAsia" w:ascii="宋体" w:hAnsi="宋体" w:eastAsia="宋体" w:cs="仿宋"/>
          <w:color w:val="auto"/>
          <w:sz w:val="24"/>
          <w:szCs w:val="24"/>
          <w:highlight w:val="none"/>
        </w:rPr>
        <w:t>》编制费用</w:t>
      </w:r>
      <w:r>
        <w:rPr>
          <w:rFonts w:ascii="宋体" w:hAnsi="宋体" w:eastAsia="宋体" w:cs="仿宋"/>
          <w:color w:val="auto"/>
          <w:sz w:val="24"/>
          <w:szCs w:val="24"/>
          <w:highlight w:val="none"/>
        </w:rPr>
        <w:t>（含税）</w:t>
      </w:r>
      <w:r>
        <w:rPr>
          <w:rFonts w:hint="eastAsia" w:ascii="宋体" w:hAnsi="宋体" w:eastAsia="宋体" w:cs="仿宋"/>
          <w:color w:val="auto"/>
          <w:sz w:val="24"/>
          <w:szCs w:val="24"/>
          <w:highlight w:val="none"/>
        </w:rPr>
        <w:t>为</w:t>
      </w:r>
      <w:r>
        <w:rPr>
          <w:rFonts w:ascii="宋体" w:hAnsi="宋体" w:eastAsia="宋体" w:cs="Calibri"/>
          <w:b/>
          <w:color w:val="auto"/>
          <w:sz w:val="24"/>
          <w:szCs w:val="24"/>
          <w:highlight w:val="none"/>
          <w:u w:val="single"/>
        </w:rPr>
        <w:t>¥</w:t>
      </w:r>
      <w:r>
        <w:rPr>
          <w:rFonts w:ascii="宋体" w:hAnsi="宋体" w:eastAsia="宋体" w:cs="仿宋"/>
          <w:b/>
          <w:color w:val="auto"/>
          <w:sz w:val="24"/>
          <w:szCs w:val="24"/>
          <w:highlight w:val="none"/>
          <w:u w:val="single"/>
        </w:rPr>
        <w:t xml:space="preserve">           </w:t>
      </w:r>
      <w:r>
        <w:rPr>
          <w:rFonts w:hint="eastAsia" w:ascii="宋体" w:hAnsi="宋体" w:eastAsia="宋体" w:cs="仿宋"/>
          <w:color w:val="auto"/>
          <w:sz w:val="24"/>
          <w:szCs w:val="24"/>
          <w:highlight w:val="none"/>
        </w:rPr>
        <w:t>元整(大写：</w:t>
      </w:r>
      <w:r>
        <w:rPr>
          <w:rFonts w:hint="eastAsia" w:ascii="宋体" w:hAnsi="宋体" w:eastAsia="宋体" w:cs="仿宋"/>
          <w:b/>
          <w:color w:val="auto"/>
          <w:sz w:val="24"/>
          <w:szCs w:val="24"/>
          <w:highlight w:val="none"/>
          <w:u w:val="single"/>
        </w:rPr>
        <w:t xml:space="preserve">人民币 </w:t>
      </w:r>
      <w:r>
        <w:rPr>
          <w:rFonts w:ascii="宋体" w:hAnsi="宋体" w:eastAsia="宋体" w:cs="仿宋"/>
          <w:b/>
          <w:color w:val="auto"/>
          <w:sz w:val="24"/>
          <w:szCs w:val="24"/>
          <w:highlight w:val="none"/>
          <w:u w:val="single"/>
        </w:rPr>
        <w:t xml:space="preserve">         </w:t>
      </w:r>
      <w:r>
        <w:rPr>
          <w:rFonts w:hint="eastAsia" w:ascii="宋体" w:hAnsi="宋体" w:eastAsia="宋体" w:cs="仿宋"/>
          <w:b/>
          <w:color w:val="auto"/>
          <w:sz w:val="24"/>
          <w:szCs w:val="24"/>
          <w:highlight w:val="none"/>
          <w:u w:val="single"/>
        </w:rPr>
        <w:t>元整</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该费用包含乙方为履行本合同义务而发生的费用，包括但不限于</w:t>
      </w:r>
      <w:r>
        <w:rPr>
          <w:rFonts w:hint="eastAsia" w:ascii="宋体" w:hAnsi="宋体" w:eastAsia="宋体" w:cs="仿宋"/>
          <w:color w:val="auto"/>
          <w:sz w:val="24"/>
          <w:szCs w:val="24"/>
          <w:highlight w:val="none"/>
        </w:rPr>
        <w:t>资料费、差旅费、专家咨询费及与项目服务有关的税费。同时，</w:t>
      </w:r>
      <w:r>
        <w:rPr>
          <w:rFonts w:ascii="宋体" w:hAnsi="宋体" w:eastAsia="宋体" w:cs="仿宋"/>
          <w:color w:val="auto"/>
          <w:sz w:val="24"/>
          <w:szCs w:val="24"/>
          <w:highlight w:val="none"/>
        </w:rPr>
        <w:t>乙方需自行对其派出的服务人员进行管理，如若遭受（或造成）人身损害或财产损失的，由乙方自行承担，与甲方无关。</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编制费用支付进度及方式</w:t>
      </w:r>
    </w:p>
    <w:bookmarkEnd w:id="45"/>
    <w:p>
      <w:pPr>
        <w:widowControl w:val="0"/>
        <w:numPr>
          <w:ilvl w:val="0"/>
          <w:numId w:val="5"/>
        </w:numPr>
        <w:spacing w:afterLines="50"/>
        <w:ind w:firstLine="482" w:firstLineChars="0"/>
        <w:rPr>
          <w:rFonts w:ascii="宋体" w:hAnsi="宋体" w:eastAsia="宋体" w:cs="仿宋"/>
          <w:b/>
          <w:bCs/>
          <w:color w:val="auto"/>
          <w:kern w:val="0"/>
          <w:sz w:val="24"/>
          <w:szCs w:val="24"/>
          <w:highlight w:val="none"/>
        </w:rPr>
      </w:pPr>
      <w:r>
        <w:rPr>
          <w:rFonts w:hint="eastAsia" w:ascii="宋体" w:hAnsi="宋体" w:eastAsia="宋体" w:cs="仿宋"/>
          <w:b/>
          <w:bCs/>
          <w:color w:val="auto"/>
          <w:kern w:val="0"/>
          <w:sz w:val="24"/>
          <w:szCs w:val="24"/>
          <w:highlight w:val="none"/>
        </w:rPr>
        <w:t>支付进度</w:t>
      </w:r>
    </w:p>
    <w:p>
      <w:pPr>
        <w:widowControl w:val="0"/>
        <w:spacing w:afterLines="50"/>
        <w:ind w:firstLine="480"/>
        <w:jc w:val="left"/>
        <w:rPr>
          <w:rFonts w:ascii="宋体" w:hAnsi="宋体" w:eastAsia="宋体" w:cs="仿宋"/>
          <w:color w:val="auto"/>
          <w:sz w:val="24"/>
          <w:szCs w:val="24"/>
          <w:highlight w:val="none"/>
          <w:lang w:val="en-GB"/>
        </w:rPr>
      </w:pPr>
      <w:r>
        <w:rPr>
          <w:rFonts w:ascii="宋体" w:hAnsi="宋体" w:eastAsia="宋体" w:cs="仿宋"/>
          <w:color w:val="auto"/>
          <w:sz w:val="24"/>
          <w:szCs w:val="24"/>
          <w:highlight w:val="none"/>
          <w:lang w:val="en-GB"/>
        </w:rPr>
        <w:t>本合同采用分期付款</w:t>
      </w:r>
    </w:p>
    <w:p>
      <w:pPr>
        <w:ind w:firstLine="480" w:firstLineChars="200"/>
        <w:jc w:val="left"/>
        <w:textAlignment w:val="center"/>
        <w:rPr>
          <w:rFonts w:hint="default" w:ascii="宋体" w:hAnsi="宋体" w:eastAsia="宋体" w:cs="仿宋"/>
          <w:color w:val="auto"/>
          <w:sz w:val="24"/>
          <w:szCs w:val="24"/>
          <w:highlight w:val="none"/>
          <w:lang w:val="en-GB"/>
        </w:rPr>
      </w:pPr>
      <w:r>
        <w:rPr>
          <w:rFonts w:hint="eastAsia" w:ascii="宋体" w:hAnsi="宋体" w:eastAsia="宋体" w:cs="仿宋"/>
          <w:color w:val="auto"/>
          <w:sz w:val="24"/>
          <w:szCs w:val="24"/>
          <w:highlight w:val="none"/>
          <w:lang w:val="en-US" w:eastAsia="zh-CN"/>
        </w:rPr>
        <w:t>1.</w:t>
      </w:r>
      <w:r>
        <w:rPr>
          <w:rFonts w:ascii="宋体" w:hAnsi="宋体" w:eastAsia="宋体" w:cs="仿宋"/>
          <w:color w:val="auto"/>
          <w:sz w:val="24"/>
          <w:szCs w:val="24"/>
          <w:highlight w:val="none"/>
          <w:lang w:val="en-GB"/>
        </w:rPr>
        <w:t>提交</w:t>
      </w:r>
      <w:r>
        <w:rPr>
          <w:rFonts w:hint="default" w:ascii="宋体" w:hAnsi="宋体" w:eastAsia="宋体" w:cs="仿宋"/>
          <w:color w:val="auto"/>
          <w:sz w:val="24"/>
          <w:szCs w:val="24"/>
          <w:highlight w:val="none"/>
          <w:lang w:val="en-GB"/>
        </w:rPr>
        <w:t>《海口</w:t>
      </w:r>
      <w:r>
        <w:rPr>
          <w:rFonts w:hint="default" w:ascii="宋体" w:hAnsi="宋体" w:eastAsia="宋体" w:cs="仿宋"/>
          <w:color w:val="auto"/>
          <w:sz w:val="24"/>
          <w:szCs w:val="24"/>
          <w:highlight w:val="none"/>
          <w:lang w:val="en-GB" w:eastAsia="zh-CN"/>
        </w:rPr>
        <w:t>江东新区CBD起步区南片区概念设计方案</w:t>
      </w:r>
      <w:r>
        <w:rPr>
          <w:rFonts w:hint="default" w:ascii="宋体" w:hAnsi="宋体" w:eastAsia="宋体" w:cs="仿宋"/>
          <w:color w:val="auto"/>
          <w:sz w:val="24"/>
          <w:szCs w:val="24"/>
          <w:highlight w:val="none"/>
          <w:lang w:val="en-GB"/>
        </w:rPr>
        <w:t>》初步方案</w:t>
      </w:r>
      <w:r>
        <w:rPr>
          <w:rFonts w:ascii="宋体" w:hAnsi="宋体" w:eastAsia="宋体" w:cs="仿宋"/>
          <w:color w:val="auto"/>
          <w:sz w:val="24"/>
          <w:szCs w:val="24"/>
          <w:highlight w:val="none"/>
          <w:lang w:val="en-GB"/>
        </w:rPr>
        <w:t>后5个工作日支付合同总价30%</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rPr>
        <w:t>；</w:t>
      </w:r>
    </w:p>
    <w:p>
      <w:pPr>
        <w:ind w:firstLine="480" w:firstLineChars="200"/>
        <w:jc w:val="left"/>
        <w:textAlignment w:val="center"/>
        <w:rPr>
          <w:rFonts w:hint="default" w:ascii="宋体" w:hAnsi="宋体" w:eastAsia="宋体" w:cs="仿宋"/>
          <w:color w:val="auto"/>
          <w:sz w:val="24"/>
          <w:szCs w:val="24"/>
          <w:highlight w:val="none"/>
          <w:lang w:val="en-GB" w:eastAsia="zh-CN"/>
        </w:rPr>
      </w:pPr>
      <w:r>
        <w:rPr>
          <w:rFonts w:hint="eastAsia" w:ascii="宋体" w:hAnsi="宋体" w:eastAsia="宋体" w:cs="仿宋"/>
          <w:color w:val="auto"/>
          <w:sz w:val="24"/>
          <w:szCs w:val="24"/>
          <w:highlight w:val="none"/>
          <w:lang w:val="en-US" w:eastAsia="zh-CN"/>
        </w:rPr>
        <w:t>2.</w:t>
      </w:r>
      <w:r>
        <w:rPr>
          <w:rFonts w:hint="default" w:ascii="宋体" w:hAnsi="宋体" w:eastAsia="宋体" w:cs="仿宋"/>
          <w:color w:val="auto"/>
          <w:sz w:val="24"/>
          <w:szCs w:val="24"/>
          <w:highlight w:val="none"/>
          <w:lang w:val="en-GB"/>
        </w:rPr>
        <w:t>提交《海口</w:t>
      </w:r>
      <w:r>
        <w:rPr>
          <w:rFonts w:hint="default" w:ascii="宋体" w:hAnsi="宋体" w:eastAsia="宋体" w:cs="仿宋"/>
          <w:color w:val="auto"/>
          <w:sz w:val="24"/>
          <w:szCs w:val="24"/>
          <w:highlight w:val="none"/>
          <w:lang w:val="en-GB" w:eastAsia="zh-CN"/>
        </w:rPr>
        <w:t>江东新区CBD起步区南片区概念设计方案</w:t>
      </w:r>
      <w:r>
        <w:rPr>
          <w:rFonts w:hint="default" w:ascii="宋体" w:hAnsi="宋体" w:eastAsia="宋体" w:cs="仿宋"/>
          <w:color w:val="auto"/>
          <w:sz w:val="24"/>
          <w:szCs w:val="24"/>
          <w:highlight w:val="none"/>
          <w:lang w:val="en-GB"/>
        </w:rPr>
        <w:t>》完整报告，并经海口江东新区管理局局务会审议通过后</w:t>
      </w:r>
      <w:r>
        <w:rPr>
          <w:rFonts w:ascii="宋体" w:hAnsi="宋体" w:eastAsia="宋体" w:cs="仿宋"/>
          <w:color w:val="auto"/>
          <w:sz w:val="24"/>
          <w:szCs w:val="24"/>
          <w:highlight w:val="none"/>
          <w:lang w:val="en-GB"/>
        </w:rPr>
        <w:t>5个工作日支付合同总价</w:t>
      </w:r>
      <w:r>
        <w:rPr>
          <w:rFonts w:hint="default" w:ascii="宋体" w:hAnsi="宋体" w:eastAsia="宋体" w:cs="仿宋"/>
          <w:color w:val="auto"/>
          <w:sz w:val="24"/>
          <w:szCs w:val="24"/>
          <w:highlight w:val="none"/>
          <w:lang w:val="en-GB" w:eastAsia="zh-CN"/>
        </w:rPr>
        <w:t>40</w:t>
      </w:r>
      <w:r>
        <w:rPr>
          <w:rFonts w:ascii="宋体" w:hAnsi="宋体" w:eastAsia="宋体" w:cs="仿宋"/>
          <w:color w:val="auto"/>
          <w:sz w:val="24"/>
          <w:szCs w:val="24"/>
          <w:highlight w:val="none"/>
          <w:lang w:val="en-GB"/>
        </w:rPr>
        <w:t>%</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eastAsia="zh-CN"/>
        </w:rPr>
        <w:t>；</w:t>
      </w:r>
    </w:p>
    <w:p>
      <w:pPr>
        <w:ind w:firstLine="480" w:firstLineChars="200"/>
        <w:jc w:val="left"/>
        <w:textAlignment w:val="center"/>
        <w:rPr>
          <w:rFonts w:hint="default" w:ascii="宋体" w:hAnsi="宋体" w:eastAsia="宋体" w:cs="仿宋"/>
          <w:color w:val="auto"/>
          <w:sz w:val="24"/>
          <w:szCs w:val="24"/>
          <w:highlight w:val="none"/>
          <w:lang w:val="en-GB" w:eastAsia="zh-CN"/>
        </w:rPr>
      </w:pPr>
      <w:r>
        <w:rPr>
          <w:rFonts w:hint="eastAsia" w:ascii="宋体" w:hAnsi="宋体" w:eastAsia="宋体" w:cs="仿宋"/>
          <w:color w:val="auto"/>
          <w:sz w:val="24"/>
          <w:szCs w:val="24"/>
          <w:highlight w:val="none"/>
          <w:lang w:val="en-US" w:eastAsia="zh-CN"/>
        </w:rPr>
        <w:t>3.</w:t>
      </w:r>
      <w:r>
        <w:rPr>
          <w:rFonts w:hint="default" w:ascii="宋体" w:hAnsi="宋体" w:eastAsia="宋体" w:cs="仿宋"/>
          <w:color w:val="auto"/>
          <w:sz w:val="24"/>
          <w:szCs w:val="24"/>
          <w:highlight w:val="none"/>
          <w:lang w:val="en-GB" w:eastAsia="zh-CN"/>
        </w:rPr>
        <w:t>提交《</w:t>
      </w:r>
      <w:r>
        <w:rPr>
          <w:rFonts w:hint="default" w:ascii="宋体" w:hAnsi="宋体" w:eastAsia="宋体" w:cs="仿宋"/>
          <w:color w:val="auto"/>
          <w:sz w:val="24"/>
          <w:szCs w:val="24"/>
          <w:highlight w:val="none"/>
          <w:lang w:val="en-GB"/>
        </w:rPr>
        <w:t>海口</w:t>
      </w:r>
      <w:r>
        <w:rPr>
          <w:rFonts w:hint="default" w:ascii="宋体" w:hAnsi="宋体" w:eastAsia="宋体" w:cs="仿宋"/>
          <w:color w:val="auto"/>
          <w:sz w:val="24"/>
          <w:szCs w:val="24"/>
          <w:highlight w:val="none"/>
          <w:lang w:val="en-GB" w:eastAsia="zh-CN"/>
        </w:rPr>
        <w:t>江东新区CBD起步区南片区概念设计方案》最终报告，并经海口江东新区管理局党委会</w:t>
      </w:r>
      <w:r>
        <w:rPr>
          <w:rFonts w:hint="eastAsia" w:ascii="宋体" w:hAnsi="宋体" w:eastAsia="宋体" w:cs="仿宋"/>
          <w:color w:val="auto"/>
          <w:sz w:val="24"/>
          <w:szCs w:val="24"/>
          <w:highlight w:val="none"/>
          <w:lang w:val="en-GB" w:eastAsia="zh-CN"/>
        </w:rPr>
        <w:t>和</w:t>
      </w:r>
      <w:r>
        <w:rPr>
          <w:rFonts w:hint="eastAsia" w:ascii="宋体" w:hAnsi="宋体" w:eastAsia="宋体" w:cs="仿宋"/>
          <w:color w:val="auto"/>
          <w:sz w:val="24"/>
          <w:szCs w:val="24"/>
          <w:highlight w:val="none"/>
          <w:lang w:val="en-US" w:eastAsia="zh-CN"/>
        </w:rPr>
        <w:t>/</w:t>
      </w:r>
      <w:r>
        <w:rPr>
          <w:rFonts w:hint="default" w:ascii="宋体" w:hAnsi="宋体" w:eastAsia="宋体" w:cs="仿宋"/>
          <w:color w:val="auto"/>
          <w:sz w:val="24"/>
          <w:szCs w:val="24"/>
          <w:highlight w:val="none"/>
          <w:lang w:val="en-GB" w:eastAsia="zh-CN"/>
        </w:rPr>
        <w:t>或市政府审议通过后5个工作日支付合同总价30%</w:t>
      </w:r>
      <w:r>
        <w:rPr>
          <w:rFonts w:hint="eastAsia" w:ascii="宋体" w:hAnsi="宋体" w:eastAsia="宋体" w:cs="仿宋"/>
          <w:color w:val="auto"/>
          <w:sz w:val="24"/>
          <w:szCs w:val="24"/>
          <w:highlight w:val="none"/>
          <w:lang w:val="en-GB" w:eastAsia="zh-CN"/>
        </w:rPr>
        <w:t>，即人民币</w:t>
      </w:r>
      <w:r>
        <w:rPr>
          <w:rFonts w:hint="eastAsia" w:ascii="宋体" w:hAnsi="宋体" w:eastAsia="宋体" w:cs="仿宋"/>
          <w:color w:val="auto"/>
          <w:sz w:val="24"/>
          <w:szCs w:val="24"/>
          <w:highlight w:val="none"/>
          <w:lang w:val="en-US" w:eastAsia="zh-CN"/>
        </w:rPr>
        <w:t xml:space="preserve">     （小写：￥  ）</w:t>
      </w:r>
      <w:r>
        <w:rPr>
          <w:rFonts w:hint="default" w:ascii="宋体" w:hAnsi="宋体" w:eastAsia="宋体" w:cs="仿宋"/>
          <w:color w:val="auto"/>
          <w:sz w:val="24"/>
          <w:szCs w:val="24"/>
          <w:highlight w:val="none"/>
          <w:lang w:val="en-GB" w:eastAsia="zh-CN"/>
        </w:rPr>
        <w:t>。</w:t>
      </w:r>
    </w:p>
    <w:p>
      <w:pPr>
        <w:widowControl w:val="0"/>
        <w:spacing w:afterLines="50"/>
        <w:ind w:firstLine="480"/>
        <w:rPr>
          <w:rFonts w:ascii="宋体" w:hAnsi="宋体" w:eastAsia="宋体" w:cs="仿宋"/>
          <w:color w:val="auto"/>
          <w:kern w:val="0"/>
          <w:sz w:val="24"/>
          <w:szCs w:val="24"/>
          <w:highlight w:val="none"/>
        </w:rPr>
      </w:pPr>
      <w:bookmarkStart w:id="46" w:name="_Hlk16456404"/>
      <w:r>
        <w:rPr>
          <w:rFonts w:hint="eastAsia" w:ascii="宋体" w:hAnsi="宋体" w:eastAsia="宋体" w:cs="仿宋"/>
          <w:color w:val="auto"/>
          <w:kern w:val="0"/>
          <w:sz w:val="24"/>
          <w:szCs w:val="24"/>
          <w:highlight w:val="none"/>
          <w:lang w:val="zh-CN"/>
        </w:rPr>
        <w:t>（</w:t>
      </w:r>
      <w:r>
        <w:rPr>
          <w:rFonts w:hint="eastAsia" w:ascii="宋体" w:hAnsi="宋体" w:eastAsia="宋体" w:cs="仿宋"/>
          <w:color w:val="auto"/>
          <w:kern w:val="0"/>
          <w:sz w:val="24"/>
          <w:szCs w:val="24"/>
          <w:highlight w:val="none"/>
        </w:rPr>
        <w:t>二</w:t>
      </w:r>
      <w:r>
        <w:rPr>
          <w:rFonts w:hint="eastAsia" w:ascii="宋体" w:hAnsi="宋体" w:eastAsia="宋体" w:cs="仿宋"/>
          <w:color w:val="auto"/>
          <w:kern w:val="0"/>
          <w:sz w:val="24"/>
          <w:szCs w:val="24"/>
          <w:highlight w:val="none"/>
          <w:lang w:val="zh-CN"/>
        </w:rPr>
        <w:t>）</w:t>
      </w:r>
      <w:bookmarkEnd w:id="46"/>
      <w:bookmarkStart w:id="47" w:name="_Hlk16456394"/>
      <w:r>
        <w:rPr>
          <w:rFonts w:hint="eastAsia" w:ascii="宋体" w:hAnsi="宋体" w:eastAsia="宋体" w:cs="仿宋"/>
          <w:color w:val="auto"/>
          <w:sz w:val="24"/>
          <w:szCs w:val="24"/>
          <w:highlight w:val="none"/>
        </w:rPr>
        <w:t>编制费用</w:t>
      </w:r>
      <w:r>
        <w:rPr>
          <w:rFonts w:hint="eastAsia" w:ascii="宋体" w:hAnsi="宋体" w:eastAsia="宋体" w:cs="仿宋"/>
          <w:color w:val="auto"/>
          <w:kern w:val="0"/>
          <w:sz w:val="24"/>
          <w:szCs w:val="24"/>
          <w:highlight w:val="none"/>
        </w:rPr>
        <w:t>通过银行转账方式转入乙方提供的以下账户，甲方付款前乙方须及时提供有效等额、合法、有效发票给甲方报账，甲方向财政部门提出付款申请后，视为甲方已完成本合同约定的付款义务，财政部门正常审批时间不视为甲方逾期付款，甲方不承担违约责任。</w:t>
      </w:r>
    </w:p>
    <w:bookmarkEnd w:id="47"/>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
          <w:b/>
          <w:bCs/>
          <w:color w:val="auto"/>
          <w:kern w:val="0"/>
          <w:sz w:val="24"/>
          <w:szCs w:val="24"/>
          <w:highlight w:val="none"/>
        </w:rPr>
        <w:t>乙</w:t>
      </w:r>
      <w:r>
        <w:rPr>
          <w:rFonts w:hint="eastAsia" w:ascii="宋体" w:hAnsi="宋体" w:eastAsia="宋体" w:cs="仿宋_GB2312"/>
          <w:b/>
          <w:bCs/>
          <w:color w:val="auto"/>
          <w:kern w:val="0"/>
          <w:sz w:val="24"/>
          <w:szCs w:val="24"/>
          <w:highlight w:val="none"/>
        </w:rPr>
        <w:t>方收款账户信息如下：</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户  名：</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开户行：</w:t>
      </w:r>
    </w:p>
    <w:p>
      <w:pPr>
        <w:widowControl w:val="0"/>
        <w:spacing w:afterLines="50"/>
        <w:ind w:firstLine="482"/>
        <w:rPr>
          <w:rFonts w:ascii="宋体" w:hAnsi="宋体" w:eastAsia="宋体" w:cs="仿宋_GB2312"/>
          <w:b/>
          <w:bCs/>
          <w:color w:val="auto"/>
          <w:kern w:val="0"/>
          <w:sz w:val="24"/>
          <w:szCs w:val="24"/>
          <w:highlight w:val="none"/>
        </w:rPr>
      </w:pPr>
      <w:r>
        <w:rPr>
          <w:rFonts w:hint="eastAsia" w:ascii="宋体" w:hAnsi="宋体" w:eastAsia="宋体" w:cs="仿宋_GB2312"/>
          <w:b/>
          <w:bCs/>
          <w:color w:val="auto"/>
          <w:kern w:val="0"/>
          <w:sz w:val="24"/>
          <w:szCs w:val="24"/>
          <w:highlight w:val="none"/>
        </w:rPr>
        <w:t>账  号：</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双方权利及义务</w:t>
      </w:r>
    </w:p>
    <w:p>
      <w:pPr>
        <w:widowControl w:val="0"/>
        <w:numPr>
          <w:ilvl w:val="0"/>
          <w:numId w:val="6"/>
        </w:numPr>
        <w:spacing w:afterLines="50"/>
        <w:ind w:left="561"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甲方权利及义务</w:t>
      </w:r>
    </w:p>
    <w:p>
      <w:pPr>
        <w:widowControl w:val="0"/>
        <w:numPr>
          <w:ilvl w:val="0"/>
          <w:numId w:val="7"/>
        </w:numPr>
        <w:spacing w:afterLines="50"/>
        <w:ind w:firstLine="480" w:firstLineChars="0"/>
        <w:rPr>
          <w:rFonts w:ascii="宋体" w:hAnsi="宋体" w:eastAsia="宋体" w:cs="仿宋"/>
          <w:color w:val="auto"/>
          <w:sz w:val="24"/>
          <w:szCs w:val="24"/>
          <w:highlight w:val="none"/>
        </w:rPr>
      </w:pPr>
      <w:r>
        <w:rPr>
          <w:rFonts w:ascii="宋体" w:hAnsi="宋体" w:eastAsia="宋体" w:cs="仿宋"/>
          <w:color w:val="auto"/>
          <w:sz w:val="24"/>
          <w:szCs w:val="24"/>
          <w:highlight w:val="none"/>
        </w:rPr>
        <w:t>甲方在合同签订后，积极配合、协助乙方的</w:t>
      </w:r>
      <w:r>
        <w:rPr>
          <w:rFonts w:hint="eastAsia" w:ascii="宋体" w:hAnsi="宋体" w:eastAsia="宋体" w:cs="仿宋"/>
          <w:color w:val="auto"/>
          <w:sz w:val="24"/>
          <w:szCs w:val="24"/>
          <w:highlight w:val="none"/>
        </w:rPr>
        <w:t>服务</w:t>
      </w:r>
      <w:r>
        <w:rPr>
          <w:rFonts w:ascii="宋体" w:hAnsi="宋体" w:eastAsia="宋体" w:cs="仿宋"/>
          <w:color w:val="auto"/>
          <w:sz w:val="24"/>
          <w:szCs w:val="24"/>
          <w:highlight w:val="none"/>
        </w:rPr>
        <w:t>工作，向乙方提供</w:t>
      </w:r>
      <w:r>
        <w:rPr>
          <w:rFonts w:hint="eastAsia" w:ascii="宋体" w:hAnsi="宋体" w:eastAsia="宋体" w:cs="仿宋"/>
          <w:color w:val="auto"/>
          <w:sz w:val="24"/>
          <w:szCs w:val="24"/>
          <w:highlight w:val="none"/>
          <w:lang w:eastAsia="zh-CN"/>
        </w:rPr>
        <w:t>成果</w:t>
      </w:r>
      <w:r>
        <w:rPr>
          <w:rFonts w:ascii="宋体" w:hAnsi="宋体" w:eastAsia="宋体" w:cs="仿宋"/>
          <w:color w:val="auto"/>
          <w:sz w:val="24"/>
          <w:szCs w:val="24"/>
          <w:highlight w:val="none"/>
        </w:rPr>
        <w:t>编制</w:t>
      </w:r>
      <w:r>
        <w:rPr>
          <w:rFonts w:hint="eastAsia" w:ascii="宋体" w:hAnsi="宋体" w:eastAsia="宋体" w:cs="仿宋"/>
          <w:color w:val="auto"/>
          <w:sz w:val="24"/>
          <w:szCs w:val="24"/>
          <w:highlight w:val="none"/>
        </w:rPr>
        <w:t>所需要的详细的</w:t>
      </w:r>
      <w:r>
        <w:rPr>
          <w:rFonts w:ascii="宋体" w:hAnsi="宋体" w:eastAsia="宋体" w:cs="仿宋"/>
          <w:color w:val="auto"/>
          <w:sz w:val="24"/>
          <w:szCs w:val="24"/>
          <w:highlight w:val="none"/>
        </w:rPr>
        <w:t>文件和资料，并对所提供资料的正确性</w:t>
      </w:r>
      <w:r>
        <w:rPr>
          <w:rFonts w:hint="eastAsia" w:ascii="宋体" w:hAnsi="宋体" w:eastAsia="宋体" w:cs="仿宋"/>
          <w:color w:val="auto"/>
          <w:sz w:val="24"/>
          <w:szCs w:val="24"/>
          <w:highlight w:val="none"/>
        </w:rPr>
        <w:t>、完整性及合法性</w:t>
      </w:r>
      <w:r>
        <w:rPr>
          <w:rFonts w:ascii="宋体" w:hAnsi="宋体" w:eastAsia="宋体" w:cs="仿宋"/>
          <w:color w:val="auto"/>
          <w:sz w:val="24"/>
          <w:szCs w:val="24"/>
          <w:highlight w:val="none"/>
        </w:rPr>
        <w:t>负责。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2.甲方应向乙方阐述对</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编制及具体问题的意见，负责审定</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编制的方向、内容等，审定乙方提出的</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编制的时间、计划等,向乙方询问进展情况及相关内容，并进行过程控制。</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3.甲方</w:t>
      </w:r>
      <w:r>
        <w:rPr>
          <w:rFonts w:ascii="宋体" w:hAnsi="宋体" w:eastAsia="宋体" w:cs="仿宋"/>
          <w:color w:val="auto"/>
          <w:sz w:val="24"/>
          <w:szCs w:val="24"/>
          <w:highlight w:val="none"/>
        </w:rPr>
        <w:t>协助乙方现场踏勘，并</w:t>
      </w:r>
      <w:r>
        <w:rPr>
          <w:rFonts w:hint="eastAsia" w:ascii="宋体" w:hAnsi="宋体" w:eastAsia="宋体" w:cs="仿宋"/>
          <w:color w:val="auto"/>
          <w:sz w:val="24"/>
          <w:szCs w:val="24"/>
          <w:highlight w:val="none"/>
        </w:rPr>
        <w:t>协调</w:t>
      </w:r>
      <w:r>
        <w:rPr>
          <w:rFonts w:ascii="宋体" w:hAnsi="宋体" w:eastAsia="宋体" w:cs="仿宋"/>
          <w:color w:val="auto"/>
          <w:sz w:val="24"/>
          <w:szCs w:val="24"/>
          <w:highlight w:val="none"/>
        </w:rPr>
        <w:t>乙方现场踏勘及各阶段汇报</w:t>
      </w:r>
      <w:r>
        <w:rPr>
          <w:rFonts w:hint="eastAsia" w:ascii="宋体" w:hAnsi="宋体" w:eastAsia="宋体" w:cs="仿宋"/>
          <w:color w:val="auto"/>
          <w:sz w:val="24"/>
          <w:szCs w:val="24"/>
          <w:highlight w:val="none"/>
        </w:rPr>
        <w:t>组织各政府部门相关人员参会</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甲方负责组织相关单位人员参与或协助项目调研。</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w:t>
      </w:r>
      <w:r>
        <w:rPr>
          <w:rFonts w:ascii="宋体" w:hAnsi="宋体" w:eastAsia="宋体" w:cs="仿宋"/>
          <w:color w:val="auto"/>
          <w:sz w:val="24"/>
          <w:szCs w:val="24"/>
          <w:highlight w:val="none"/>
        </w:rPr>
        <w:t>针对乙方所提交</w:t>
      </w:r>
      <w:r>
        <w:rPr>
          <w:rFonts w:hint="eastAsia" w:ascii="宋体" w:hAnsi="宋体" w:eastAsia="宋体" w:cs="仿宋"/>
          <w:color w:val="auto"/>
          <w:sz w:val="24"/>
          <w:szCs w:val="24"/>
          <w:highlight w:val="none"/>
        </w:rPr>
        <w:t>的</w:t>
      </w:r>
      <w:r>
        <w:rPr>
          <w:rFonts w:ascii="宋体" w:hAnsi="宋体" w:eastAsia="宋体" w:cs="仿宋"/>
          <w:color w:val="auto"/>
          <w:sz w:val="24"/>
          <w:szCs w:val="24"/>
          <w:highlight w:val="none"/>
        </w:rPr>
        <w:t>各阶段</w:t>
      </w: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成果，有权在合理范围内对</w:t>
      </w: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成果</w:t>
      </w:r>
      <w:r>
        <w:rPr>
          <w:rFonts w:hint="eastAsia" w:ascii="宋体" w:hAnsi="宋体" w:eastAsia="宋体" w:cs="仿宋"/>
          <w:color w:val="auto"/>
          <w:sz w:val="24"/>
          <w:szCs w:val="24"/>
          <w:highlight w:val="none"/>
        </w:rPr>
        <w:t>提出</w:t>
      </w:r>
      <w:r>
        <w:rPr>
          <w:rFonts w:ascii="宋体" w:hAnsi="宋体" w:eastAsia="宋体" w:cs="仿宋"/>
          <w:color w:val="auto"/>
          <w:sz w:val="24"/>
          <w:szCs w:val="24"/>
          <w:highlight w:val="none"/>
        </w:rPr>
        <w:t>修改完善</w:t>
      </w:r>
      <w:r>
        <w:rPr>
          <w:rFonts w:hint="eastAsia" w:ascii="宋体" w:hAnsi="宋体" w:eastAsia="宋体" w:cs="仿宋"/>
          <w:color w:val="auto"/>
          <w:sz w:val="24"/>
          <w:szCs w:val="24"/>
          <w:highlight w:val="none"/>
        </w:rPr>
        <w:t>的要求、建议及意见</w:t>
      </w:r>
      <w:r>
        <w:rPr>
          <w:rFonts w:ascii="宋体" w:hAnsi="宋体" w:eastAsia="宋体" w:cs="仿宋"/>
          <w:color w:val="auto"/>
          <w:sz w:val="24"/>
          <w:szCs w:val="24"/>
          <w:highlight w:val="none"/>
        </w:rPr>
        <w:t>。</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.按本合同约定向乙方足额支付编制费用。</w:t>
      </w:r>
    </w:p>
    <w:p>
      <w:pPr>
        <w:widowControl w:val="0"/>
        <w:numPr>
          <w:ilvl w:val="0"/>
          <w:numId w:val="6"/>
        </w:numPr>
        <w:spacing w:afterLines="50"/>
        <w:ind w:left="561"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乙方权利及义务</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负责按相关规范标准，</w:t>
      </w:r>
      <w:r>
        <w:rPr>
          <w:rFonts w:hint="eastAsia" w:ascii="宋体" w:hAnsi="宋体" w:eastAsia="宋体" w:cs="仿宋"/>
          <w:color w:val="auto"/>
          <w:sz w:val="24"/>
          <w:szCs w:val="24"/>
          <w:highlight w:val="none"/>
        </w:rPr>
        <w:t>按照本合同要求针对服务</w:t>
      </w:r>
      <w:r>
        <w:rPr>
          <w:rFonts w:ascii="宋体" w:hAnsi="宋体" w:eastAsia="宋体" w:cs="仿宋"/>
          <w:color w:val="auto"/>
          <w:sz w:val="24"/>
          <w:szCs w:val="24"/>
          <w:highlight w:val="none"/>
        </w:rPr>
        <w:t>范围和内容编制方案</w:t>
      </w:r>
      <w:r>
        <w:rPr>
          <w:rFonts w:hint="eastAsia" w:ascii="宋体" w:hAnsi="宋体" w:eastAsia="宋体" w:cs="仿宋"/>
          <w:color w:val="auto"/>
          <w:sz w:val="24"/>
          <w:szCs w:val="24"/>
          <w:highlight w:val="none"/>
        </w:rPr>
        <w:t>。</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r>
        <w:rPr>
          <w:rFonts w:ascii="宋体" w:hAnsi="宋体" w:eastAsia="宋体" w:cs="仿宋"/>
          <w:color w:val="auto"/>
          <w:sz w:val="24"/>
          <w:szCs w:val="24"/>
          <w:highlight w:val="none"/>
        </w:rPr>
        <w:t>全面负责</w:t>
      </w:r>
      <w:r>
        <w:rPr>
          <w:rFonts w:hint="eastAsia" w:ascii="宋体" w:hAnsi="宋体" w:eastAsia="宋体" w:cs="仿宋"/>
          <w:color w:val="auto"/>
          <w:sz w:val="24"/>
          <w:szCs w:val="24"/>
          <w:highlight w:val="none"/>
          <w:lang w:eastAsia="zh-CN"/>
        </w:rPr>
        <w:t>方案</w:t>
      </w:r>
      <w:r>
        <w:rPr>
          <w:rFonts w:ascii="宋体" w:hAnsi="宋体" w:eastAsia="宋体" w:cs="仿宋"/>
          <w:color w:val="auto"/>
          <w:sz w:val="24"/>
          <w:szCs w:val="24"/>
          <w:highlight w:val="none"/>
        </w:rPr>
        <w:t>的编制工作，在约定的时间内进场调查、踏勘，负责进行各种调研，收集各种文件和资料，未经甲方同意不得变更工作内容；按合同约定时间提交各阶段成果，并对</w:t>
      </w:r>
      <w:r>
        <w:rPr>
          <w:rFonts w:hint="eastAsia" w:ascii="宋体" w:hAnsi="宋体" w:eastAsia="宋体" w:cs="仿宋"/>
          <w:color w:val="auto"/>
          <w:sz w:val="24"/>
          <w:szCs w:val="24"/>
          <w:highlight w:val="none"/>
        </w:rPr>
        <w:t>成果文件的</w:t>
      </w:r>
      <w:r>
        <w:rPr>
          <w:rFonts w:ascii="宋体" w:hAnsi="宋体" w:eastAsia="宋体" w:cs="仿宋"/>
          <w:color w:val="auto"/>
          <w:sz w:val="24"/>
          <w:szCs w:val="24"/>
          <w:highlight w:val="none"/>
        </w:rPr>
        <w:t>独创性、</w:t>
      </w:r>
      <w:r>
        <w:rPr>
          <w:rFonts w:hint="eastAsia" w:ascii="宋体" w:hAnsi="宋体" w:eastAsia="宋体" w:cs="仿宋"/>
          <w:color w:val="auto"/>
          <w:sz w:val="24"/>
          <w:szCs w:val="24"/>
          <w:highlight w:val="none"/>
        </w:rPr>
        <w:t>真实性、合法性、完整性及适用性负责。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w:t>
      </w:r>
      <w:r>
        <w:rPr>
          <w:rFonts w:ascii="宋体" w:hAnsi="宋体" w:eastAsia="宋体" w:cs="仿宋"/>
          <w:color w:val="auto"/>
          <w:sz w:val="24"/>
          <w:szCs w:val="24"/>
          <w:highlight w:val="none"/>
        </w:rPr>
        <w:t>乙方应赴甲方所在地或</w:t>
      </w:r>
      <w:r>
        <w:rPr>
          <w:rFonts w:hint="eastAsia" w:ascii="宋体" w:hAnsi="宋体" w:eastAsia="宋体" w:cs="仿宋"/>
          <w:color w:val="auto"/>
          <w:sz w:val="24"/>
          <w:szCs w:val="24"/>
          <w:highlight w:val="none"/>
        </w:rPr>
        <w:t>甲方项目负责部门</w:t>
      </w:r>
      <w:r>
        <w:rPr>
          <w:rFonts w:ascii="宋体" w:hAnsi="宋体" w:eastAsia="宋体" w:cs="仿宋"/>
          <w:color w:val="auto"/>
          <w:sz w:val="24"/>
          <w:szCs w:val="24"/>
          <w:highlight w:val="none"/>
        </w:rPr>
        <w:t>所在地现场汇报，参加甲方局内有关会议及政府会议</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按时参加有关的评审或审查，并根据评审结论负责对</w:t>
      </w:r>
      <w:r>
        <w:rPr>
          <w:rFonts w:hint="eastAsia" w:ascii="宋体" w:hAnsi="宋体" w:eastAsia="宋体" w:cs="仿宋"/>
          <w:color w:val="auto"/>
          <w:sz w:val="24"/>
          <w:szCs w:val="24"/>
          <w:highlight w:val="none"/>
          <w:lang w:eastAsia="zh-CN"/>
        </w:rPr>
        <w:t>成果</w:t>
      </w:r>
      <w:r>
        <w:rPr>
          <w:rFonts w:ascii="宋体" w:hAnsi="宋体" w:eastAsia="宋体" w:cs="仿宋"/>
          <w:color w:val="auto"/>
          <w:sz w:val="24"/>
          <w:szCs w:val="24"/>
          <w:highlight w:val="none"/>
        </w:rPr>
        <w:t>内容做调整、修改和补充。</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4.在充分调研的基础上，按照本合同约定为甲方提供与</w:t>
      </w:r>
      <w:r>
        <w:rPr>
          <w:rFonts w:hint="eastAsia" w:ascii="宋体" w:hAnsi="宋体" w:eastAsia="宋体" w:cs="仿宋"/>
          <w:color w:val="auto"/>
          <w:sz w:val="24"/>
          <w:szCs w:val="24"/>
          <w:highlight w:val="none"/>
          <w:lang w:eastAsia="zh-CN"/>
        </w:rPr>
        <w:t>成果</w:t>
      </w:r>
      <w:r>
        <w:rPr>
          <w:rFonts w:hint="eastAsia" w:ascii="宋体" w:hAnsi="宋体" w:eastAsia="宋体" w:cs="仿宋"/>
          <w:color w:val="auto"/>
          <w:sz w:val="24"/>
          <w:szCs w:val="24"/>
          <w:highlight w:val="none"/>
        </w:rPr>
        <w:t>编制有关的纸质文案和电子文档。</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5.在方案最终成果未正式公开之前，乙方对成果内容负有保密责任。乙方对甲方及市政府部门就本项目的秘密信息承担保密义务</w:t>
      </w:r>
      <w:r>
        <w:rPr>
          <w:rFonts w:ascii="宋体" w:hAnsi="宋体" w:eastAsia="宋体" w:cs="仿宋"/>
          <w:color w:val="auto"/>
          <w:sz w:val="24"/>
          <w:szCs w:val="24"/>
          <w:highlight w:val="none"/>
        </w:rPr>
        <w:t>。</w:t>
      </w:r>
    </w:p>
    <w:p>
      <w:pPr>
        <w:widowControl w:val="0"/>
        <w:spacing w:afterLines="50"/>
        <w:ind w:firstLine="480"/>
        <w:rPr>
          <w:rFonts w:ascii="Times New Roman" w:hAnsi="Times New Roman" w:eastAsia="宋体" w:cs="Times New Roman"/>
          <w:color w:val="auto"/>
          <w:sz w:val="21"/>
          <w:szCs w:val="24"/>
          <w:highlight w:val="none"/>
        </w:rPr>
      </w:pPr>
      <w:r>
        <w:rPr>
          <w:rFonts w:ascii="宋体" w:hAnsi="宋体" w:eastAsia="宋体" w:cs="仿宋"/>
          <w:color w:val="auto"/>
          <w:sz w:val="24"/>
          <w:szCs w:val="24"/>
          <w:highlight w:val="none"/>
        </w:rPr>
        <w:t>6.乙方不得委托他方代为履行合同。</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成果的验收和标准</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双方就提供的阶段成果文件逐步进行严格细致的讨论，</w:t>
      </w:r>
      <w:r>
        <w:rPr>
          <w:rFonts w:ascii="宋体" w:hAnsi="宋体" w:eastAsia="宋体" w:cs="仿宋"/>
          <w:color w:val="auto"/>
          <w:sz w:val="24"/>
          <w:szCs w:val="24"/>
          <w:highlight w:val="none"/>
        </w:rPr>
        <w:t>在</w:t>
      </w:r>
      <w:r>
        <w:rPr>
          <w:rFonts w:hint="eastAsia" w:ascii="宋体" w:hAnsi="宋体" w:eastAsia="宋体" w:cs="仿宋"/>
          <w:color w:val="auto"/>
          <w:sz w:val="24"/>
          <w:szCs w:val="24"/>
          <w:highlight w:val="none"/>
        </w:rPr>
        <w:t>双方</w:t>
      </w:r>
      <w:r>
        <w:rPr>
          <w:rFonts w:ascii="宋体" w:hAnsi="宋体" w:eastAsia="宋体" w:cs="仿宋"/>
          <w:color w:val="auto"/>
          <w:sz w:val="24"/>
          <w:szCs w:val="24"/>
          <w:highlight w:val="none"/>
        </w:rPr>
        <w:t>达成</w:t>
      </w:r>
      <w:r>
        <w:rPr>
          <w:rFonts w:hint="eastAsia" w:ascii="宋体" w:hAnsi="宋体" w:eastAsia="宋体" w:cs="仿宋"/>
          <w:color w:val="auto"/>
          <w:sz w:val="24"/>
          <w:szCs w:val="24"/>
          <w:highlight w:val="none"/>
        </w:rPr>
        <w:t>共识</w:t>
      </w:r>
      <w:r>
        <w:rPr>
          <w:rFonts w:ascii="宋体" w:hAnsi="宋体" w:eastAsia="宋体" w:cs="仿宋"/>
          <w:color w:val="auto"/>
          <w:sz w:val="24"/>
          <w:szCs w:val="24"/>
          <w:highlight w:val="none"/>
        </w:rPr>
        <w:t>的基础上取得甲方书面认可</w:t>
      </w:r>
      <w:r>
        <w:rPr>
          <w:rFonts w:hint="eastAsia" w:ascii="宋体" w:hAnsi="宋体" w:eastAsia="宋体" w:cs="仿宋"/>
          <w:color w:val="auto"/>
          <w:sz w:val="24"/>
          <w:szCs w:val="24"/>
          <w:highlight w:val="none"/>
        </w:rPr>
        <w:t>作为验收标准。</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甲方应该在收到乙方提供的成果文件后</w:t>
      </w:r>
      <w:r>
        <w:rPr>
          <w:rFonts w:ascii="宋体" w:hAnsi="宋体" w:eastAsia="宋体" w:cs="仿宋"/>
          <w:color w:val="auto"/>
          <w:sz w:val="24"/>
          <w:szCs w:val="24"/>
          <w:highlight w:val="none"/>
        </w:rPr>
        <w:t>及时</w:t>
      </w:r>
      <w:r>
        <w:rPr>
          <w:rFonts w:hint="eastAsia" w:ascii="宋体" w:hAnsi="宋体" w:eastAsia="宋体" w:cs="仿宋"/>
          <w:color w:val="auto"/>
          <w:sz w:val="24"/>
          <w:szCs w:val="24"/>
          <w:highlight w:val="none"/>
        </w:rPr>
        <w:t>进行验收；甲方如有合理建议或要求，乙方</w:t>
      </w:r>
      <w:r>
        <w:rPr>
          <w:rFonts w:ascii="宋体" w:hAnsi="宋体" w:eastAsia="宋体" w:cs="仿宋"/>
          <w:color w:val="auto"/>
          <w:sz w:val="24"/>
          <w:szCs w:val="24"/>
          <w:highlight w:val="none"/>
        </w:rPr>
        <w:t>应当根据甲方的建议和要求</w:t>
      </w:r>
      <w:r>
        <w:rPr>
          <w:rFonts w:hint="eastAsia" w:ascii="宋体" w:hAnsi="宋体" w:eastAsia="宋体" w:cs="仿宋"/>
          <w:color w:val="auto"/>
          <w:sz w:val="24"/>
          <w:szCs w:val="24"/>
          <w:highlight w:val="none"/>
        </w:rPr>
        <w:t>对报告进行修改。</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提供的成果</w:t>
      </w:r>
      <w:r>
        <w:rPr>
          <w:rFonts w:ascii="宋体" w:hAnsi="宋体" w:eastAsia="宋体" w:cs="仿宋"/>
          <w:color w:val="auto"/>
          <w:sz w:val="24"/>
          <w:szCs w:val="24"/>
          <w:highlight w:val="none"/>
        </w:rPr>
        <w:t>文件未能通过甲方验收</w:t>
      </w:r>
      <w:r>
        <w:rPr>
          <w:rFonts w:hint="eastAsia" w:ascii="宋体" w:hAnsi="宋体" w:eastAsia="宋体" w:cs="仿宋"/>
          <w:color w:val="auto"/>
          <w:sz w:val="24"/>
          <w:szCs w:val="24"/>
          <w:highlight w:val="none"/>
        </w:rPr>
        <w:t>的，</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应无条件</w:t>
      </w:r>
      <w:r>
        <w:rPr>
          <w:rFonts w:ascii="宋体" w:hAnsi="宋体" w:eastAsia="宋体" w:cs="仿宋"/>
          <w:color w:val="auto"/>
          <w:sz w:val="24"/>
          <w:szCs w:val="24"/>
          <w:highlight w:val="none"/>
        </w:rPr>
        <w:t>进行</w:t>
      </w:r>
      <w:r>
        <w:rPr>
          <w:rFonts w:hint="eastAsia" w:ascii="宋体" w:hAnsi="宋体" w:eastAsia="宋体" w:cs="仿宋"/>
          <w:color w:val="auto"/>
          <w:sz w:val="24"/>
          <w:szCs w:val="24"/>
          <w:highlight w:val="none"/>
        </w:rPr>
        <w:t>完善、修改</w:t>
      </w:r>
      <w:r>
        <w:rPr>
          <w:rFonts w:ascii="宋体" w:hAnsi="宋体" w:eastAsia="宋体" w:cs="仿宋"/>
          <w:color w:val="auto"/>
          <w:sz w:val="24"/>
          <w:szCs w:val="24"/>
          <w:highlight w:val="none"/>
        </w:rPr>
        <w:t>，由此产生的费用由乙方承担。</w:t>
      </w:r>
    </w:p>
    <w:p>
      <w:pPr>
        <w:widowControl w:val="0"/>
        <w:numPr>
          <w:ilvl w:val="0"/>
          <w:numId w:val="4"/>
        </w:numPr>
        <w:spacing w:afterLines="50"/>
        <w:ind w:firstLine="482" w:firstLineChars="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特别约定</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的范围内，乙方仅在为提供本合同服务之目的，包括独立性、质量及风险管理复核、内部财务报告、信息技术支持以及遵守监管规定，与其他乙方机构共同使用和向其披露甲方的信息（可能包括必要的保密信息）和个人数据，但其他乙方机构也将履行与乙方同等的保密义务。乙方将就其他乙方机构违反本合同保密义务的行为向甲方承担责任。</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合同约定的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甲方按照本合同约定支付费用的前提下，乙方为完成项目而交付的成果</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即第三条约定</w:t>
      </w:r>
      <w:r>
        <w:rPr>
          <w:rFonts w:hint="eastAsia" w:ascii="宋体" w:hAnsi="宋体" w:eastAsia="宋体" w:cs="Times New Roman"/>
          <w:bCs/>
          <w:color w:val="auto"/>
          <w:sz w:val="24"/>
          <w:szCs w:val="24"/>
          <w:highlight w:val="none"/>
        </w:rPr>
        <w:t>《海口</w:t>
      </w:r>
      <w:r>
        <w:rPr>
          <w:rFonts w:hint="eastAsia" w:ascii="宋体" w:hAnsi="宋体" w:eastAsia="宋体" w:cs="Times New Roman"/>
          <w:bCs/>
          <w:color w:val="auto"/>
          <w:sz w:val="24"/>
          <w:szCs w:val="24"/>
          <w:highlight w:val="none"/>
          <w:lang w:val="en-US" w:eastAsia="zh-CN"/>
        </w:rPr>
        <w:t>江东新区CBD起步区南片区概念设计方案</w:t>
      </w:r>
      <w:r>
        <w:rPr>
          <w:rFonts w:hint="eastAsia" w:ascii="宋体" w:hAnsi="宋体" w:eastAsia="宋体" w:cs="Times New Roman"/>
          <w:bCs/>
          <w:color w:val="auto"/>
          <w:sz w:val="24"/>
          <w:szCs w:val="24"/>
          <w:highlight w:val="none"/>
        </w:rPr>
        <w:t>》、文本word及汇报ppt</w:t>
      </w:r>
      <w:r>
        <w:rPr>
          <w:rFonts w:hint="eastAsia" w:ascii="宋体" w:hAnsi="宋体" w:eastAsia="宋体" w:cs="仿宋"/>
          <w:color w:val="auto"/>
          <w:sz w:val="24"/>
          <w:szCs w:val="24"/>
          <w:highlight w:val="none"/>
        </w:rPr>
        <w:t>的相关知识产权（包括著作权、专利、专有技术、专利申请权），归甲方所有，乙方负有保密的义务。</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乙方履行本合同服务时，可使用乙方拥有的资料、软件、设计、实用程序、工具、模型、系统及其它方法与专有技术（“材料”）。纵使乙方交付了任何成果</w:t>
      </w:r>
      <w:r>
        <w:rPr>
          <w:rFonts w:hint="eastAsia" w:ascii="宋体" w:hAnsi="宋体" w:eastAsia="宋体" w:cs="仿宋"/>
          <w:color w:val="auto"/>
          <w:sz w:val="24"/>
          <w:szCs w:val="24"/>
          <w:highlight w:val="none"/>
          <w:lang w:eastAsia="zh-CN"/>
        </w:rPr>
        <w:t>文件</w:t>
      </w:r>
      <w:r>
        <w:rPr>
          <w:rFonts w:hint="eastAsia" w:ascii="宋体" w:hAnsi="宋体" w:eastAsia="宋体" w:cs="仿宋"/>
          <w:color w:val="auto"/>
          <w:sz w:val="24"/>
          <w:szCs w:val="24"/>
          <w:highlight w:val="none"/>
        </w:rPr>
        <w:t>，该等材料及为本合同服务而编汇的任何内部工作底稿（但不包括其中反映的客户信息）的一切知识产权，仍属乙方所有。</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乙方在公开刊物（包括学术期刊、传统媒体、自媒体）上发表与本研究相关的技术成果，应当事先经甲方书面同意。</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提出需要甲方提供相关材料的要求或确认各阶段工作成果的，甲方需于收到乙方通知后及时进行研究并给予提供或确认；如确有正当理由影响甲方对乙方阶段工作成果的认可和确认，甲方需及时通知乙方，双方另行协商甲方提供反馈意见的时间。</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乙方不承担任何与本服务相关的甲方的管理层责任。乙方所提供的服务是咨询性质的，甲方自行决定是否采纳、使用或实施以及如何使用、实施乙方提供的服务成果，并自行承担承担使用、实施本合同服务或服务成果所达成的结果或后果。</w:t>
      </w:r>
    </w:p>
    <w:p>
      <w:pPr>
        <w:widowControl w:val="0"/>
        <w:numPr>
          <w:ilvl w:val="0"/>
          <w:numId w:val="8"/>
        </w:numPr>
        <w:spacing w:afterLines="50"/>
        <w:ind w:firstLine="48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在适用的法律或法规准许的最大范围内，乙方对甲方的责任只限于依据过错程度按责任总额的比例而承担的责任份额，并且乙方对甲方应承担的因本合同所产生的或与履行本合同相关的责任总额，累计只限于甲方就该服务而实际支付给乙方的服务费用，不论责任是违约、侵权、严格法律责任、违反保证、未能实现主要目的或其它理由而产生的。该责任限额涵盖本合同中其他条款中所规定的乙方应承担的违约金、损失额、赔偿额、费用等。</w:t>
      </w:r>
    </w:p>
    <w:p>
      <w:pPr>
        <w:widowControl w:val="0"/>
        <w:numPr>
          <w:ilvl w:val="0"/>
          <w:numId w:val="4"/>
        </w:numPr>
        <w:spacing w:afterLines="50"/>
        <w:ind w:firstLine="480" w:firstLineChars="0"/>
        <w:rPr>
          <w:rFonts w:ascii="宋体" w:hAnsi="宋体" w:eastAsia="宋体" w:cs="仿宋"/>
          <w:color w:val="auto"/>
          <w:sz w:val="24"/>
          <w:szCs w:val="24"/>
          <w:highlight w:val="none"/>
        </w:rPr>
      </w:pPr>
      <w:bookmarkStart w:id="48" w:name="_Hlk16458439"/>
      <w:r>
        <w:rPr>
          <w:rFonts w:hint="eastAsia" w:ascii="宋体" w:hAnsi="宋体" w:eastAsia="宋体" w:cs="仿宋"/>
          <w:color w:val="auto"/>
          <w:sz w:val="24"/>
          <w:szCs w:val="24"/>
          <w:highlight w:val="none"/>
        </w:rPr>
        <w:t>乙方根据本合同所提供的任何报告、演示稿或其它形式沟通中（“报告”）所载的任何信息、建议、意见或其它内容，除客户信息之外，仅供甲方依法使用（与本服务的目的一致）。甲方如对报告进行改动、编辑或修订，则甲方须为改动、编辑或修订的文件的内容承担全责。甲方可将报告内根据客户信息编制的任何信息、数据或表格等纳入甲方拟使用的文件当中，甲方须为该等文件的内容承担全责。甲方验收后乙方无责任根据法律、法规的变化进行更新。</w:t>
      </w:r>
    </w:p>
    <w:p>
      <w:pPr>
        <w:widowControl w:val="0"/>
        <w:spacing w:afterLines="50"/>
        <w:ind w:firstLine="482"/>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 xml:space="preserve">第十条 </w:t>
      </w:r>
      <w:r>
        <w:rPr>
          <w:rFonts w:ascii="宋体" w:hAnsi="宋体" w:eastAsia="宋体" w:cs="仿宋"/>
          <w:b/>
          <w:bCs/>
          <w:color w:val="auto"/>
          <w:sz w:val="24"/>
          <w:szCs w:val="24"/>
          <w:highlight w:val="none"/>
        </w:rPr>
        <w:t>违约责任</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因</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出现下列情形的</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有权解除本合同，并委托</w:t>
      </w:r>
      <w:r>
        <w:rPr>
          <w:rFonts w:ascii="宋体" w:hAnsi="宋体" w:eastAsia="宋体" w:cs="仿宋"/>
          <w:color w:val="auto"/>
          <w:sz w:val="24"/>
          <w:szCs w:val="24"/>
          <w:highlight w:val="none"/>
        </w:rPr>
        <w:t>第三方机构</w:t>
      </w:r>
      <w:r>
        <w:rPr>
          <w:rFonts w:hint="eastAsia" w:ascii="宋体" w:hAnsi="宋体" w:eastAsia="宋体" w:cs="仿宋"/>
          <w:color w:val="auto"/>
          <w:sz w:val="24"/>
          <w:szCs w:val="24"/>
          <w:highlight w:val="none"/>
        </w:rPr>
        <w:t>继续工作，</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应配合</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的一切安排并负责赔偿</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的直接经济损失，赔偿总额不超过本合同总金额。同时</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有权拒绝支付</w:t>
      </w:r>
      <w:r>
        <w:rPr>
          <w:rFonts w:ascii="宋体" w:hAnsi="宋体" w:eastAsia="宋体" w:cs="仿宋"/>
          <w:color w:val="auto"/>
          <w:sz w:val="24"/>
          <w:szCs w:val="24"/>
          <w:highlight w:val="none"/>
        </w:rPr>
        <w:t>编制</w:t>
      </w:r>
      <w:r>
        <w:rPr>
          <w:rFonts w:hint="eastAsia" w:ascii="宋体" w:hAnsi="宋体" w:eastAsia="宋体" w:cs="仿宋"/>
          <w:color w:val="auto"/>
          <w:sz w:val="24"/>
          <w:szCs w:val="24"/>
          <w:highlight w:val="none"/>
        </w:rPr>
        <w:t xml:space="preserve">费： </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由于</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自身原因，未按</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合同约定交付成果或完成工作内容的，每逾期一日应减收本合同费用的万分之二。若在</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书面通知后</w:t>
      </w:r>
      <w:r>
        <w:rPr>
          <w:rFonts w:ascii="宋体" w:hAnsi="宋体" w:eastAsia="宋体" w:cs="仿宋"/>
          <w:color w:val="auto"/>
          <w:sz w:val="24"/>
          <w:szCs w:val="24"/>
          <w:highlight w:val="none"/>
        </w:rPr>
        <w:t>七</w:t>
      </w:r>
      <w:r>
        <w:rPr>
          <w:rFonts w:hint="eastAsia" w:ascii="宋体" w:hAnsi="宋体" w:eastAsia="宋体" w:cs="仿宋"/>
          <w:color w:val="auto"/>
          <w:sz w:val="24"/>
          <w:szCs w:val="24"/>
          <w:highlight w:val="none"/>
        </w:rPr>
        <w:t>日内仍没有改正的，甲方有权要求乙方配合甲方安排，赔偿直接经济损失，同时甲方有权拒绝支付编制费。</w:t>
      </w:r>
    </w:p>
    <w:p>
      <w:pPr>
        <w:widowControl w:val="0"/>
        <w:spacing w:afterLines="50"/>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未经</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书面同意，</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不得委托他方代为履行合同；不得将本合同项下的任何服务分包给任何第三方。如违反本条约定，</w:t>
      </w:r>
      <w:r>
        <w:rPr>
          <w:rFonts w:ascii="宋体" w:hAnsi="宋体" w:eastAsia="宋体" w:cs="仿宋"/>
          <w:color w:val="auto"/>
          <w:sz w:val="24"/>
          <w:szCs w:val="24"/>
          <w:highlight w:val="none"/>
        </w:rPr>
        <w:t>甲方</w:t>
      </w:r>
      <w:r>
        <w:rPr>
          <w:rFonts w:hint="eastAsia" w:ascii="宋体" w:hAnsi="宋体" w:eastAsia="宋体" w:cs="仿宋"/>
          <w:color w:val="auto"/>
          <w:sz w:val="24"/>
          <w:szCs w:val="24"/>
          <w:highlight w:val="none"/>
        </w:rPr>
        <w:t>有权解除合同，并要求</w:t>
      </w:r>
      <w:r>
        <w:rPr>
          <w:rFonts w:ascii="宋体" w:hAnsi="宋体" w:eastAsia="宋体" w:cs="仿宋"/>
          <w:color w:val="auto"/>
          <w:sz w:val="24"/>
          <w:szCs w:val="24"/>
          <w:highlight w:val="none"/>
        </w:rPr>
        <w:t>乙方</w:t>
      </w:r>
      <w:r>
        <w:rPr>
          <w:rFonts w:hint="eastAsia" w:ascii="宋体" w:hAnsi="宋体" w:eastAsia="宋体" w:cs="仿宋"/>
          <w:color w:val="auto"/>
          <w:sz w:val="24"/>
          <w:szCs w:val="24"/>
          <w:highlight w:val="none"/>
        </w:rPr>
        <w:t>支付合同总金额。</w:t>
      </w:r>
    </w:p>
    <w:bookmarkEnd w:id="48"/>
    <w:p>
      <w:pPr>
        <w:widowControl w:val="0"/>
        <w:spacing w:afterLines="50"/>
        <w:ind w:firstLine="482"/>
        <w:rPr>
          <w:rFonts w:ascii="宋体" w:hAnsi="宋体" w:eastAsia="宋体" w:cs="仿宋"/>
          <w:b/>
          <w:bCs/>
          <w:color w:val="auto"/>
          <w:sz w:val="24"/>
          <w:szCs w:val="24"/>
          <w:highlight w:val="none"/>
        </w:rPr>
      </w:pPr>
      <w:bookmarkStart w:id="49" w:name="_Hlk16458482"/>
      <w:r>
        <w:rPr>
          <w:rFonts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rPr>
        <w:t>一</w:t>
      </w:r>
      <w:r>
        <w:rPr>
          <w:rFonts w:ascii="宋体" w:hAnsi="宋体" w:eastAsia="宋体" w:cs="仿宋"/>
          <w:b/>
          <w:bCs/>
          <w:color w:val="auto"/>
          <w:sz w:val="24"/>
          <w:szCs w:val="24"/>
          <w:highlight w:val="none"/>
        </w:rPr>
        <w:t xml:space="preserve">条 </w:t>
      </w:r>
      <w:r>
        <w:rPr>
          <w:rFonts w:hint="eastAsia" w:ascii="宋体" w:hAnsi="宋体" w:eastAsia="宋体" w:cs="仿宋"/>
          <w:b/>
          <w:bCs/>
          <w:color w:val="auto"/>
          <w:sz w:val="24"/>
          <w:szCs w:val="24"/>
          <w:highlight w:val="none"/>
        </w:rPr>
        <w:t>争议的解决</w:t>
      </w:r>
    </w:p>
    <w:bookmarkEnd w:id="49"/>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本合同履行过程中若发生争议，双方应本着友好协商的原则解决。协商不成，提交甲方所在地人民法院进行诉讼。</w:t>
      </w:r>
    </w:p>
    <w:p>
      <w:pPr>
        <w:widowControl w:val="0"/>
        <w:spacing w:afterLines="50"/>
        <w:ind w:firstLine="482"/>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第十三条 </w:t>
      </w:r>
      <w:r>
        <w:rPr>
          <w:rFonts w:hint="eastAsia" w:ascii="宋体" w:hAnsi="宋体" w:eastAsia="宋体" w:cs="仿宋"/>
          <w:b/>
          <w:bCs/>
          <w:color w:val="auto"/>
          <w:sz w:val="24"/>
          <w:szCs w:val="24"/>
          <w:highlight w:val="none"/>
        </w:rPr>
        <w:t>其他</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（一）本合同经双方签字盖章即生效。一式八份，甲乙双方各执四份，具有同等法律效力。</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（二）双方协商一致的来往邮件、会议纪要等，均为合同的组成部分，与本合同具有同等法律效力。</w:t>
      </w:r>
    </w:p>
    <w:p>
      <w:pPr>
        <w:widowControl w:val="0"/>
        <w:numPr>
          <w:ilvl w:val="255"/>
          <w:numId w:val="0"/>
        </w:numPr>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（三）未尽事宜，经双方协商一致，签订补充协议，补充协议与本合同具有同等效力。</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（四）双方均不得转让各自于本合同的任何权利、责任或索赔权。</w:t>
      </w: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（五）非经对方事先书面同意，本合同任何一方不得使用或引用对方的名称、标识、商标，但乙方可对外指明甲方是由乙方提供特定服务的客户。</w:t>
      </w: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p>
    <w:p>
      <w:pPr>
        <w:widowControl w:val="0"/>
        <w:spacing w:afterLines="50"/>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（此页无正文）</w:t>
      </w:r>
    </w:p>
    <w:p>
      <w:pPr>
        <w:widowControl w:val="0"/>
        <w:spacing w:afterLines="50"/>
        <w:ind w:firstLine="482"/>
        <w:jc w:val="left"/>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甲方：                          乙方：</w:t>
      </w:r>
    </w:p>
    <w:p>
      <w:pPr>
        <w:widowControl w:val="0"/>
        <w:spacing w:afterLines="50"/>
        <w:ind w:firstLine="48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海口江东新区管理局 </w:t>
      </w:r>
    </w:p>
    <w:p>
      <w:pPr>
        <w:widowControl w:val="0"/>
        <w:spacing w:afterLines="50"/>
        <w:ind w:firstLine="480"/>
        <w:jc w:val="left"/>
        <w:rPr>
          <w:rFonts w:ascii="宋体" w:hAnsi="宋体" w:eastAsia="宋体" w:cs="仿宋"/>
          <w:color w:val="auto"/>
          <w:sz w:val="24"/>
          <w:szCs w:val="24"/>
          <w:highlight w:val="none"/>
        </w:rPr>
      </w:pPr>
      <w:r>
        <w:rPr>
          <w:rFonts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rPr>
        <w:t>：                      法定代表人或委托代理人：</w:t>
      </w:r>
    </w:p>
    <w:p>
      <w:pPr>
        <w:widowControl w:val="0"/>
        <w:spacing w:afterLines="50"/>
        <w:ind w:firstLine="48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日期：                          日期：</w:t>
      </w:r>
    </w:p>
    <w:p>
      <w:pPr>
        <w:widowControl w:val="0"/>
        <w:ind w:firstLine="482"/>
        <w:rPr>
          <w:rFonts w:ascii="宋体" w:hAnsi="宋体" w:eastAsia="宋体" w:cs="仿宋"/>
          <w:b/>
          <w:bCs/>
          <w:color w:val="auto"/>
          <w:sz w:val="24"/>
          <w:szCs w:val="24"/>
        </w:rPr>
      </w:pPr>
    </w:p>
    <w:sectPr>
      <w:pgSz w:w="11906" w:h="16838"/>
      <w:pgMar w:top="1440" w:right="1366" w:bottom="1440" w:left="142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2250"/>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7.5pt;width:22.55pt;mso-position-horizontal:center;mso-position-horizontal-relative:margin;mso-wrap-style:none;z-index:251659264;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D5PpJv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p>
  <w:p>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2225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7.5pt;width:22.55pt;mso-position-horizontal:center;mso-position-horizontal-relative:margin;mso-wrap-style:none;z-index:251660288;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e0idEAAAADAQAADwAAAAAAAAABACAAAAAiAAAAZHJzL2Rvd25yZXYueG1s&#10;UEsBAhQAFAAAAAgAh07iQOiSe8//AQAAEQ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22225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7.5pt;width:22.55pt;mso-position-horizontal:center;mso-position-horizontal-relative:margin;mso-wrap-style:none;z-index:251661312;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im8lIf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222250"/>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4353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7.5pt;width:27.05pt;mso-position-horizontal:center;mso-position-horizontal-relative:margin;mso-wrap-style:none;z-index:251662336;mso-width-relative:page;mso-height-relative:page;" filled="f" stroked="f" coordsize="21600,21600"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EMG69EAAAADAQAADwAAAAAAAAABACAAAAAiAAAAZHJzL2Rvd25yZXYueG1s&#10;UEsBAhQAFAAAAAgAh07iQE8TYCv/AQAADw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6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F267"/>
    <w:multiLevelType w:val="singleLevel"/>
    <w:tmpl w:val="99B6F267"/>
    <w:lvl w:ilvl="0" w:tentative="0">
      <w:start w:val="4"/>
      <w:numFmt w:val="chineseCounting"/>
      <w:suff w:val="space"/>
      <w:lvlText w:val="第%1章"/>
      <w:lvlJc w:val="left"/>
      <w:rPr>
        <w:rFonts w:hint="eastAsia"/>
      </w:rPr>
    </w:lvl>
  </w:abstractNum>
  <w:abstractNum w:abstractNumId="1">
    <w:nsid w:val="A6D83777"/>
    <w:multiLevelType w:val="singleLevel"/>
    <w:tmpl w:val="A6D83777"/>
    <w:lvl w:ilvl="0" w:tentative="0">
      <w:start w:val="1"/>
      <w:numFmt w:val="chineseCounting"/>
      <w:suff w:val="space"/>
      <w:lvlText w:val="第%1条"/>
      <w:lvlJc w:val="left"/>
      <w:rPr>
        <w:rFonts w:hint="eastAsia"/>
        <w:b/>
        <w:bCs/>
      </w:rPr>
    </w:lvl>
  </w:abstractNum>
  <w:abstractNum w:abstractNumId="2">
    <w:nsid w:val="B171BA07"/>
    <w:multiLevelType w:val="singleLevel"/>
    <w:tmpl w:val="B171BA07"/>
    <w:lvl w:ilvl="0" w:tentative="0">
      <w:start w:val="6"/>
      <w:numFmt w:val="chineseCounting"/>
      <w:suff w:val="space"/>
      <w:lvlText w:val="第%1章"/>
      <w:lvlJc w:val="left"/>
      <w:rPr>
        <w:rFonts w:hint="eastAsia"/>
      </w:rPr>
    </w:lvl>
  </w:abstractNum>
  <w:abstractNum w:abstractNumId="3">
    <w:nsid w:val="0C651670"/>
    <w:multiLevelType w:val="singleLevel"/>
    <w:tmpl w:val="0C651670"/>
    <w:lvl w:ilvl="0" w:tentative="0">
      <w:start w:val="1"/>
      <w:numFmt w:val="chineseCounting"/>
      <w:suff w:val="nothing"/>
      <w:lvlText w:val="（%1）"/>
      <w:lvlJc w:val="left"/>
      <w:pPr>
        <w:ind w:left="562" w:firstLine="0"/>
      </w:pPr>
      <w:rPr>
        <w:rFonts w:hint="eastAsia"/>
      </w:rPr>
    </w:lvl>
  </w:abstractNum>
  <w:abstractNum w:abstractNumId="4">
    <w:nsid w:val="198DF39E"/>
    <w:multiLevelType w:val="multilevel"/>
    <w:tmpl w:val="198DF39E"/>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304748C0"/>
    <w:multiLevelType w:val="multilevel"/>
    <w:tmpl w:val="304748C0"/>
    <w:lvl w:ilvl="0" w:tentative="0">
      <w:start w:val="1"/>
      <w:numFmt w:val="japaneseCounting"/>
      <w:lvlText w:val="（%1）"/>
      <w:lvlJc w:val="left"/>
      <w:pPr>
        <w:ind w:left="0" w:hanging="1080"/>
      </w:pPr>
      <w:rPr>
        <w:rFonts w:hint="default"/>
      </w:rPr>
    </w:lvl>
    <w:lvl w:ilvl="1" w:tentative="0">
      <w:start w:val="1"/>
      <w:numFmt w:val="lowerLetter"/>
      <w:lvlText w:val="%2)"/>
      <w:lvlJc w:val="left"/>
      <w:pPr>
        <w:ind w:left="-240" w:hanging="420"/>
      </w:pPr>
    </w:lvl>
    <w:lvl w:ilvl="2" w:tentative="0">
      <w:start w:val="1"/>
      <w:numFmt w:val="lowerRoman"/>
      <w:lvlText w:val="%3."/>
      <w:lvlJc w:val="right"/>
      <w:pPr>
        <w:ind w:left="180" w:hanging="420"/>
      </w:pPr>
    </w:lvl>
    <w:lvl w:ilvl="3" w:tentative="0">
      <w:start w:val="1"/>
      <w:numFmt w:val="decimal"/>
      <w:lvlText w:val="%4."/>
      <w:lvlJc w:val="left"/>
      <w:pPr>
        <w:ind w:left="600" w:hanging="420"/>
      </w:pPr>
    </w:lvl>
    <w:lvl w:ilvl="4" w:tentative="0">
      <w:start w:val="1"/>
      <w:numFmt w:val="lowerLetter"/>
      <w:lvlText w:val="%5)"/>
      <w:lvlJc w:val="left"/>
      <w:pPr>
        <w:ind w:left="1020" w:hanging="420"/>
      </w:pPr>
    </w:lvl>
    <w:lvl w:ilvl="5" w:tentative="0">
      <w:start w:val="1"/>
      <w:numFmt w:val="lowerRoman"/>
      <w:lvlText w:val="%6."/>
      <w:lvlJc w:val="right"/>
      <w:pPr>
        <w:ind w:left="1440" w:hanging="420"/>
      </w:pPr>
    </w:lvl>
    <w:lvl w:ilvl="6" w:tentative="0">
      <w:start w:val="1"/>
      <w:numFmt w:val="decimal"/>
      <w:lvlText w:val="%7."/>
      <w:lvlJc w:val="left"/>
      <w:pPr>
        <w:ind w:left="1860" w:hanging="420"/>
      </w:pPr>
    </w:lvl>
    <w:lvl w:ilvl="7" w:tentative="0">
      <w:start w:val="1"/>
      <w:numFmt w:val="lowerLetter"/>
      <w:lvlText w:val="%8)"/>
      <w:lvlJc w:val="left"/>
      <w:pPr>
        <w:ind w:left="2280" w:hanging="420"/>
      </w:pPr>
    </w:lvl>
    <w:lvl w:ilvl="8" w:tentative="0">
      <w:start w:val="1"/>
      <w:numFmt w:val="lowerRoman"/>
      <w:lvlText w:val="%9."/>
      <w:lvlJc w:val="right"/>
      <w:pPr>
        <w:ind w:left="2700" w:hanging="420"/>
      </w:pPr>
    </w:lvl>
  </w:abstractNum>
  <w:abstractNum w:abstractNumId="6">
    <w:nsid w:val="5FAB0FC6"/>
    <w:multiLevelType w:val="singleLevel"/>
    <w:tmpl w:val="5FAB0FC6"/>
    <w:lvl w:ilvl="0" w:tentative="0">
      <w:start w:val="1"/>
      <w:numFmt w:val="decimal"/>
      <w:suff w:val="nothing"/>
      <w:lvlText w:val="%1."/>
      <w:lvlJc w:val="left"/>
    </w:lvl>
  </w:abstractNum>
  <w:abstractNum w:abstractNumId="7">
    <w:nsid w:val="5FAB13E6"/>
    <w:multiLevelType w:val="singleLevel"/>
    <w:tmpl w:val="5FAB13E6"/>
    <w:lvl w:ilvl="0" w:tentative="0">
      <w:start w:val="1"/>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F3"/>
    <w:rsid w:val="0000202E"/>
    <w:rsid w:val="0000440B"/>
    <w:rsid w:val="00014391"/>
    <w:rsid w:val="00031EA3"/>
    <w:rsid w:val="0003496B"/>
    <w:rsid w:val="0003622C"/>
    <w:rsid w:val="00036597"/>
    <w:rsid w:val="00043BE8"/>
    <w:rsid w:val="00044246"/>
    <w:rsid w:val="0004460D"/>
    <w:rsid w:val="000446FE"/>
    <w:rsid w:val="0004582D"/>
    <w:rsid w:val="00051092"/>
    <w:rsid w:val="000522C4"/>
    <w:rsid w:val="00063488"/>
    <w:rsid w:val="000643CB"/>
    <w:rsid w:val="00066C2B"/>
    <w:rsid w:val="0007279A"/>
    <w:rsid w:val="00077449"/>
    <w:rsid w:val="00080D5D"/>
    <w:rsid w:val="00086AB7"/>
    <w:rsid w:val="00086D97"/>
    <w:rsid w:val="00091A6A"/>
    <w:rsid w:val="00097ACF"/>
    <w:rsid w:val="000B6494"/>
    <w:rsid w:val="000D75CD"/>
    <w:rsid w:val="000E1D72"/>
    <w:rsid w:val="000E3E81"/>
    <w:rsid w:val="000E437C"/>
    <w:rsid w:val="00110B4C"/>
    <w:rsid w:val="001205B5"/>
    <w:rsid w:val="00122C47"/>
    <w:rsid w:val="00134126"/>
    <w:rsid w:val="00140347"/>
    <w:rsid w:val="00151AE4"/>
    <w:rsid w:val="0015374F"/>
    <w:rsid w:val="00157F7E"/>
    <w:rsid w:val="00173A03"/>
    <w:rsid w:val="00176CD1"/>
    <w:rsid w:val="001866C7"/>
    <w:rsid w:val="001936B9"/>
    <w:rsid w:val="001A1C45"/>
    <w:rsid w:val="001A7E99"/>
    <w:rsid w:val="001B490D"/>
    <w:rsid w:val="001B524A"/>
    <w:rsid w:val="001B59F9"/>
    <w:rsid w:val="001D2216"/>
    <w:rsid w:val="001D2E08"/>
    <w:rsid w:val="00204234"/>
    <w:rsid w:val="002123C1"/>
    <w:rsid w:val="002138FB"/>
    <w:rsid w:val="00216289"/>
    <w:rsid w:val="002208C4"/>
    <w:rsid w:val="00232564"/>
    <w:rsid w:val="00241EA0"/>
    <w:rsid w:val="0024485B"/>
    <w:rsid w:val="00246DCF"/>
    <w:rsid w:val="002477B9"/>
    <w:rsid w:val="00250982"/>
    <w:rsid w:val="002532EB"/>
    <w:rsid w:val="00265233"/>
    <w:rsid w:val="00270450"/>
    <w:rsid w:val="00271EF3"/>
    <w:rsid w:val="00274C20"/>
    <w:rsid w:val="0027628A"/>
    <w:rsid w:val="00284EBF"/>
    <w:rsid w:val="00294F06"/>
    <w:rsid w:val="00297840"/>
    <w:rsid w:val="002B1103"/>
    <w:rsid w:val="002B597C"/>
    <w:rsid w:val="002C106C"/>
    <w:rsid w:val="002C42F9"/>
    <w:rsid w:val="002C5510"/>
    <w:rsid w:val="002D262E"/>
    <w:rsid w:val="002D5C96"/>
    <w:rsid w:val="002F2C2B"/>
    <w:rsid w:val="00307EE3"/>
    <w:rsid w:val="00317F0F"/>
    <w:rsid w:val="00324370"/>
    <w:rsid w:val="003264A5"/>
    <w:rsid w:val="0034124B"/>
    <w:rsid w:val="003725D1"/>
    <w:rsid w:val="00384B28"/>
    <w:rsid w:val="00385BAF"/>
    <w:rsid w:val="00390109"/>
    <w:rsid w:val="003A2B3C"/>
    <w:rsid w:val="003B5992"/>
    <w:rsid w:val="003B678E"/>
    <w:rsid w:val="003C3901"/>
    <w:rsid w:val="003D4984"/>
    <w:rsid w:val="003E3813"/>
    <w:rsid w:val="003F36E8"/>
    <w:rsid w:val="003F49F3"/>
    <w:rsid w:val="00401E80"/>
    <w:rsid w:val="00420244"/>
    <w:rsid w:val="0042055A"/>
    <w:rsid w:val="00426DB0"/>
    <w:rsid w:val="00433DF1"/>
    <w:rsid w:val="0045044A"/>
    <w:rsid w:val="00454450"/>
    <w:rsid w:val="00463C76"/>
    <w:rsid w:val="00466CFE"/>
    <w:rsid w:val="0047094E"/>
    <w:rsid w:val="00470D93"/>
    <w:rsid w:val="00474681"/>
    <w:rsid w:val="00480FDD"/>
    <w:rsid w:val="00496ACB"/>
    <w:rsid w:val="004A5ED4"/>
    <w:rsid w:val="004B20D4"/>
    <w:rsid w:val="004B75D0"/>
    <w:rsid w:val="004C7B6E"/>
    <w:rsid w:val="004D5481"/>
    <w:rsid w:val="004F20A9"/>
    <w:rsid w:val="004F7EF9"/>
    <w:rsid w:val="00501A00"/>
    <w:rsid w:val="00501FA3"/>
    <w:rsid w:val="005078DC"/>
    <w:rsid w:val="00513E6E"/>
    <w:rsid w:val="00517431"/>
    <w:rsid w:val="0051755E"/>
    <w:rsid w:val="00525C13"/>
    <w:rsid w:val="00525EF8"/>
    <w:rsid w:val="00531156"/>
    <w:rsid w:val="00532DB8"/>
    <w:rsid w:val="00543DEC"/>
    <w:rsid w:val="005446D9"/>
    <w:rsid w:val="005540E3"/>
    <w:rsid w:val="0055761F"/>
    <w:rsid w:val="00564838"/>
    <w:rsid w:val="00576267"/>
    <w:rsid w:val="005944CB"/>
    <w:rsid w:val="005951BE"/>
    <w:rsid w:val="00597754"/>
    <w:rsid w:val="00597E42"/>
    <w:rsid w:val="005A1B07"/>
    <w:rsid w:val="005A1B6E"/>
    <w:rsid w:val="005A326D"/>
    <w:rsid w:val="005A55BB"/>
    <w:rsid w:val="005B65AA"/>
    <w:rsid w:val="005C411D"/>
    <w:rsid w:val="005C516B"/>
    <w:rsid w:val="005D2335"/>
    <w:rsid w:val="005E5B60"/>
    <w:rsid w:val="005F03A3"/>
    <w:rsid w:val="006145C2"/>
    <w:rsid w:val="00620458"/>
    <w:rsid w:val="0062654D"/>
    <w:rsid w:val="00636AF4"/>
    <w:rsid w:val="006513E8"/>
    <w:rsid w:val="00653613"/>
    <w:rsid w:val="0066190B"/>
    <w:rsid w:val="00664255"/>
    <w:rsid w:val="006822DD"/>
    <w:rsid w:val="00687ACE"/>
    <w:rsid w:val="00694948"/>
    <w:rsid w:val="00694F24"/>
    <w:rsid w:val="00697BCC"/>
    <w:rsid w:val="006A312B"/>
    <w:rsid w:val="006C6813"/>
    <w:rsid w:val="006C7962"/>
    <w:rsid w:val="006D1906"/>
    <w:rsid w:val="006D4C65"/>
    <w:rsid w:val="006D6A2B"/>
    <w:rsid w:val="006D761D"/>
    <w:rsid w:val="006E4AB7"/>
    <w:rsid w:val="006F3677"/>
    <w:rsid w:val="006F6530"/>
    <w:rsid w:val="00700806"/>
    <w:rsid w:val="00731C92"/>
    <w:rsid w:val="007321E4"/>
    <w:rsid w:val="0074754C"/>
    <w:rsid w:val="007476DD"/>
    <w:rsid w:val="00750B42"/>
    <w:rsid w:val="00754826"/>
    <w:rsid w:val="00760566"/>
    <w:rsid w:val="00761548"/>
    <w:rsid w:val="007709BC"/>
    <w:rsid w:val="0077741D"/>
    <w:rsid w:val="007843CC"/>
    <w:rsid w:val="00787967"/>
    <w:rsid w:val="007906D4"/>
    <w:rsid w:val="007942B1"/>
    <w:rsid w:val="00796658"/>
    <w:rsid w:val="00797A4E"/>
    <w:rsid w:val="007A527E"/>
    <w:rsid w:val="007C7DAF"/>
    <w:rsid w:val="007E0735"/>
    <w:rsid w:val="007E2A6C"/>
    <w:rsid w:val="007E3AFF"/>
    <w:rsid w:val="008313DF"/>
    <w:rsid w:val="00852D66"/>
    <w:rsid w:val="00860C05"/>
    <w:rsid w:val="00871D27"/>
    <w:rsid w:val="008749DC"/>
    <w:rsid w:val="00876EC3"/>
    <w:rsid w:val="00886431"/>
    <w:rsid w:val="00894CE4"/>
    <w:rsid w:val="00896603"/>
    <w:rsid w:val="008A164E"/>
    <w:rsid w:val="008A301D"/>
    <w:rsid w:val="008A3D68"/>
    <w:rsid w:val="008A3EF3"/>
    <w:rsid w:val="008B3463"/>
    <w:rsid w:val="008B370A"/>
    <w:rsid w:val="008C137E"/>
    <w:rsid w:val="008C4DC0"/>
    <w:rsid w:val="008D4438"/>
    <w:rsid w:val="008F6F0B"/>
    <w:rsid w:val="00905813"/>
    <w:rsid w:val="00906BB5"/>
    <w:rsid w:val="009077F3"/>
    <w:rsid w:val="00937E96"/>
    <w:rsid w:val="0095340B"/>
    <w:rsid w:val="00954ED8"/>
    <w:rsid w:val="00957F56"/>
    <w:rsid w:val="00963746"/>
    <w:rsid w:val="00965322"/>
    <w:rsid w:val="009725B2"/>
    <w:rsid w:val="00973AA9"/>
    <w:rsid w:val="009819C8"/>
    <w:rsid w:val="00992D24"/>
    <w:rsid w:val="009941B8"/>
    <w:rsid w:val="009A033D"/>
    <w:rsid w:val="009A752F"/>
    <w:rsid w:val="009B2486"/>
    <w:rsid w:val="009B2A12"/>
    <w:rsid w:val="009C2112"/>
    <w:rsid w:val="009C4D27"/>
    <w:rsid w:val="009D1358"/>
    <w:rsid w:val="009D6956"/>
    <w:rsid w:val="009E67BA"/>
    <w:rsid w:val="009E68CA"/>
    <w:rsid w:val="009F7489"/>
    <w:rsid w:val="00A0549E"/>
    <w:rsid w:val="00A209F7"/>
    <w:rsid w:val="00A21179"/>
    <w:rsid w:val="00A32AA2"/>
    <w:rsid w:val="00A35C20"/>
    <w:rsid w:val="00A456F2"/>
    <w:rsid w:val="00A463E7"/>
    <w:rsid w:val="00A475A7"/>
    <w:rsid w:val="00A53DE5"/>
    <w:rsid w:val="00A609FB"/>
    <w:rsid w:val="00A67BAE"/>
    <w:rsid w:val="00A72260"/>
    <w:rsid w:val="00A74682"/>
    <w:rsid w:val="00A8441D"/>
    <w:rsid w:val="00A90DBE"/>
    <w:rsid w:val="00AB2276"/>
    <w:rsid w:val="00AB6FCF"/>
    <w:rsid w:val="00AD1A88"/>
    <w:rsid w:val="00AD5B1C"/>
    <w:rsid w:val="00AE031F"/>
    <w:rsid w:val="00AE05A2"/>
    <w:rsid w:val="00AE0A7A"/>
    <w:rsid w:val="00AE7FA2"/>
    <w:rsid w:val="00B00706"/>
    <w:rsid w:val="00B27977"/>
    <w:rsid w:val="00B313DE"/>
    <w:rsid w:val="00B35106"/>
    <w:rsid w:val="00B50030"/>
    <w:rsid w:val="00B5234C"/>
    <w:rsid w:val="00B55050"/>
    <w:rsid w:val="00B6776C"/>
    <w:rsid w:val="00B7270F"/>
    <w:rsid w:val="00B77DD6"/>
    <w:rsid w:val="00B80D2F"/>
    <w:rsid w:val="00B91568"/>
    <w:rsid w:val="00B91D2F"/>
    <w:rsid w:val="00BA435A"/>
    <w:rsid w:val="00BA4CF3"/>
    <w:rsid w:val="00BD39B3"/>
    <w:rsid w:val="00BD4F80"/>
    <w:rsid w:val="00BD58F3"/>
    <w:rsid w:val="00BE03C7"/>
    <w:rsid w:val="00BE1A3A"/>
    <w:rsid w:val="00BF1729"/>
    <w:rsid w:val="00BF7B56"/>
    <w:rsid w:val="00C14520"/>
    <w:rsid w:val="00C34D87"/>
    <w:rsid w:val="00C40DF8"/>
    <w:rsid w:val="00C425C8"/>
    <w:rsid w:val="00C52F72"/>
    <w:rsid w:val="00C6406D"/>
    <w:rsid w:val="00C70ACF"/>
    <w:rsid w:val="00C77BBB"/>
    <w:rsid w:val="00C86D0C"/>
    <w:rsid w:val="00CB73C7"/>
    <w:rsid w:val="00CD584A"/>
    <w:rsid w:val="00CF18FB"/>
    <w:rsid w:val="00CF6087"/>
    <w:rsid w:val="00D011A4"/>
    <w:rsid w:val="00D032CE"/>
    <w:rsid w:val="00D17F54"/>
    <w:rsid w:val="00D37373"/>
    <w:rsid w:val="00D416D7"/>
    <w:rsid w:val="00D55305"/>
    <w:rsid w:val="00D75B4D"/>
    <w:rsid w:val="00D76464"/>
    <w:rsid w:val="00D83A2A"/>
    <w:rsid w:val="00D856E2"/>
    <w:rsid w:val="00D878B0"/>
    <w:rsid w:val="00DA3D36"/>
    <w:rsid w:val="00DB7B25"/>
    <w:rsid w:val="00DE07A1"/>
    <w:rsid w:val="00DF66E0"/>
    <w:rsid w:val="00E0757D"/>
    <w:rsid w:val="00E13062"/>
    <w:rsid w:val="00E30F90"/>
    <w:rsid w:val="00E3607A"/>
    <w:rsid w:val="00E609A4"/>
    <w:rsid w:val="00E7301A"/>
    <w:rsid w:val="00E808C7"/>
    <w:rsid w:val="00E82420"/>
    <w:rsid w:val="00EA3429"/>
    <w:rsid w:val="00EE24A7"/>
    <w:rsid w:val="00EE2C70"/>
    <w:rsid w:val="00F0657F"/>
    <w:rsid w:val="00F1037E"/>
    <w:rsid w:val="00F24FF4"/>
    <w:rsid w:val="00F2709C"/>
    <w:rsid w:val="00F31E25"/>
    <w:rsid w:val="00F5534B"/>
    <w:rsid w:val="00F72283"/>
    <w:rsid w:val="00F81F89"/>
    <w:rsid w:val="00F878BB"/>
    <w:rsid w:val="00FA1065"/>
    <w:rsid w:val="00FA1156"/>
    <w:rsid w:val="00FA3DAB"/>
    <w:rsid w:val="00FC26E8"/>
    <w:rsid w:val="00FC35F4"/>
    <w:rsid w:val="00FC771B"/>
    <w:rsid w:val="00FE133D"/>
    <w:rsid w:val="00FE27EB"/>
    <w:rsid w:val="00FF4A4D"/>
    <w:rsid w:val="01AB3BE8"/>
    <w:rsid w:val="02E0598D"/>
    <w:rsid w:val="041D2E96"/>
    <w:rsid w:val="046A5543"/>
    <w:rsid w:val="05424195"/>
    <w:rsid w:val="056B4EA4"/>
    <w:rsid w:val="05761105"/>
    <w:rsid w:val="070157C8"/>
    <w:rsid w:val="07F81459"/>
    <w:rsid w:val="08FB387A"/>
    <w:rsid w:val="094600B4"/>
    <w:rsid w:val="0B352404"/>
    <w:rsid w:val="0B7F02E7"/>
    <w:rsid w:val="0D62051D"/>
    <w:rsid w:val="0FD313D5"/>
    <w:rsid w:val="100D50FE"/>
    <w:rsid w:val="11DE11E2"/>
    <w:rsid w:val="120D15B9"/>
    <w:rsid w:val="12CE77A0"/>
    <w:rsid w:val="22F23784"/>
    <w:rsid w:val="268C44D8"/>
    <w:rsid w:val="27AB4C25"/>
    <w:rsid w:val="27EC2F4A"/>
    <w:rsid w:val="2ED26038"/>
    <w:rsid w:val="2ED45DDD"/>
    <w:rsid w:val="33E54784"/>
    <w:rsid w:val="37C16C4A"/>
    <w:rsid w:val="393D0552"/>
    <w:rsid w:val="39CB58E3"/>
    <w:rsid w:val="3C3F209D"/>
    <w:rsid w:val="42C4731E"/>
    <w:rsid w:val="46E4376B"/>
    <w:rsid w:val="4A5C2802"/>
    <w:rsid w:val="4AAD05D9"/>
    <w:rsid w:val="4E9E754D"/>
    <w:rsid w:val="4ECF14BB"/>
    <w:rsid w:val="501F70B7"/>
    <w:rsid w:val="515F7C02"/>
    <w:rsid w:val="52836018"/>
    <w:rsid w:val="529426C8"/>
    <w:rsid w:val="53441E38"/>
    <w:rsid w:val="53F73D1F"/>
    <w:rsid w:val="5405308B"/>
    <w:rsid w:val="55264138"/>
    <w:rsid w:val="56152E93"/>
    <w:rsid w:val="5A097CFD"/>
    <w:rsid w:val="5DC475FF"/>
    <w:rsid w:val="60F46CC5"/>
    <w:rsid w:val="63681876"/>
    <w:rsid w:val="63AF523B"/>
    <w:rsid w:val="662B4E3B"/>
    <w:rsid w:val="67136EAD"/>
    <w:rsid w:val="6A00454B"/>
    <w:rsid w:val="6A051911"/>
    <w:rsid w:val="6D8A7502"/>
    <w:rsid w:val="704B11CB"/>
    <w:rsid w:val="712D14B4"/>
    <w:rsid w:val="720F384E"/>
    <w:rsid w:val="76D24A48"/>
    <w:rsid w:val="79147A79"/>
    <w:rsid w:val="799F31DC"/>
    <w:rsid w:val="79BE67C2"/>
    <w:rsid w:val="7AFE3801"/>
    <w:rsid w:val="7BF33BE1"/>
    <w:rsid w:val="7E635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basedOn w:val="1"/>
    <w:next w:val="1"/>
    <w:link w:val="29"/>
    <w:qFormat/>
    <w:uiPriority w:val="0"/>
    <w:pPr>
      <w:spacing w:before="340" w:after="330" w:line="578" w:lineRule="auto"/>
      <w:outlineLvl w:val="0"/>
    </w:pPr>
    <w:rPr>
      <w:rFonts w:eastAsia="黑体"/>
      <w:bCs/>
      <w:kern w:val="44"/>
      <w:sz w:val="36"/>
      <w:szCs w:val="44"/>
    </w:rPr>
  </w:style>
  <w:style w:type="paragraph" w:styleId="4">
    <w:name w:val="heading 2"/>
    <w:basedOn w:val="1"/>
    <w:next w:val="1"/>
    <w:link w:val="30"/>
    <w:unhideWhenUsed/>
    <w:qFormat/>
    <w:uiPriority w:val="0"/>
    <w:pPr>
      <w:keepNext/>
      <w:keepLines/>
      <w:spacing w:before="260" w:after="260" w:line="416" w:lineRule="auto"/>
      <w:outlineLvl w:val="1"/>
    </w:pPr>
    <w:rPr>
      <w:rFonts w:eastAsia="黑体" w:asciiTheme="majorHAnsi" w:hAnsiTheme="majorHAnsi" w:cstheme="majorBidi"/>
      <w:bCs/>
      <w:szCs w:val="32"/>
    </w:rPr>
  </w:style>
  <w:style w:type="paragraph" w:styleId="2">
    <w:name w:val="heading 3"/>
    <w:basedOn w:val="1"/>
    <w:next w:val="1"/>
    <w:link w:val="31"/>
    <w:unhideWhenUsed/>
    <w:qFormat/>
    <w:uiPriority w:val="0"/>
    <w:pPr>
      <w:keepNext/>
      <w:keepLines/>
      <w:spacing w:before="260" w:after="260" w:line="416" w:lineRule="auto"/>
      <w:outlineLvl w:val="2"/>
    </w:pPr>
    <w:rPr>
      <w:rFonts w:eastAsia="楷体"/>
      <w:b/>
      <w:bCs/>
      <w:szCs w:val="32"/>
    </w:rPr>
  </w:style>
  <w:style w:type="paragraph" w:styleId="5">
    <w:name w:val="heading 4"/>
    <w:basedOn w:val="1"/>
    <w:next w:val="1"/>
    <w:link w:val="32"/>
    <w:unhideWhenUsed/>
    <w:qFormat/>
    <w:uiPriority w:val="0"/>
    <w:pPr>
      <w:keepNext/>
      <w:keepLines/>
      <w:spacing w:before="280" w:after="290" w:line="376" w:lineRule="auto"/>
      <w:outlineLvl w:val="3"/>
    </w:pPr>
    <w:rPr>
      <w:rFonts w:asciiTheme="majorHAnsi" w:hAnsiTheme="majorHAnsi" w:cstheme="majorBidi"/>
      <w:b/>
      <w:bCs/>
      <w:szCs w:val="28"/>
    </w:rPr>
  </w:style>
  <w:style w:type="paragraph" w:styleId="6">
    <w:name w:val="heading 5"/>
    <w:basedOn w:val="5"/>
    <w:next w:val="7"/>
    <w:link w:val="33"/>
    <w:qFormat/>
    <w:uiPriority w:val="0"/>
    <w:pPr>
      <w:tabs>
        <w:tab w:val="left" w:pos="864"/>
      </w:tabs>
      <w:ind w:left="864" w:hanging="864" w:firstLineChars="0"/>
      <w:jc w:val="left"/>
      <w:outlineLvl w:val="4"/>
    </w:pPr>
    <w:rPr>
      <w:rFonts w:ascii="Arial" w:hAnsi="Arial" w:eastAsia="黑体" w:cs="Times New Roman"/>
      <w:b w:val="0"/>
      <w:bCs w:val="0"/>
      <w:kern w:val="0"/>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0"/>
      <w:jc w:val="left"/>
    </w:pPr>
    <w:rPr>
      <w:rFonts w:ascii="宋体" w:hAnsi="Times New Roman" w:eastAsia="宋体" w:cs="Times New Roman"/>
      <w:kern w:val="0"/>
      <w:sz w:val="21"/>
      <w:szCs w:val="24"/>
    </w:rPr>
  </w:style>
  <w:style w:type="paragraph" w:styleId="8">
    <w:name w:val="annotation text"/>
    <w:basedOn w:val="1"/>
    <w:link w:val="41"/>
    <w:qFormat/>
    <w:uiPriority w:val="0"/>
    <w:pPr>
      <w:widowControl w:val="0"/>
      <w:spacing w:line="240" w:lineRule="auto"/>
      <w:ind w:firstLine="0" w:firstLineChars="0"/>
      <w:jc w:val="left"/>
    </w:pPr>
    <w:rPr>
      <w:sz w:val="21"/>
      <w:szCs w:val="24"/>
    </w:rPr>
  </w:style>
  <w:style w:type="paragraph" w:styleId="9">
    <w:name w:val="Body Text"/>
    <w:basedOn w:val="1"/>
    <w:link w:val="38"/>
    <w:qFormat/>
    <w:uiPriority w:val="0"/>
    <w:pPr>
      <w:widowControl w:val="0"/>
      <w:spacing w:after="120" w:line="240" w:lineRule="auto"/>
      <w:ind w:firstLine="0" w:firstLineChars="0"/>
    </w:pPr>
    <w:rPr>
      <w:sz w:val="21"/>
      <w:szCs w:val="24"/>
    </w:rPr>
  </w:style>
  <w:style w:type="paragraph" w:styleId="10">
    <w:name w:val="Body Text Indent"/>
    <w:basedOn w:val="1"/>
    <w:link w:val="57"/>
    <w:qFormat/>
    <w:uiPriority w:val="0"/>
    <w:pPr>
      <w:spacing w:after="120" w:line="240" w:lineRule="auto"/>
      <w:ind w:left="420" w:leftChars="200" w:firstLine="0" w:firstLineChars="0"/>
      <w:jc w:val="left"/>
    </w:pPr>
    <w:rPr>
      <w:rFonts w:ascii="Times New Roman" w:hAnsi="Times New Roman" w:eastAsia="宋体" w:cs="Times New Roman"/>
      <w:kern w:val="0"/>
      <w:sz w:val="21"/>
      <w:szCs w:val="24"/>
    </w:rPr>
  </w:style>
  <w:style w:type="paragraph" w:styleId="11">
    <w:name w:val="Plain Text"/>
    <w:basedOn w:val="1"/>
    <w:link w:val="37"/>
    <w:qFormat/>
    <w:uiPriority w:val="0"/>
    <w:pPr>
      <w:widowControl w:val="0"/>
      <w:spacing w:line="240" w:lineRule="auto"/>
      <w:ind w:firstLine="0" w:firstLineChars="0"/>
    </w:pPr>
    <w:rPr>
      <w:rFonts w:ascii="宋体" w:hAnsi="Courier New" w:cs="Courier New"/>
      <w:sz w:val="21"/>
      <w:szCs w:val="21"/>
    </w:rPr>
  </w:style>
  <w:style w:type="paragraph" w:styleId="12">
    <w:name w:val="Date"/>
    <w:basedOn w:val="1"/>
    <w:next w:val="1"/>
    <w:link w:val="53"/>
    <w:qFormat/>
    <w:uiPriority w:val="0"/>
    <w:pPr>
      <w:widowControl w:val="0"/>
      <w:spacing w:line="240" w:lineRule="auto"/>
      <w:ind w:left="100" w:leftChars="2500" w:firstLine="0" w:firstLineChars="0"/>
    </w:pPr>
    <w:rPr>
      <w:rFonts w:ascii="Times New Roman" w:hAnsi="Times New Roman" w:eastAsia="宋体" w:cs="Times New Roman"/>
      <w:sz w:val="21"/>
      <w:szCs w:val="24"/>
    </w:rPr>
  </w:style>
  <w:style w:type="paragraph" w:styleId="13">
    <w:name w:val="Body Text Indent 2"/>
    <w:basedOn w:val="1"/>
    <w:link w:val="54"/>
    <w:qFormat/>
    <w:uiPriority w:val="0"/>
    <w:pPr>
      <w:spacing w:after="120" w:line="480" w:lineRule="auto"/>
      <w:ind w:left="420" w:leftChars="200" w:firstLine="0" w:firstLineChars="0"/>
      <w:jc w:val="left"/>
    </w:pPr>
    <w:rPr>
      <w:rFonts w:ascii="Times New Roman" w:hAnsi="Times New Roman" w:eastAsia="宋体" w:cs="Times New Roman"/>
      <w:kern w:val="0"/>
      <w:sz w:val="21"/>
      <w:szCs w:val="24"/>
    </w:rPr>
  </w:style>
  <w:style w:type="paragraph" w:styleId="14">
    <w:name w:val="Balloon Text"/>
    <w:basedOn w:val="1"/>
    <w:link w:val="60"/>
    <w:semiHidden/>
    <w:qFormat/>
    <w:uiPriority w:val="0"/>
    <w:pPr>
      <w:widowControl w:val="0"/>
      <w:spacing w:line="240" w:lineRule="auto"/>
      <w:ind w:firstLine="0" w:firstLineChars="0"/>
    </w:pPr>
    <w:rPr>
      <w:rFonts w:ascii="Times New Roman" w:hAnsi="Times New Roman" w:eastAsia="宋体" w:cs="Times New Roman"/>
      <w:sz w:val="18"/>
      <w:szCs w:val="18"/>
    </w:rPr>
  </w:style>
  <w:style w:type="paragraph" w:styleId="15">
    <w:name w:val="footer"/>
    <w:basedOn w:val="1"/>
    <w:link w:val="51"/>
    <w:qFormat/>
    <w:uiPriority w:val="0"/>
    <w:pPr>
      <w:widowControl w:val="0"/>
      <w:tabs>
        <w:tab w:val="center" w:pos="4153"/>
        <w:tab w:val="right" w:pos="8306"/>
      </w:tabs>
      <w:snapToGrid w:val="0"/>
      <w:spacing w:line="240" w:lineRule="auto"/>
      <w:ind w:firstLine="0" w:firstLineChars="0"/>
      <w:jc w:val="left"/>
    </w:pPr>
    <w:rPr>
      <w:rFonts w:ascii="Times New Roman" w:hAnsi="Times New Roman" w:eastAsia="宋体" w:cs="Times New Roman"/>
      <w:sz w:val="18"/>
      <w:szCs w:val="18"/>
    </w:rPr>
  </w:style>
  <w:style w:type="paragraph" w:styleId="16">
    <w:name w:val="header"/>
    <w:basedOn w:val="1"/>
    <w:link w:val="34"/>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7">
    <w:name w:val="toc 1"/>
    <w:basedOn w:val="1"/>
    <w:next w:val="1"/>
    <w:semiHidden/>
    <w:qFormat/>
    <w:uiPriority w:val="0"/>
    <w:pPr>
      <w:widowControl w:val="0"/>
      <w:tabs>
        <w:tab w:val="right" w:leader="dot" w:pos="8296"/>
      </w:tabs>
      <w:spacing w:line="240" w:lineRule="auto"/>
      <w:ind w:firstLine="0" w:firstLineChars="0"/>
    </w:pPr>
    <w:rPr>
      <w:rFonts w:ascii="Times New Roman" w:hAnsi="Times New Roman" w:eastAsia="黑体" w:cs="Times New Roman"/>
      <w:szCs w:val="32"/>
    </w:rPr>
  </w:style>
  <w:style w:type="paragraph" w:styleId="18">
    <w:name w:val="Body Text Indent 3"/>
    <w:basedOn w:val="1"/>
    <w:link w:val="43"/>
    <w:qFormat/>
    <w:uiPriority w:val="0"/>
    <w:pPr>
      <w:widowControl w:val="0"/>
      <w:spacing w:after="120" w:line="240" w:lineRule="auto"/>
      <w:ind w:left="420" w:leftChars="200" w:firstLine="0" w:firstLineChars="0"/>
    </w:pPr>
    <w:rPr>
      <w:sz w:val="16"/>
      <w:szCs w:val="16"/>
    </w:rPr>
  </w:style>
  <w:style w:type="paragraph" w:styleId="19">
    <w:name w:val="toc 2"/>
    <w:basedOn w:val="1"/>
    <w:next w:val="1"/>
    <w:qFormat/>
    <w:uiPriority w:val="0"/>
    <w:pPr>
      <w:ind w:left="420" w:firstLine="298" w:firstLineChars="142"/>
      <w:jc w:val="left"/>
    </w:pPr>
    <w:rPr>
      <w:rFonts w:ascii="宋体" w:hAnsi="宋体" w:eastAsia="宋体" w:cs="Times New Roman"/>
      <w:kern w:val="0"/>
      <w:sz w:val="21"/>
      <w:szCs w:val="24"/>
    </w:rPr>
  </w:style>
  <w:style w:type="paragraph" w:styleId="20">
    <w:name w:val="Body Text 2"/>
    <w:basedOn w:val="1"/>
    <w:link w:val="59"/>
    <w:qFormat/>
    <w:uiPriority w:val="0"/>
    <w:pPr>
      <w:widowControl w:val="0"/>
      <w:spacing w:after="120" w:line="480" w:lineRule="auto"/>
      <w:ind w:firstLine="0" w:firstLineChars="0"/>
    </w:pPr>
    <w:rPr>
      <w:rFonts w:ascii="Times New Roman" w:hAnsi="Times New Roman" w:eastAsia="宋体" w:cs="Times New Roman"/>
      <w:sz w:val="21"/>
      <w:szCs w:val="24"/>
    </w:rPr>
  </w:style>
  <w:style w:type="paragraph" w:styleId="21">
    <w:name w:val="Title"/>
    <w:basedOn w:val="1"/>
    <w:next w:val="1"/>
    <w:link w:val="39"/>
    <w:qFormat/>
    <w:uiPriority w:val="0"/>
    <w:pPr>
      <w:widowControl w:val="0"/>
      <w:spacing w:before="240" w:after="60" w:line="240" w:lineRule="auto"/>
      <w:ind w:firstLine="0" w:firstLineChars="0"/>
      <w:jc w:val="center"/>
      <w:outlineLvl w:val="0"/>
    </w:pPr>
    <w:rPr>
      <w:rFonts w:ascii="Cambria" w:hAnsi="Cambria"/>
      <w:b/>
      <w:bCs/>
      <w:szCs w:val="32"/>
    </w:rPr>
  </w:style>
  <w:style w:type="paragraph" w:styleId="22">
    <w:name w:val="annotation subject"/>
    <w:basedOn w:val="8"/>
    <w:next w:val="8"/>
    <w:link w:val="44"/>
    <w:qFormat/>
    <w:uiPriority w:val="0"/>
    <w:rPr>
      <w:b/>
      <w:bCs/>
    </w:rPr>
  </w:style>
  <w:style w:type="paragraph" w:styleId="23">
    <w:name w:val="Body Text First Indent"/>
    <w:basedOn w:val="9"/>
    <w:link w:val="46"/>
    <w:qFormat/>
    <w:uiPriority w:val="0"/>
    <w:pPr>
      <w:spacing w:after="0" w:line="300" w:lineRule="auto"/>
      <w:ind w:firstLine="425"/>
    </w:pPr>
  </w:style>
  <w:style w:type="table" w:styleId="25">
    <w:name w:val="Table Grid"/>
    <w:basedOn w:val="24"/>
    <w:qFormat/>
    <w:uiPriority w:val="5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qFormat/>
    <w:uiPriority w:val="0"/>
    <w:rPr>
      <w:sz w:val="21"/>
      <w:szCs w:val="21"/>
    </w:rPr>
  </w:style>
  <w:style w:type="character" w:customStyle="1" w:styleId="29">
    <w:name w:val="标题 1 字符"/>
    <w:basedOn w:val="26"/>
    <w:link w:val="3"/>
    <w:qFormat/>
    <w:uiPriority w:val="0"/>
    <w:rPr>
      <w:rFonts w:eastAsia="黑体"/>
      <w:bCs/>
      <w:kern w:val="44"/>
      <w:sz w:val="36"/>
      <w:szCs w:val="44"/>
    </w:rPr>
  </w:style>
  <w:style w:type="character" w:customStyle="1" w:styleId="30">
    <w:name w:val="标题 2 字符"/>
    <w:basedOn w:val="26"/>
    <w:link w:val="4"/>
    <w:semiHidden/>
    <w:qFormat/>
    <w:uiPriority w:val="9"/>
    <w:rPr>
      <w:rFonts w:eastAsia="黑体" w:asciiTheme="majorHAnsi" w:hAnsiTheme="majorHAnsi" w:cstheme="majorBidi"/>
      <w:bCs/>
      <w:szCs w:val="32"/>
    </w:rPr>
  </w:style>
  <w:style w:type="character" w:customStyle="1" w:styleId="31">
    <w:name w:val="标题 3 字符"/>
    <w:basedOn w:val="26"/>
    <w:link w:val="2"/>
    <w:qFormat/>
    <w:uiPriority w:val="0"/>
    <w:rPr>
      <w:rFonts w:eastAsia="楷体"/>
      <w:b/>
      <w:bCs/>
      <w:szCs w:val="32"/>
    </w:rPr>
  </w:style>
  <w:style w:type="character" w:customStyle="1" w:styleId="32">
    <w:name w:val="标题 4 字符"/>
    <w:basedOn w:val="26"/>
    <w:link w:val="5"/>
    <w:semiHidden/>
    <w:qFormat/>
    <w:uiPriority w:val="9"/>
    <w:rPr>
      <w:rFonts w:asciiTheme="majorHAnsi" w:hAnsiTheme="majorHAnsi" w:cstheme="majorBidi"/>
      <w:b/>
      <w:bCs/>
      <w:szCs w:val="28"/>
    </w:rPr>
  </w:style>
  <w:style w:type="character" w:customStyle="1" w:styleId="33">
    <w:name w:val="标题 5 字符"/>
    <w:basedOn w:val="26"/>
    <w:link w:val="6"/>
    <w:qFormat/>
    <w:uiPriority w:val="0"/>
    <w:rPr>
      <w:rFonts w:ascii="Arial" w:hAnsi="Arial" w:eastAsia="黑体" w:cs="Times New Roman"/>
      <w:kern w:val="0"/>
      <w:sz w:val="28"/>
      <w:szCs w:val="28"/>
    </w:rPr>
  </w:style>
  <w:style w:type="character" w:customStyle="1" w:styleId="34">
    <w:name w:val="页眉 字符1"/>
    <w:link w:val="16"/>
    <w:qFormat/>
    <w:uiPriority w:val="99"/>
    <w:rPr>
      <w:sz w:val="18"/>
      <w:szCs w:val="18"/>
    </w:rPr>
  </w:style>
  <w:style w:type="character" w:customStyle="1" w:styleId="35">
    <w:name w:val="font31"/>
    <w:qFormat/>
    <w:uiPriority w:val="0"/>
    <w:rPr>
      <w:rFonts w:hint="eastAsia" w:ascii="宋体" w:hAnsi="宋体" w:eastAsia="宋体" w:cs="宋体"/>
      <w:color w:val="FF0000"/>
      <w:sz w:val="18"/>
      <w:szCs w:val="18"/>
      <w:u w:val="none"/>
    </w:rPr>
  </w:style>
  <w:style w:type="character" w:customStyle="1" w:styleId="36">
    <w:name w:val="NormalCharacter"/>
    <w:qFormat/>
    <w:uiPriority w:val="0"/>
  </w:style>
  <w:style w:type="character" w:customStyle="1" w:styleId="37">
    <w:name w:val="纯文本 字符"/>
    <w:link w:val="11"/>
    <w:qFormat/>
    <w:uiPriority w:val="0"/>
    <w:rPr>
      <w:rFonts w:ascii="宋体" w:hAnsi="Courier New" w:cs="Courier New"/>
      <w:sz w:val="21"/>
      <w:szCs w:val="21"/>
    </w:rPr>
  </w:style>
  <w:style w:type="character" w:customStyle="1" w:styleId="38">
    <w:name w:val="正文文本 字符"/>
    <w:link w:val="9"/>
    <w:qFormat/>
    <w:uiPriority w:val="0"/>
    <w:rPr>
      <w:sz w:val="21"/>
      <w:szCs w:val="24"/>
    </w:rPr>
  </w:style>
  <w:style w:type="character" w:customStyle="1" w:styleId="39">
    <w:name w:val="标题 字符"/>
    <w:link w:val="21"/>
    <w:qFormat/>
    <w:uiPriority w:val="0"/>
    <w:rPr>
      <w:rFonts w:ascii="Cambria" w:hAnsi="Cambria"/>
      <w:b/>
      <w:bCs/>
      <w:szCs w:val="32"/>
    </w:rPr>
  </w:style>
  <w:style w:type="character" w:customStyle="1" w:styleId="40">
    <w:name w:val="font01"/>
    <w:qFormat/>
    <w:uiPriority w:val="0"/>
    <w:rPr>
      <w:rFonts w:hint="eastAsia" w:ascii="宋体" w:hAnsi="宋体" w:eastAsia="宋体" w:cs="宋体"/>
      <w:color w:val="000000"/>
      <w:sz w:val="18"/>
      <w:szCs w:val="18"/>
      <w:u w:val="none"/>
    </w:rPr>
  </w:style>
  <w:style w:type="character" w:customStyle="1" w:styleId="41">
    <w:name w:val="批注文字 字符"/>
    <w:link w:val="8"/>
    <w:qFormat/>
    <w:uiPriority w:val="0"/>
    <w:rPr>
      <w:sz w:val="21"/>
      <w:szCs w:val="24"/>
    </w:rPr>
  </w:style>
  <w:style w:type="character" w:customStyle="1" w:styleId="42">
    <w:name w:val="页眉 字符"/>
    <w:qFormat/>
    <w:uiPriority w:val="99"/>
    <w:rPr>
      <w:kern w:val="2"/>
      <w:sz w:val="18"/>
      <w:szCs w:val="18"/>
    </w:rPr>
  </w:style>
  <w:style w:type="character" w:customStyle="1" w:styleId="43">
    <w:name w:val="正文文本缩进 3 字符"/>
    <w:link w:val="18"/>
    <w:qFormat/>
    <w:uiPriority w:val="0"/>
    <w:rPr>
      <w:sz w:val="16"/>
      <w:szCs w:val="16"/>
    </w:rPr>
  </w:style>
  <w:style w:type="character" w:customStyle="1" w:styleId="44">
    <w:name w:val="批注主题 字符"/>
    <w:link w:val="22"/>
    <w:qFormat/>
    <w:uiPriority w:val="0"/>
    <w:rPr>
      <w:b/>
      <w:bCs/>
      <w:sz w:val="21"/>
      <w:szCs w:val="24"/>
    </w:rPr>
  </w:style>
  <w:style w:type="character" w:customStyle="1" w:styleId="45">
    <w:name w:val="节 Char Char"/>
    <w:qFormat/>
    <w:uiPriority w:val="0"/>
    <w:rPr>
      <w:rFonts w:ascii="Arial" w:hAnsi="Arial" w:eastAsia="黑体"/>
      <w:b/>
      <w:kern w:val="2"/>
      <w:sz w:val="32"/>
      <w:lang w:val="en-US" w:eastAsia="zh-CN"/>
    </w:rPr>
  </w:style>
  <w:style w:type="character" w:customStyle="1" w:styleId="46">
    <w:name w:val="正文文本首行缩进 字符"/>
    <w:link w:val="23"/>
    <w:qFormat/>
    <w:uiPriority w:val="0"/>
    <w:rPr>
      <w:sz w:val="21"/>
      <w:szCs w:val="24"/>
    </w:rPr>
  </w:style>
  <w:style w:type="character" w:customStyle="1" w:styleId="47">
    <w:name w:val="Body Text Char1"/>
    <w:basedOn w:val="26"/>
    <w:semiHidden/>
    <w:qFormat/>
    <w:uiPriority w:val="99"/>
  </w:style>
  <w:style w:type="character" w:customStyle="1" w:styleId="48">
    <w:name w:val="Header Char1"/>
    <w:basedOn w:val="26"/>
    <w:semiHidden/>
    <w:qFormat/>
    <w:uiPriority w:val="99"/>
    <w:rPr>
      <w:sz w:val="18"/>
      <w:szCs w:val="18"/>
    </w:rPr>
  </w:style>
  <w:style w:type="character" w:customStyle="1" w:styleId="49">
    <w:name w:val="Comment Text Char1"/>
    <w:basedOn w:val="26"/>
    <w:semiHidden/>
    <w:qFormat/>
    <w:uiPriority w:val="99"/>
  </w:style>
  <w:style w:type="character" w:customStyle="1" w:styleId="50">
    <w:name w:val="Body Text Indent 3 Char1"/>
    <w:basedOn w:val="26"/>
    <w:semiHidden/>
    <w:qFormat/>
    <w:uiPriority w:val="99"/>
    <w:rPr>
      <w:sz w:val="16"/>
      <w:szCs w:val="16"/>
    </w:rPr>
  </w:style>
  <w:style w:type="character" w:customStyle="1" w:styleId="51">
    <w:name w:val="页脚 字符"/>
    <w:basedOn w:val="26"/>
    <w:link w:val="15"/>
    <w:qFormat/>
    <w:uiPriority w:val="0"/>
    <w:rPr>
      <w:rFonts w:ascii="Times New Roman" w:hAnsi="Times New Roman" w:eastAsia="宋体" w:cs="Times New Roman"/>
      <w:sz w:val="18"/>
      <w:szCs w:val="18"/>
    </w:rPr>
  </w:style>
  <w:style w:type="character" w:customStyle="1" w:styleId="52">
    <w:name w:val="Body Text First Indent Char1"/>
    <w:basedOn w:val="47"/>
    <w:semiHidden/>
    <w:qFormat/>
    <w:uiPriority w:val="99"/>
  </w:style>
  <w:style w:type="character" w:customStyle="1" w:styleId="53">
    <w:name w:val="日期 字符"/>
    <w:basedOn w:val="26"/>
    <w:link w:val="12"/>
    <w:qFormat/>
    <w:uiPriority w:val="0"/>
    <w:rPr>
      <w:rFonts w:ascii="Times New Roman" w:hAnsi="Times New Roman" w:eastAsia="宋体" w:cs="Times New Roman"/>
      <w:sz w:val="21"/>
      <w:szCs w:val="24"/>
    </w:rPr>
  </w:style>
  <w:style w:type="character" w:customStyle="1" w:styleId="54">
    <w:name w:val="正文文本缩进 2 字符"/>
    <w:basedOn w:val="26"/>
    <w:link w:val="13"/>
    <w:qFormat/>
    <w:uiPriority w:val="0"/>
    <w:rPr>
      <w:rFonts w:ascii="Times New Roman" w:hAnsi="Times New Roman" w:eastAsia="宋体" w:cs="Times New Roman"/>
      <w:kern w:val="0"/>
      <w:sz w:val="21"/>
      <w:szCs w:val="24"/>
    </w:rPr>
  </w:style>
  <w:style w:type="character" w:customStyle="1" w:styleId="55">
    <w:name w:val="Title Char1"/>
    <w:basedOn w:val="26"/>
    <w:qFormat/>
    <w:uiPriority w:val="10"/>
    <w:rPr>
      <w:rFonts w:asciiTheme="majorHAnsi" w:hAnsiTheme="majorHAnsi" w:eastAsiaTheme="majorEastAsia" w:cstheme="majorBidi"/>
      <w:b/>
      <w:bCs/>
      <w:szCs w:val="32"/>
    </w:rPr>
  </w:style>
  <w:style w:type="character" w:customStyle="1" w:styleId="56">
    <w:name w:val="Plain Text Char1"/>
    <w:basedOn w:val="26"/>
    <w:semiHidden/>
    <w:qFormat/>
    <w:uiPriority w:val="99"/>
    <w:rPr>
      <w:rFonts w:hAnsi="Courier New" w:cs="Courier New" w:asciiTheme="minorEastAsia" w:eastAsiaTheme="minorEastAsia"/>
    </w:rPr>
  </w:style>
  <w:style w:type="character" w:customStyle="1" w:styleId="57">
    <w:name w:val="正文文本缩进 字符"/>
    <w:basedOn w:val="26"/>
    <w:link w:val="10"/>
    <w:qFormat/>
    <w:uiPriority w:val="0"/>
    <w:rPr>
      <w:rFonts w:ascii="Times New Roman" w:hAnsi="Times New Roman" w:eastAsia="宋体" w:cs="Times New Roman"/>
      <w:kern w:val="0"/>
      <w:sz w:val="21"/>
      <w:szCs w:val="24"/>
    </w:rPr>
  </w:style>
  <w:style w:type="character" w:customStyle="1" w:styleId="58">
    <w:name w:val="Comment Subject Char1"/>
    <w:basedOn w:val="49"/>
    <w:semiHidden/>
    <w:qFormat/>
    <w:uiPriority w:val="99"/>
    <w:rPr>
      <w:b/>
      <w:bCs/>
    </w:rPr>
  </w:style>
  <w:style w:type="character" w:customStyle="1" w:styleId="59">
    <w:name w:val="正文文本 2 字符"/>
    <w:basedOn w:val="26"/>
    <w:link w:val="20"/>
    <w:qFormat/>
    <w:uiPriority w:val="0"/>
    <w:rPr>
      <w:rFonts w:ascii="Times New Roman" w:hAnsi="Times New Roman" w:eastAsia="宋体" w:cs="Times New Roman"/>
      <w:sz w:val="21"/>
      <w:szCs w:val="24"/>
    </w:rPr>
  </w:style>
  <w:style w:type="character" w:customStyle="1" w:styleId="60">
    <w:name w:val="批注框文本 字符"/>
    <w:basedOn w:val="26"/>
    <w:link w:val="14"/>
    <w:semiHidden/>
    <w:qFormat/>
    <w:uiPriority w:val="0"/>
    <w:rPr>
      <w:rFonts w:ascii="Times New Roman" w:hAnsi="Times New Roman" w:eastAsia="宋体" w:cs="Times New Roman"/>
      <w:sz w:val="18"/>
      <w:szCs w:val="18"/>
    </w:rPr>
  </w:style>
  <w:style w:type="paragraph" w:customStyle="1" w:styleId="61">
    <w:name w:val="正文5"/>
    <w:basedOn w:val="1"/>
    <w:qFormat/>
    <w:uiPriority w:val="0"/>
    <w:pPr>
      <w:widowControl w:val="0"/>
      <w:ind w:left="500" w:leftChars="500" w:firstLine="0" w:firstLineChars="0"/>
    </w:pPr>
    <w:rPr>
      <w:rFonts w:ascii="宋体" w:hAnsi="Times New Roman" w:eastAsia="宋体" w:cs="Times New Roman"/>
      <w:sz w:val="24"/>
      <w:szCs w:val="24"/>
    </w:rPr>
  </w:style>
  <w:style w:type="paragraph" w:customStyle="1" w:styleId="62">
    <w:name w:val="样式正文"/>
    <w:basedOn w:val="1"/>
    <w:qFormat/>
    <w:uiPriority w:val="0"/>
    <w:pPr>
      <w:widowControl w:val="0"/>
      <w:ind w:left="735" w:hanging="735" w:firstLineChars="0"/>
    </w:pPr>
    <w:rPr>
      <w:rFonts w:ascii="宋体" w:hAnsi="Times New Roman" w:eastAsia="宋体" w:cs="Times New Roman"/>
      <w:sz w:val="24"/>
      <w:szCs w:val="20"/>
    </w:rPr>
  </w:style>
  <w:style w:type="paragraph" w:styleId="63">
    <w:name w:val="List Paragraph"/>
    <w:basedOn w:val="1"/>
    <w:qFormat/>
    <w:uiPriority w:val="99"/>
    <w:pPr>
      <w:widowControl w:val="0"/>
      <w:spacing w:line="240" w:lineRule="auto"/>
      <w:ind w:firstLine="420"/>
    </w:pPr>
    <w:rPr>
      <w:rFonts w:ascii="Calibri" w:hAnsi="Calibri" w:eastAsia="宋体" w:cs="Times New Roman"/>
      <w:sz w:val="21"/>
    </w:rPr>
  </w:style>
  <w:style w:type="paragraph" w:customStyle="1" w:styleId="64">
    <w:name w:val="列出段落1"/>
    <w:basedOn w:val="1"/>
    <w:qFormat/>
    <w:uiPriority w:val="34"/>
    <w:pPr>
      <w:widowControl w:val="0"/>
      <w:spacing w:line="240" w:lineRule="auto"/>
      <w:ind w:firstLine="420"/>
    </w:pPr>
    <w:rPr>
      <w:rFonts w:ascii="Times New Roman" w:hAnsi="Times New Roman" w:eastAsia="宋体" w:cs="Times New Roman"/>
      <w:sz w:val="21"/>
      <w:szCs w:val="24"/>
    </w:rPr>
  </w:style>
  <w:style w:type="paragraph" w:customStyle="1" w:styleId="65">
    <w:name w:val="内容计划书"/>
    <w:basedOn w:val="1"/>
    <w:qFormat/>
    <w:uiPriority w:val="0"/>
    <w:pPr>
      <w:overflowPunct w:val="0"/>
      <w:autoSpaceDE w:val="0"/>
      <w:autoSpaceDN w:val="0"/>
      <w:spacing w:line="460" w:lineRule="exact"/>
      <w:ind w:firstLine="464"/>
      <w:jc w:val="left"/>
    </w:pPr>
    <w:rPr>
      <w:rFonts w:ascii="宋体" w:hAnsi="宋体" w:eastAsia="宋体" w:cs="Times New Roman"/>
      <w:spacing w:val="-4"/>
      <w:kern w:val="0"/>
      <w:sz w:val="24"/>
      <w:szCs w:val="24"/>
      <w:lang w:eastAsia="en-US"/>
    </w:rPr>
  </w:style>
  <w:style w:type="paragraph" w:customStyle="1" w:styleId="66">
    <w:name w:val="Table Paragraph"/>
    <w:basedOn w:val="1"/>
    <w:qFormat/>
    <w:uiPriority w:val="1"/>
    <w:pPr>
      <w:widowControl w:val="0"/>
      <w:spacing w:before="85" w:line="240" w:lineRule="auto"/>
      <w:ind w:firstLine="0" w:firstLineChars="0"/>
      <w:jc w:val="center"/>
    </w:pPr>
    <w:rPr>
      <w:rFonts w:ascii="宋体" w:hAnsi="宋体" w:eastAsia="宋体" w:cs="宋体"/>
      <w:sz w:val="21"/>
      <w:szCs w:val="24"/>
      <w:lang w:eastAsia="en-US" w:bidi="en-US"/>
    </w:rPr>
  </w:style>
  <w:style w:type="paragraph" w:customStyle="1" w:styleId="67">
    <w:name w:val="列出段落3"/>
    <w:basedOn w:val="1"/>
    <w:unhideWhenUsed/>
    <w:qFormat/>
    <w:uiPriority w:val="99"/>
    <w:pPr>
      <w:widowControl w:val="0"/>
      <w:spacing w:line="240" w:lineRule="auto"/>
      <w:ind w:firstLine="420"/>
    </w:pPr>
    <w:rPr>
      <w:rFonts w:ascii="Calibri" w:hAnsi="Calibri" w:eastAsia="宋体" w:cs="Times New Roman"/>
      <w:sz w:val="21"/>
    </w:rPr>
  </w:style>
  <w:style w:type="paragraph" w:customStyle="1" w:styleId="68">
    <w:name w:val="样式1.1"/>
    <w:basedOn w:val="4"/>
    <w:qFormat/>
    <w:uiPriority w:val="0"/>
    <w:pPr>
      <w:keepNext w:val="0"/>
      <w:keepLines w:val="0"/>
      <w:widowControl w:val="0"/>
      <w:snapToGrid w:val="0"/>
      <w:spacing w:beforeLines="50" w:afterLines="50" w:line="360" w:lineRule="auto"/>
      <w:ind w:firstLine="0" w:firstLineChars="0"/>
      <w:jc w:val="center"/>
    </w:pPr>
    <w:rPr>
      <w:rFonts w:ascii="宋体" w:hAnsi="宋体" w:eastAsia="宋体" w:cs="Times New Roman"/>
      <w:bCs w:val="0"/>
      <w:kern w:val="0"/>
      <w:sz w:val="24"/>
      <w:szCs w:val="20"/>
    </w:rPr>
  </w:style>
  <w:style w:type="paragraph" w:customStyle="1" w:styleId="69">
    <w:name w:val="bt1bt1"/>
    <w:basedOn w:val="3"/>
    <w:qFormat/>
    <w:uiPriority w:val="0"/>
    <w:pPr>
      <w:keepNext/>
      <w:keepLines/>
      <w:widowControl w:val="0"/>
      <w:spacing w:line="240" w:lineRule="auto"/>
      <w:ind w:firstLine="0" w:firstLineChars="0"/>
      <w:jc w:val="center"/>
    </w:pPr>
    <w:rPr>
      <w:rFonts w:ascii="黑体" w:hAnsi="Times New Roman" w:cs="Times New Roman"/>
      <w:szCs w:val="36"/>
    </w:rPr>
  </w:style>
  <w:style w:type="table" w:customStyle="1" w:styleId="70">
    <w:name w:val="网格型1"/>
    <w:basedOn w:val="24"/>
    <w:qFormat/>
    <w:locked/>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公文正文"/>
    <w:basedOn w:val="1"/>
    <w:qFormat/>
    <w:uiPriority w:val="0"/>
    <w:rPr>
      <w:rFonts w:ascii="Times New Roman" w:hAns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51562-4C2E-4FDA-A32A-1F41954E9A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10912</Words>
  <Characters>11387</Characters>
  <Lines>14</Lines>
  <Paragraphs>25</Paragraphs>
  <TotalTime>92</TotalTime>
  <ScaleCrop>false</ScaleCrop>
  <LinksUpToDate>false</LinksUpToDate>
  <CharactersWithSpaces>11979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2021-12-27T03:15:00Z</dcterms:created>
  <dc:creator>Angel HT Zhao</dc:creator>
  <cp:lastModifiedBy>阳光一生</cp:lastModifiedBy>
  <cp:lastPrinted>2022-04-20T06:53:00Z</cp:lastPrinted>
  <dcterms:modified xsi:type="dcterms:W3CDTF">2022-04-20T12:27:38Z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D370F17274164414B9CD55BBA0D273CD</vt:lpwstr>
  </property>
</Properties>
</file>