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640"/>
        <w:jc w:val="right"/>
        <w:rPr>
          <w:rFonts w:hint="eastAsia" w:ascii="宋体" w:hAnsi="宋体" w:eastAsia="宋体" w:cs="Times New Roman"/>
          <w:bCs/>
          <w:color w:val="auto"/>
          <w:spacing w:val="26"/>
          <w:sz w:val="110"/>
          <w:szCs w:val="110"/>
          <w:lang w:eastAsia="zh-CN"/>
        </w:rPr>
      </w:pPr>
      <w:r>
        <w:rPr>
          <w:rFonts w:hint="eastAsia" w:ascii="宋体" w:hAnsi="宋体" w:eastAsia="宋体" w:cs="Times New Roman"/>
          <w:bCs/>
          <w:color w:val="auto"/>
          <w:szCs w:val="32"/>
        </w:rPr>
        <w:t xml:space="preserve">                     项目编号：</w:t>
      </w:r>
      <w:r>
        <w:rPr>
          <w:rFonts w:hint="eastAsia" w:ascii="宋体" w:hAnsi="宋体" w:eastAsia="宋体" w:cs="Times New Roman"/>
          <w:bCs/>
          <w:color w:val="auto"/>
          <w:szCs w:val="32"/>
          <w:lang w:eastAsia="zh-CN"/>
        </w:rPr>
        <w:t>zfcg-fw-20220413-001</w:t>
      </w:r>
    </w:p>
    <w:p>
      <w:pPr>
        <w:widowControl w:val="0"/>
        <w:ind w:firstLine="0" w:firstLineChars="0"/>
        <w:jc w:val="center"/>
        <w:rPr>
          <w:rFonts w:ascii="宋体" w:hAnsi="宋体" w:eastAsia="宋体" w:cs="宋体"/>
          <w:color w:val="auto"/>
          <w:szCs w:val="32"/>
        </w:rPr>
      </w:pPr>
    </w:p>
    <w:p>
      <w:pPr>
        <w:widowControl w:val="0"/>
        <w:ind w:firstLine="0" w:firstLineChars="0"/>
        <w:jc w:val="center"/>
        <w:rPr>
          <w:rFonts w:ascii="宋体" w:hAnsi="宋体" w:eastAsia="宋体" w:cs="宋体"/>
          <w:color w:val="auto"/>
          <w:szCs w:val="32"/>
        </w:rPr>
      </w:pPr>
    </w:p>
    <w:p>
      <w:pPr>
        <w:widowControl w:val="0"/>
        <w:ind w:firstLine="0" w:firstLineChars="0"/>
        <w:jc w:val="center"/>
        <w:rPr>
          <w:rFonts w:ascii="宋体" w:hAnsi="宋体" w:eastAsia="宋体" w:cs="宋体"/>
          <w:b/>
          <w:bCs/>
          <w:color w:val="auto"/>
          <w:sz w:val="36"/>
          <w:szCs w:val="36"/>
        </w:rPr>
      </w:pPr>
    </w:p>
    <w:p>
      <w:pPr>
        <w:widowControl w:val="0"/>
        <w:spacing w:line="560" w:lineRule="exact"/>
        <w:ind w:firstLine="0" w:firstLineChars="0"/>
        <w:jc w:val="center"/>
        <w:rPr>
          <w:rFonts w:hint="eastAsia" w:ascii="宋体" w:hAnsi="宋体" w:eastAsia="宋体" w:cs="宋体"/>
          <w:bCs/>
          <w:color w:val="auto"/>
          <w:sz w:val="44"/>
          <w:szCs w:val="44"/>
          <w:lang w:eastAsia="zh-CN"/>
        </w:rPr>
      </w:pPr>
      <w:r>
        <w:rPr>
          <w:rFonts w:hint="eastAsia" w:ascii="宋体" w:hAnsi="宋体" w:eastAsia="宋体" w:cs="宋体"/>
          <w:bCs/>
          <w:color w:val="auto"/>
          <w:sz w:val="44"/>
          <w:szCs w:val="44"/>
          <w:lang w:eastAsia="zh-CN"/>
        </w:rPr>
        <w:t>海口江东新区CBD起步区南片区概念设计方案</w:t>
      </w:r>
    </w:p>
    <w:p>
      <w:pPr>
        <w:widowControl w:val="0"/>
        <w:spacing w:line="560" w:lineRule="exact"/>
        <w:ind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Cs/>
          <w:color w:val="auto"/>
          <w:sz w:val="44"/>
          <w:szCs w:val="44"/>
          <w:lang w:eastAsia="zh-CN"/>
        </w:rPr>
        <w:t>（三次采购）</w:t>
      </w:r>
    </w:p>
    <w:p>
      <w:pPr>
        <w:widowControl w:val="0"/>
        <w:ind w:firstLine="0" w:firstLineChars="0"/>
        <w:jc w:val="center"/>
        <w:rPr>
          <w:rFonts w:ascii="宋体" w:hAnsi="宋体" w:eastAsia="宋体" w:cs="Times New Roman"/>
          <w:bCs/>
          <w:color w:val="auto"/>
          <w:spacing w:val="26"/>
          <w:sz w:val="50"/>
          <w:szCs w:val="50"/>
          <w:u w:val="single"/>
        </w:rPr>
      </w:pPr>
    </w:p>
    <w:p>
      <w:pPr>
        <w:widowControl w:val="0"/>
        <w:ind w:firstLine="0" w:firstLineChars="0"/>
        <w:jc w:val="center"/>
        <w:rPr>
          <w:rFonts w:hint="default" w:ascii="宋体" w:hAnsi="宋体" w:eastAsia="宋体" w:cs="Times New Roman"/>
          <w:b/>
          <w:bCs/>
          <w:color w:val="auto"/>
          <w:spacing w:val="26"/>
          <w:sz w:val="96"/>
          <w:szCs w:val="96"/>
          <w:lang w:val="en-US" w:eastAsia="zh-CN"/>
        </w:rPr>
      </w:pPr>
      <w:r>
        <w:rPr>
          <w:rFonts w:hint="eastAsia" w:ascii="宋体" w:hAnsi="宋体" w:eastAsia="宋体" w:cs="Times New Roman"/>
          <w:b/>
          <w:bCs/>
          <w:color w:val="auto"/>
          <w:spacing w:val="26"/>
          <w:sz w:val="96"/>
          <w:szCs w:val="96"/>
        </w:rPr>
        <w:t>采购比选文件</w:t>
      </w:r>
    </w:p>
    <w:p>
      <w:pPr>
        <w:widowControl w:val="0"/>
        <w:ind w:firstLine="0" w:firstLineChars="0"/>
        <w:jc w:val="center"/>
        <w:rPr>
          <w:rFonts w:ascii="宋体" w:hAnsi="宋体" w:eastAsia="宋体" w:cs="Times New Roman"/>
          <w:b/>
          <w:color w:val="auto"/>
          <w:szCs w:val="32"/>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48"/>
          <w:szCs w:val="48"/>
        </w:rPr>
      </w:pPr>
      <w:bookmarkStart w:id="50" w:name="_GoBack"/>
      <w:bookmarkEnd w:id="50"/>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15"/>
          <w:szCs w:val="15"/>
        </w:rPr>
      </w:pPr>
    </w:p>
    <w:p>
      <w:pPr>
        <w:widowControl w:val="0"/>
        <w:ind w:firstLine="0" w:firstLineChars="0"/>
        <w:jc w:val="center"/>
        <w:rPr>
          <w:rFonts w:ascii="宋体" w:hAnsi="宋体" w:eastAsia="宋体" w:cs="Times New Roman"/>
          <w:color w:val="auto"/>
          <w:szCs w:val="32"/>
        </w:rPr>
      </w:pPr>
      <w:r>
        <w:rPr>
          <w:rFonts w:hint="eastAsia" w:ascii="宋体" w:hAnsi="宋体" w:eastAsia="宋体" w:cs="Times New Roman"/>
          <w:color w:val="auto"/>
          <w:szCs w:val="32"/>
        </w:rPr>
        <w:t>采购单位：海口江东新区管理局</w:t>
      </w:r>
    </w:p>
    <w:p>
      <w:pPr>
        <w:widowControl w:val="0"/>
        <w:ind w:firstLine="0" w:firstLineChars="0"/>
        <w:rPr>
          <w:rFonts w:ascii="宋体" w:hAnsi="宋体" w:eastAsia="宋体" w:cs="Times New Roman"/>
          <w:color w:val="auto"/>
          <w:sz w:val="30"/>
          <w:szCs w:val="30"/>
          <w:u w:val="single"/>
        </w:rPr>
      </w:pPr>
    </w:p>
    <w:p>
      <w:pPr>
        <w:widowControl w:val="0"/>
        <w:ind w:firstLine="0" w:firstLineChars="0"/>
        <w:jc w:val="center"/>
        <w:rPr>
          <w:rFonts w:ascii="宋体" w:hAnsi="宋体" w:eastAsia="宋体" w:cs="Times New Roman"/>
          <w:color w:val="auto"/>
          <w:szCs w:val="24"/>
        </w:rPr>
      </w:pPr>
    </w:p>
    <w:p>
      <w:pPr>
        <w:widowControl w:val="0"/>
        <w:ind w:firstLine="0" w:firstLineChars="0"/>
        <w:jc w:val="center"/>
        <w:rPr>
          <w:rFonts w:ascii="宋体" w:hAnsi="宋体" w:eastAsia="宋体" w:cs="Times New Roman"/>
          <w:color w:val="auto"/>
          <w:szCs w:val="24"/>
        </w:rPr>
      </w:pPr>
      <w:r>
        <w:rPr>
          <w:rFonts w:hint="eastAsia" w:ascii="宋体" w:hAnsi="宋体" w:eastAsia="宋体" w:cs="Times New Roman"/>
          <w:color w:val="auto"/>
          <w:szCs w:val="24"/>
        </w:rPr>
        <w:t>日   期：</w:t>
      </w:r>
      <w:r>
        <w:rPr>
          <w:rFonts w:hint="eastAsia" w:ascii="宋体" w:hAnsi="宋体" w:eastAsia="宋体" w:cs="Times New Roman"/>
          <w:color w:val="auto"/>
          <w:szCs w:val="24"/>
          <w:u w:val="single"/>
        </w:rPr>
        <w:t xml:space="preserve"> 202</w:t>
      </w:r>
      <w:r>
        <w:rPr>
          <w:rFonts w:hint="eastAsia" w:ascii="宋体" w:hAnsi="宋体" w:eastAsia="宋体" w:cs="Times New Roman"/>
          <w:color w:val="auto"/>
          <w:szCs w:val="24"/>
          <w:u w:val="single"/>
          <w:lang w:val="en-US" w:eastAsia="zh-CN"/>
        </w:rPr>
        <w:t>2</w:t>
      </w:r>
      <w:r>
        <w:rPr>
          <w:rFonts w:hint="eastAsia" w:ascii="宋体" w:hAnsi="宋体" w:eastAsia="宋体" w:cs="Times New Roman"/>
          <w:color w:val="auto"/>
          <w:szCs w:val="24"/>
        </w:rPr>
        <w:t>年</w:t>
      </w:r>
      <w:r>
        <w:rPr>
          <w:rFonts w:ascii="宋体" w:hAnsi="宋体" w:eastAsia="宋体" w:cs="Times New Roman"/>
          <w:color w:val="auto"/>
          <w:szCs w:val="24"/>
          <w:u w:val="single"/>
        </w:rPr>
        <w:t xml:space="preserve"> </w:t>
      </w:r>
      <w:r>
        <w:rPr>
          <w:rFonts w:hint="eastAsia" w:ascii="宋体" w:hAnsi="宋体" w:eastAsia="宋体" w:cs="Times New Roman"/>
          <w:color w:val="auto"/>
          <w:szCs w:val="24"/>
          <w:u w:val="single"/>
          <w:lang w:val="en-US" w:eastAsia="zh-CN"/>
        </w:rPr>
        <w:t>4</w:t>
      </w:r>
      <w:r>
        <w:rPr>
          <w:rFonts w:ascii="宋体" w:hAnsi="宋体" w:eastAsia="宋体" w:cs="Times New Roman"/>
          <w:color w:val="auto"/>
          <w:szCs w:val="24"/>
          <w:u w:val="single"/>
        </w:rPr>
        <w:t xml:space="preserve"> </w:t>
      </w:r>
      <w:r>
        <w:rPr>
          <w:rFonts w:hint="eastAsia" w:ascii="宋体" w:hAnsi="宋体" w:eastAsia="宋体" w:cs="Times New Roman"/>
          <w:color w:val="auto"/>
          <w:szCs w:val="24"/>
        </w:rPr>
        <w:t>月</w:t>
      </w:r>
    </w:p>
    <w:p>
      <w:pPr>
        <w:widowControl w:val="0"/>
        <w:ind w:firstLine="0" w:firstLineChars="0"/>
        <w:jc w:val="center"/>
        <w:rPr>
          <w:rFonts w:ascii="宋体" w:hAnsi="宋体" w:eastAsia="宋体" w:cs="Times New Roman"/>
          <w:b/>
          <w:color w:val="auto"/>
          <w:sz w:val="40"/>
          <w:szCs w:val="40"/>
        </w:rPr>
      </w:pPr>
    </w:p>
    <w:p>
      <w:pPr>
        <w:widowControl w:val="0"/>
        <w:ind w:firstLine="0" w:firstLineChars="0"/>
        <w:jc w:val="center"/>
        <w:rPr>
          <w:rFonts w:ascii="宋体" w:hAnsi="宋体" w:eastAsia="宋体" w:cs="Times New Roman"/>
          <w:b/>
          <w:color w:val="auto"/>
          <w:sz w:val="40"/>
          <w:szCs w:val="40"/>
        </w:rPr>
      </w:pPr>
    </w:p>
    <w:p>
      <w:pPr>
        <w:widowControl w:val="0"/>
        <w:ind w:firstLine="803"/>
        <w:jc w:val="center"/>
        <w:rPr>
          <w:rFonts w:ascii="宋体" w:hAnsi="宋体" w:eastAsia="宋体" w:cs="Times New Roman"/>
          <w:b/>
          <w:color w:val="auto"/>
          <w:sz w:val="40"/>
          <w:szCs w:val="40"/>
        </w:rPr>
      </w:pPr>
      <w:r>
        <w:rPr>
          <w:rFonts w:hint="eastAsia" w:ascii="宋体" w:hAnsi="宋体" w:eastAsia="宋体" w:cs="Times New Roman"/>
          <w:b/>
          <w:color w:val="auto"/>
          <w:sz w:val="40"/>
          <w:szCs w:val="40"/>
        </w:rPr>
        <w:t>目   录</w:t>
      </w:r>
    </w:p>
    <w:p>
      <w:pPr>
        <w:widowControl w:val="0"/>
        <w:ind w:firstLine="803"/>
        <w:rPr>
          <w:rFonts w:ascii="宋体" w:hAnsi="宋体" w:eastAsia="宋体" w:cs="Times New Roman"/>
          <w:b/>
          <w:color w:val="auto"/>
          <w:sz w:val="40"/>
          <w:szCs w:val="40"/>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第一章  比选公告</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第二章  比选单位须知</w:t>
      </w:r>
    </w:p>
    <w:p>
      <w:pPr>
        <w:widowControl w:val="0"/>
        <w:autoSpaceDE w:val="0"/>
        <w:autoSpaceDN w:val="0"/>
        <w:adjustRightInd w:val="0"/>
        <w:ind w:firstLine="643"/>
        <w:rPr>
          <w:rFonts w:ascii="宋体" w:hAnsi="宋体" w:eastAsia="宋体" w:cs="Times New Roman"/>
          <w:b/>
          <w:bCs/>
          <w:color w:val="auto"/>
          <w:szCs w:val="32"/>
        </w:rPr>
      </w:pPr>
      <w:r>
        <w:rPr>
          <w:rFonts w:ascii="宋体" w:hAnsi="宋体" w:eastAsia="宋体" w:cs="Times New Roman"/>
          <w:b/>
          <w:bCs/>
          <w:color w:val="auto"/>
          <w:szCs w:val="32"/>
        </w:rPr>
        <w:tab/>
      </w: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第三章  服务内容及要求</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第四章  项目评审说明</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第五章  比选响应文件格式</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第六章  项目合同模板</w:t>
      </w:r>
    </w:p>
    <w:p>
      <w:pPr>
        <w:widowControl w:val="0"/>
        <w:ind w:firstLine="420"/>
        <w:rPr>
          <w:rFonts w:ascii="Times New Roman" w:hAnsi="Times New Roman" w:eastAsia="宋体" w:cs="Times New Roman"/>
          <w:color w:val="auto"/>
          <w:sz w:val="21"/>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p>
    <w:p>
      <w:pPr>
        <w:pStyle w:val="2"/>
        <w:adjustRightInd w:val="0"/>
        <w:snapToGrid w:val="0"/>
        <w:spacing w:before="0" w:after="0" w:line="560" w:lineRule="exact"/>
        <w:ind w:firstLine="0" w:firstLineChars="0"/>
        <w:jc w:val="center"/>
        <w:rPr>
          <w:color w:val="auto"/>
        </w:rPr>
      </w:pPr>
      <w:r>
        <w:rPr>
          <w:rFonts w:hint="eastAsia" w:ascii="Times New Roman" w:hAnsi="Times New Roman" w:eastAsia="宋体" w:cs="Times New Roman"/>
          <w:bCs w:val="0"/>
          <w:color w:val="auto"/>
          <w:sz w:val="36"/>
          <w:szCs w:val="36"/>
        </w:rPr>
        <w:t>第一章比选公告</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b w:val="0"/>
          <w:bCs w:val="0"/>
          <w:color w:val="auto"/>
          <w:sz w:val="24"/>
          <w:szCs w:val="24"/>
        </w:rPr>
        <w:t>海口江东新区CBD起步区南片区概念设计方案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二次采购</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项目因响应单位提交的响应文件不符合比选文件要求，项目作流标处理。根据采购单位工作计划安排，现开展海口江东新区CBD起步区南片区概念设计方案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三次采购</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项目比选工作，具体信息如下：</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一 项目情况</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采购单位：海口江东新区管理局；</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z w:val="24"/>
          <w:szCs w:val="24"/>
          <w:lang w:eastAsia="zh-CN"/>
        </w:rPr>
        <w:t>海口江东新区CBD起步区南片区概念设计方案（</w:t>
      </w:r>
      <w:r>
        <w:rPr>
          <w:rFonts w:hint="eastAsia" w:ascii="宋体" w:hAnsi="宋体" w:eastAsia="宋体" w:cs="宋体"/>
          <w:b w:val="0"/>
          <w:bCs w:val="0"/>
          <w:color w:val="auto"/>
          <w:sz w:val="24"/>
          <w:szCs w:val="24"/>
        </w:rPr>
        <w:t>三次采购</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比选编号：</w:t>
      </w:r>
      <w:r>
        <w:rPr>
          <w:rFonts w:hint="eastAsia" w:ascii="宋体" w:hAnsi="宋体" w:eastAsia="宋体" w:cs="宋体"/>
          <w:b w:val="0"/>
          <w:bCs w:val="0"/>
          <w:color w:val="auto"/>
          <w:sz w:val="24"/>
          <w:szCs w:val="24"/>
          <w:lang w:eastAsia="zh-CN"/>
        </w:rPr>
        <w:t>zfcg-fw-20220413-001</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项目资金来源：预算资金；</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项目地点：海口江东新区；</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项目比选内容：本次比选项目通过对比选单位综合实力的评审以及比选响应文件的质量评审，选择高水平的专业服务团队；</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最高限价：人民币</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万元（不含</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质量要求：符合采购单位的要求；</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服务期限：2022年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日前完成。</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二 报名单位资质要求</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（一）必须是在中华人民共和国境内合法注册的独立法人，具有法定履行合同的资格与能力，遵守国家有关法律、法规，具有良好的商业信誉和健全的财务会计制度。</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（二）未被“信用中国”列入失信被执行人和重大税收违法案件当事人名单、未被中国政府采购网列入政府采购严重违法失信行为记录名单。</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（三）本项目不接受联合体参加比选。</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三 比选文件获取时间及方式</w:t>
      </w:r>
    </w:p>
    <w:p>
      <w:pPr>
        <w:pStyle w:val="2"/>
        <w:adjustRightInd w:val="0"/>
        <w:snapToGrid w:val="0"/>
        <w:spacing w:before="0" w:after="0" w:line="560" w:lineRule="exact"/>
        <w:ind w:firstLine="480"/>
        <w:rPr>
          <w:rFonts w:ascii="宋体" w:hAnsi="宋体" w:eastAsia="宋体" w:cs="宋体"/>
          <w:color w:val="auto"/>
          <w:sz w:val="24"/>
        </w:rPr>
      </w:pPr>
      <w:r>
        <w:rPr>
          <w:rFonts w:hint="eastAsia" w:ascii="宋体" w:hAnsi="宋体" w:eastAsia="宋体" w:cs="宋体"/>
          <w:b w:val="0"/>
          <w:bCs w:val="0"/>
          <w:color w:val="auto"/>
          <w:sz w:val="24"/>
          <w:szCs w:val="24"/>
        </w:rPr>
        <w:t>（一）比选文件获取时间： 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日00时00分至202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日23点59分（北京时间）；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（二）比选文件获取方式：请有意向参与本项目采购活动的单位在比选公告界面自行下载比选文件。</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四 比选响应文件的递交及开标时间、地点信息</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（一）响应文件递交截止时间：202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（二）开标时间：202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（三）响应文件递交地点：海口市美兰区兴洋大道181号江东新区政务服务中心208室；</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（四）逾期送达或未送达指定地点的响应文件，采购人将不予受理。</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五 发布公告的媒介</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本项目比选公告仅在江东新区管理局官网发布。</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六 联系方式</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采购人：海口江东新区管理局</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地址：海口市江东新区兴洋大道181号江东新区政务服务中心</w:t>
      </w:r>
    </w:p>
    <w:p>
      <w:pPr>
        <w:adjustRightInd w:val="0"/>
        <w:snapToGrid w:val="0"/>
        <w:spacing w:line="56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eastAsia="zh-CN"/>
        </w:rPr>
        <w:t>：黄先生</w:t>
      </w:r>
    </w:p>
    <w:p>
      <w:pPr>
        <w:adjustRightInd w:val="0"/>
        <w:snapToGrid w:val="0"/>
        <w:spacing w:line="560" w:lineRule="exact"/>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联系电话：(0898)65686</w:t>
      </w:r>
      <w:r>
        <w:rPr>
          <w:rFonts w:hint="eastAsia" w:ascii="宋体" w:hAnsi="宋体" w:eastAsia="宋体" w:cs="宋体"/>
          <w:color w:val="auto"/>
          <w:sz w:val="24"/>
          <w:lang w:val="en-US" w:eastAsia="zh-CN"/>
        </w:rPr>
        <w:t>529</w:t>
      </w:r>
    </w:p>
    <w:p>
      <w:pPr>
        <w:adjustRightInd w:val="0"/>
        <w:snapToGrid w:val="0"/>
        <w:spacing w:line="560" w:lineRule="exact"/>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rPr>
          <w:rFonts w:ascii="宋体" w:hAnsi="宋体" w:eastAsia="宋体" w:cs="宋体"/>
          <w:color w:val="auto"/>
          <w:sz w:val="24"/>
        </w:rPr>
      </w:pPr>
    </w:p>
    <w:p>
      <w:pPr>
        <w:ind w:left="-195" w:leftChars="-61" w:firstLine="436" w:firstLineChars="182"/>
        <w:jc w:val="right"/>
        <w:rPr>
          <w:rFonts w:ascii="宋体" w:hAnsi="宋体" w:eastAsia="宋体" w:cs="宋体"/>
          <w:color w:val="auto"/>
          <w:sz w:val="24"/>
        </w:rPr>
      </w:pPr>
      <w:r>
        <w:rPr>
          <w:rFonts w:hint="eastAsia" w:ascii="宋体" w:hAnsi="宋体" w:eastAsia="宋体" w:cs="宋体"/>
          <w:color w:val="auto"/>
          <w:sz w:val="24"/>
        </w:rPr>
        <w:t>海口江东新区管理局</w:t>
      </w:r>
    </w:p>
    <w:p>
      <w:pPr>
        <w:ind w:left="-195" w:leftChars="-61" w:right="93" w:rightChars="29" w:firstLine="436" w:firstLineChars="182"/>
        <w:jc w:val="right"/>
        <w:rPr>
          <w:rFonts w:ascii="宋体" w:hAnsi="宋体" w:eastAsia="宋体" w:cs="宋体"/>
          <w:color w:val="auto"/>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22</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w:t>
      </w:r>
    </w:p>
    <w:p>
      <w:pPr>
        <w:widowControl w:val="0"/>
        <w:wordWrap w:val="0"/>
        <w:ind w:firstLine="480"/>
        <w:jc w:val="right"/>
        <w:rPr>
          <w:rFonts w:ascii="宋体" w:hAnsi="宋体" w:eastAsia="宋体" w:cs="Times New Roman"/>
          <w:color w:val="auto"/>
          <w:sz w:val="24"/>
          <w:szCs w:val="24"/>
        </w:rPr>
      </w:pPr>
      <w:r>
        <w:rPr>
          <w:rFonts w:hint="eastAsia" w:ascii="宋体" w:hAnsi="宋体" w:eastAsia="宋体" w:cs="Times New Roman"/>
          <w:color w:val="auto"/>
          <w:sz w:val="24"/>
          <w:szCs w:val="24"/>
        </w:rPr>
        <w:t>　</w:t>
      </w:r>
    </w:p>
    <w:p>
      <w:pPr>
        <w:widowControl w:val="0"/>
        <w:adjustRightInd w:val="0"/>
        <w:snapToGrid w:val="0"/>
        <w:ind w:firstLine="0" w:firstLineChars="0"/>
        <w:jc w:val="center"/>
        <w:rPr>
          <w:rFonts w:ascii="Times New Roman" w:hAnsi="Times New Roman" w:eastAsia="宋体" w:cs="Times New Roman"/>
          <w:color w:val="auto"/>
          <w:sz w:val="36"/>
          <w:szCs w:val="36"/>
        </w:rPr>
      </w:pPr>
      <w:r>
        <w:rPr>
          <w:rFonts w:ascii="Times New Roman" w:hAnsi="Times New Roman" w:eastAsia="宋体" w:cs="Times New Roman"/>
          <w:color w:val="auto"/>
          <w:sz w:val="36"/>
          <w:szCs w:val="36"/>
        </w:rPr>
        <w:br w:type="page"/>
      </w:r>
      <w:r>
        <w:rPr>
          <w:rFonts w:hint="eastAsia" w:ascii="Times New Roman" w:hAnsi="Times New Roman" w:eastAsia="宋体" w:cs="Times New Roman"/>
          <w:b/>
          <w:color w:val="auto"/>
          <w:sz w:val="36"/>
          <w:szCs w:val="36"/>
        </w:rPr>
        <w:t>第二章比选单位须知</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一、说明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（一）适用范围</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本采购比选文件仅适用于本次服务采购中所叙述的项目内容。</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（二）合格的比选单位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1.必须是在中华人民共和国境内合法注册的独立法人，具有法定履行合同的资格与能力，遵守国家有关法律、法规，具有良好的商业信誉和健全的财务会计制度。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2.未被“信用中国”列入失信被执行人和重大税收违法案件当事人名单、</w:t>
      </w:r>
      <w:r>
        <w:rPr>
          <w:rFonts w:hint="eastAsia" w:ascii="宋体" w:hAnsi="宋体" w:eastAsia="宋体" w:cs="宋体"/>
          <w:color w:val="auto"/>
          <w:sz w:val="24"/>
          <w:szCs w:val="24"/>
        </w:rPr>
        <w:t>未被中国政府采购网列入政府采购严重违法失信行为记录名单</w:t>
      </w:r>
      <w:r>
        <w:rPr>
          <w:rFonts w:hint="eastAsia" w:ascii="宋体" w:hAnsi="宋体" w:eastAsia="宋体" w:cs="Times New Roman"/>
          <w:color w:val="auto"/>
          <w:sz w:val="24"/>
          <w:szCs w:val="24"/>
        </w:rPr>
        <w:t>。</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w:t>
      </w:r>
      <w:r>
        <w:rPr>
          <w:rFonts w:hint="eastAsia" w:ascii="宋体" w:hAnsi="宋体" w:eastAsia="宋体" w:cs="Times New Roman"/>
          <w:color w:val="auto"/>
          <w:sz w:val="24"/>
          <w:szCs w:val="24"/>
        </w:rPr>
        <w:t>本项目不接受联合体参加比选。</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二、采购比选文件组成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（一）比选公告；</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（二）比选单位须知；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（三）服务内容及要求；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（四）项目评审说明；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（五）比选响应文件格式；</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（六）项目合同模版。</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三、比选响应文件编写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（一）参与比选的单位应仔细阅读采购文件的所有内容，并按采购文件的规定及附件要求的内容和格式，提交完整的响应文件。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（二）响应文件语言和计量单位：响应文件和来往函件应用中文书写，计量单位应使用国家法定计量单位。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w:t>
      </w:r>
      <w:r>
        <w:rPr>
          <w:rFonts w:ascii="宋体" w:hAnsi="宋体" w:eastAsia="宋体" w:cs="Times New Roman"/>
          <w:color w:val="auto"/>
          <w:sz w:val="24"/>
          <w:szCs w:val="24"/>
        </w:rPr>
        <w:t>）</w:t>
      </w:r>
      <w:r>
        <w:rPr>
          <w:rFonts w:hint="eastAsia" w:ascii="宋体" w:hAnsi="宋体" w:eastAsia="宋体" w:cs="Times New Roman"/>
          <w:color w:val="auto"/>
          <w:sz w:val="24"/>
          <w:szCs w:val="24"/>
        </w:rPr>
        <w:t>所有报价应用人民币报价。</w:t>
      </w:r>
    </w:p>
    <w:p>
      <w:pPr>
        <w:widowControl w:val="0"/>
        <w:adjustRightInd w:val="0"/>
        <w:snapToGrid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四、比选限价及说明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（一）比选限价：人民币</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万元（不含</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万元），任何比选单位的总体报价超出限价均当废标处理。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（二）报价应包含：总报价须含税费、人工费、服务费等费用。</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五、比选响应文件组成及要求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3.法定代表人身份证明书；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宋体"/>
          <w:color w:val="auto"/>
          <w:sz w:val="24"/>
          <w:szCs w:val="24"/>
        </w:rPr>
        <w:t>（1）营业执照（复印件）；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3</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宋体"/>
          <w:color w:val="auto"/>
          <w:sz w:val="24"/>
          <w:szCs w:val="24"/>
        </w:rPr>
        <w:t>www.creditchina.gov.cn）中列入失信被执行人和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（二）比选响应文件格式上的要求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1.比选单位向采购单位提交的以上纸质资料，应以“A4”纸张规格按上述先后顺序依次装订成册及标注页码，在规定要求盖章处加盖公章，并加盖骑缝章；</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2.响应文件须于20</w:t>
      </w:r>
      <w:r>
        <w:rPr>
          <w:rFonts w:hint="eastAsia" w:ascii="宋体" w:hAnsi="宋体" w:eastAsia="宋体" w:cs="Times New Roman"/>
          <w:color w:val="auto"/>
          <w:sz w:val="24"/>
          <w:szCs w:val="24"/>
          <w:lang w:val="en-US" w:eastAsia="zh-CN"/>
        </w:rPr>
        <w:t>22</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u w:val="single"/>
          <w:lang w:val="en-US" w:eastAsia="zh-CN"/>
        </w:rPr>
        <w:t>5</w:t>
      </w:r>
      <w:r>
        <w:rPr>
          <w:rFonts w:hint="eastAsia" w:ascii="宋体" w:hAnsi="宋体" w:eastAsia="宋体" w:cs="Times New Roman"/>
          <w:color w:val="auto"/>
          <w:sz w:val="24"/>
          <w:szCs w:val="24"/>
        </w:rPr>
        <w:t>日</w:t>
      </w:r>
      <w:r>
        <w:rPr>
          <w:rFonts w:hint="eastAsia" w:ascii="宋体" w:hAnsi="宋体" w:eastAsia="宋体" w:cs="Times New Roman"/>
          <w:color w:val="auto"/>
          <w:sz w:val="24"/>
          <w:szCs w:val="24"/>
          <w:lang w:val="en-US" w:eastAsia="zh-CN"/>
        </w:rPr>
        <w:t>10</w:t>
      </w:r>
      <w:r>
        <w:rPr>
          <w:rFonts w:hint="eastAsia" w:ascii="宋体" w:hAnsi="宋体" w:eastAsia="宋体" w:cs="Times New Roman"/>
          <w:color w:val="auto"/>
          <w:sz w:val="24"/>
          <w:szCs w:val="24"/>
        </w:rPr>
        <w:t>点前送抵采购单位，交予本项目联系人（</w:t>
      </w:r>
      <w:r>
        <w:rPr>
          <w:rFonts w:hint="eastAsia" w:ascii="宋体" w:hAnsi="宋体" w:eastAsia="宋体" w:cs="Times New Roman"/>
          <w:color w:val="auto"/>
          <w:sz w:val="24"/>
          <w:szCs w:val="24"/>
          <w:lang w:eastAsia="zh-CN"/>
        </w:rPr>
        <w:t>黄先生</w:t>
      </w:r>
      <w:r>
        <w:rPr>
          <w:rFonts w:hint="eastAsia" w:ascii="宋体" w:hAnsi="宋体" w:eastAsia="宋体" w:cs="Times New Roman"/>
          <w:color w:val="auto"/>
          <w:sz w:val="24"/>
          <w:szCs w:val="24"/>
        </w:rPr>
        <w:t>，联系电话：0898-</w:t>
      </w:r>
      <w:r>
        <w:rPr>
          <w:rFonts w:hint="eastAsia" w:ascii="宋体" w:hAnsi="宋体" w:eastAsia="宋体" w:cs="Times New Roman"/>
          <w:color w:val="auto"/>
          <w:sz w:val="24"/>
          <w:szCs w:val="24"/>
          <w:lang w:val="en-US" w:eastAsia="zh-CN"/>
        </w:rPr>
        <w:t>65686529</w:t>
      </w:r>
      <w:r>
        <w:rPr>
          <w:rFonts w:hint="eastAsia" w:ascii="宋体" w:hAnsi="宋体" w:eastAsia="宋体" w:cs="Times New Roman"/>
          <w:color w:val="auto"/>
          <w:sz w:val="24"/>
          <w:szCs w:val="24"/>
        </w:rPr>
        <w:t>）。逾期递交的响应文件，概不受理；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所有提交的响应文件应一式5份，正本1份，副本4份，并注明“正本”和“副本”，如果正本与副本不符，应以正本为准。响应文件应由比选单位的合法授权代表正式签署，任何更改（如果有的话）应由原签署人签字。响应文件必须包装密封，在封口上加盖比选单位的公章，信封或包装的封面上应写明：</w:t>
      </w:r>
    </w:p>
    <w:p>
      <w:pPr>
        <w:widowControl w:val="0"/>
        <w:autoSpaceDE w:val="0"/>
        <w:autoSpaceDN w:val="0"/>
        <w:ind w:firstLine="48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名  称：</w:t>
      </w:r>
      <w:r>
        <w:rPr>
          <w:rFonts w:hint="eastAsia" w:ascii="宋体" w:hAnsi="宋体" w:eastAsia="宋体" w:cs="Times New Roman"/>
          <w:color w:val="auto"/>
          <w:sz w:val="24"/>
          <w:szCs w:val="24"/>
          <w:u w:val="single"/>
          <w:lang w:eastAsia="zh-CN"/>
        </w:rPr>
        <w:t>海口江东新区CBD起步区南片区概念设计方案（三次采购）</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联系人：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比选单位名称、地址：</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六、开标</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（一）无论比选结果如何，采购单位将不予返回比选单位的响应文件。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（二）成交结果将由采购单位以书面形式通知成交供应商。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（三）成交供应商自接到成交通知书后按采购单位要求时间到采购单位的办公地点签订项目合同（合同范本见第六章）。</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七、符合性审查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开标时如出现下列任一种情况，其响应文件将被拒绝：</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（一）响应文件未按要求密封装订；</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（二）未在规定时间内递交响应文件；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（三）未提交采购文件中所规定的资格证明文件</w:t>
      </w:r>
      <w:r>
        <w:rPr>
          <w:rFonts w:ascii="宋体" w:hAnsi="宋体" w:eastAsia="宋体" w:cs="Times New Roman"/>
          <w:color w:val="auto"/>
          <w:sz w:val="24"/>
          <w:szCs w:val="24"/>
        </w:rPr>
        <w:t>(</w:t>
      </w:r>
      <w:r>
        <w:rPr>
          <w:rFonts w:hint="eastAsia" w:ascii="宋体" w:hAnsi="宋体" w:eastAsia="宋体" w:cs="Times New Roman"/>
          <w:color w:val="auto"/>
          <w:sz w:val="24"/>
          <w:szCs w:val="24"/>
        </w:rPr>
        <w:t>例：</w:t>
      </w:r>
      <w:r>
        <w:rPr>
          <w:rFonts w:ascii="宋体" w:hAnsi="宋体" w:eastAsia="宋体" w:cs="Times New Roman"/>
          <w:color w:val="auto"/>
          <w:sz w:val="24"/>
          <w:szCs w:val="24"/>
        </w:rPr>
        <w:t>营业执照)</w:t>
      </w:r>
      <w:r>
        <w:rPr>
          <w:rFonts w:hint="eastAsia" w:ascii="宋体" w:hAnsi="宋体" w:eastAsia="宋体" w:cs="Times New Roman"/>
          <w:color w:val="auto"/>
          <w:sz w:val="24"/>
          <w:szCs w:val="24"/>
        </w:rPr>
        <w:t>；</w:t>
      </w:r>
    </w:p>
    <w:p>
      <w:pPr>
        <w:widowControl w:val="0"/>
        <w:adjustRightInd w:val="0"/>
        <w:snapToGrid w:val="0"/>
        <w:ind w:firstLine="723"/>
        <w:rPr>
          <w:rFonts w:hint="eastAsia" w:ascii="Times New Roman" w:hAnsi="Times New Roman" w:eastAsia="宋体" w:cs="Times New Roman"/>
          <w:b/>
          <w:color w:val="auto"/>
          <w:sz w:val="36"/>
          <w:szCs w:val="36"/>
          <w:lang w:eastAsia="zh-CN"/>
        </w:rPr>
      </w:pPr>
    </w:p>
    <w:p>
      <w:pPr>
        <w:pStyle w:val="2"/>
        <w:rPr>
          <w:rFonts w:hint="eastAsia"/>
          <w:lang w:eastAsia="zh-CN"/>
        </w:rPr>
        <w:sectPr>
          <w:headerReference r:id="rId11" w:type="default"/>
          <w:footerReference r:id="rId12" w:type="default"/>
          <w:pgSz w:w="11907" w:h="16840"/>
          <w:pgMar w:top="1440" w:right="1026" w:bottom="1440" w:left="1366" w:header="794" w:footer="794" w:gutter="0"/>
          <w:cols w:space="720" w:num="1"/>
          <w:docGrid w:linePitch="286" w:charSpace="0"/>
        </w:sectPr>
      </w:pPr>
    </w:p>
    <w:p>
      <w:pPr>
        <w:widowControl w:val="0"/>
        <w:adjustRightInd w:val="0"/>
        <w:snapToGrid w:val="0"/>
        <w:ind w:firstLine="0" w:firstLineChars="0"/>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第三章服务内容及要求</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一</w:t>
      </w:r>
      <w:r>
        <w:rPr>
          <w:rFonts w:hint="eastAsia" w:ascii="宋体" w:hAnsi="宋体" w:eastAsia="宋体" w:cs="Times New Roman"/>
          <w:b/>
          <w:color w:val="auto"/>
          <w:sz w:val="24"/>
          <w:szCs w:val="24"/>
          <w:highlight w:val="none"/>
        </w:rPr>
        <w:t>、项目背景</w:t>
      </w:r>
    </w:p>
    <w:p>
      <w:pPr>
        <w:keepNext w:val="0"/>
        <w:keepLines w:val="0"/>
        <w:pageBreakBefore w:val="0"/>
        <w:widowControl/>
        <w:tabs>
          <w:tab w:val="left" w:pos="6663"/>
          <w:tab w:val="left" w:pos="7088"/>
        </w:tabs>
        <w:kinsoku/>
        <w:wordWrap/>
        <w:topLinePunct w:val="0"/>
        <w:bidi w:val="0"/>
        <w:spacing w:line="560" w:lineRule="exact"/>
        <w:ind w:firstLine="640"/>
        <w:textAlignment w:val="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江东新区CBD起步区是江东新区先期启动建设的核心区域，正打造集企业总部、商务办公、创新服务、休闲娱乐功能为一体的生态总部集聚中心。作为独立的组团板块，江东新区CBD起步区需要具备功能复合、职住平衡、产城一体、生态宜居的综合性功能。为推进CBD起步区尽快出形象、出功能，需加快CBD起步区南片区的综合开发</w:t>
      </w:r>
      <w:r>
        <w:rPr>
          <w:rFonts w:hint="eastAsia" w:ascii="宋体" w:hAnsi="宋体" w:eastAsia="宋体" w:cs="Times New Roman"/>
          <w:bCs/>
          <w:color w:val="auto"/>
          <w:sz w:val="24"/>
          <w:szCs w:val="24"/>
          <w:highlight w:val="none"/>
        </w:rPr>
        <w: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二、服务内容</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起步区南片区的重大战略和整体决策，以“服务协同提升江东新区起步区”为核心，系统梳理片区周边的基础设施和功能服务配套情况，明确CBD起步区南片区的整体功能定位。</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三、编制成果</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四、工作时间</w:t>
      </w:r>
    </w:p>
    <w:p>
      <w:pPr>
        <w:keepNext w:val="0"/>
        <w:keepLines w:val="0"/>
        <w:pageBreakBefore w:val="0"/>
        <w:kinsoku/>
        <w:wordWrap/>
        <w:overflowPunct w:val="0"/>
        <w:topLinePunct w:val="0"/>
        <w:autoSpaceDE w:val="0"/>
        <w:autoSpaceDN w:val="0"/>
        <w:bidi w:val="0"/>
        <w:spacing w:line="560" w:lineRule="exact"/>
        <w:ind w:firstLine="464"/>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keepNext w:val="0"/>
        <w:keepLines w:val="0"/>
        <w:pageBreakBefore w:val="0"/>
        <w:widowControl w:val="0"/>
        <w:kinsoku/>
        <w:wordWrap/>
        <w:topLinePunct w:val="0"/>
        <w:bidi w:val="0"/>
        <w:spacing w:line="560" w:lineRule="exact"/>
        <w:ind w:firstLine="420"/>
        <w:textAlignment w:val="auto"/>
        <w:rPr>
          <w:rFonts w:ascii="Times New Roman" w:hAnsi="Times New Roman" w:eastAsia="宋体" w:cs="Times New Roman"/>
          <w:color w:val="auto"/>
          <w:sz w:val="21"/>
          <w:szCs w:val="24"/>
          <w:highlight w:val="none"/>
        </w:rPr>
        <w:sectPr>
          <w:pgSz w:w="11907" w:h="16840"/>
          <w:pgMar w:top="1440" w:right="1366" w:bottom="1440" w:left="1423" w:header="794" w:footer="794" w:gutter="0"/>
          <w:cols w:space="720" w:num="1"/>
          <w:docGrid w:linePitch="286" w:charSpace="0"/>
        </w:sectPr>
      </w:pPr>
    </w:p>
    <w:p>
      <w:pPr>
        <w:pStyle w:val="2"/>
        <w:rPr>
          <w:color w:val="auto"/>
        </w:rPr>
      </w:pPr>
    </w:p>
    <w:p>
      <w:pPr>
        <w:widowControl w:val="0"/>
        <w:numPr>
          <w:ilvl w:val="0"/>
          <w:numId w:val="2"/>
        </w:numPr>
        <w:spacing w:line="240" w:lineRule="auto"/>
        <w:ind w:firstLine="0" w:firstLineChars="0"/>
        <w:jc w:val="center"/>
        <w:rPr>
          <w:rFonts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项目评审说明</w:t>
      </w:r>
    </w:p>
    <w:p>
      <w:pPr>
        <w:tabs>
          <w:tab w:val="left" w:pos="945"/>
        </w:tabs>
        <w:ind w:firstLine="482"/>
        <w:rPr>
          <w:rFonts w:ascii="宋体" w:hAnsi="宋体" w:eastAsia="宋体" w:cs="Times New Roman"/>
          <w:b/>
          <w:color w:val="auto"/>
          <w:sz w:val="24"/>
          <w:szCs w:val="24"/>
        </w:rPr>
      </w:pPr>
      <w:bookmarkStart w:id="0" w:name="_Toc152045600"/>
      <w:bookmarkStart w:id="1" w:name="_Toc246996243"/>
      <w:bookmarkStart w:id="2" w:name="_Toc247085758"/>
      <w:bookmarkStart w:id="3" w:name="_Toc179632618"/>
      <w:bookmarkStart w:id="4" w:name="_Toc144974567"/>
      <w:bookmarkStart w:id="5" w:name="_Toc373501036"/>
      <w:bookmarkStart w:id="6" w:name="_Toc28179"/>
      <w:bookmarkStart w:id="7" w:name="_Toc246996986"/>
      <w:bookmarkStart w:id="8" w:name="_Toc152042377"/>
      <w:r>
        <w:rPr>
          <w:rFonts w:hint="eastAsia" w:ascii="宋体" w:hAnsi="宋体" w:eastAsia="宋体" w:cs="Times New Roman"/>
          <w:b/>
          <w:color w:val="auto"/>
          <w:sz w:val="24"/>
          <w:szCs w:val="24"/>
        </w:rPr>
        <w:t>一、评审方法</w:t>
      </w:r>
      <w:bookmarkEnd w:id="0"/>
      <w:bookmarkEnd w:id="1"/>
      <w:bookmarkEnd w:id="2"/>
      <w:bookmarkEnd w:id="3"/>
      <w:bookmarkEnd w:id="4"/>
      <w:bookmarkEnd w:id="5"/>
      <w:bookmarkEnd w:id="6"/>
      <w:bookmarkEnd w:id="7"/>
      <w:bookmarkEnd w:id="8"/>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本项目采用综合评审法。</w:t>
      </w:r>
    </w:p>
    <w:p>
      <w:pPr>
        <w:tabs>
          <w:tab w:val="left" w:pos="945"/>
        </w:tabs>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二、评委及监督人员</w:t>
      </w:r>
    </w:p>
    <w:p>
      <w:pPr>
        <w:adjustRightInd w:val="0"/>
        <w:snapToGrid w:val="0"/>
        <w:ind w:firstLine="480"/>
        <w:jc w:val="left"/>
        <w:rPr>
          <w:rFonts w:ascii="宋体" w:hAnsi="宋体" w:eastAsia="宋体" w:cs="Times New Roman"/>
          <w:bCs/>
          <w:color w:val="auto"/>
          <w:sz w:val="24"/>
          <w:szCs w:val="24"/>
        </w:rPr>
      </w:pPr>
      <w:r>
        <w:rPr>
          <w:rFonts w:hint="eastAsia" w:ascii="宋体" w:hAnsi="宋体" w:eastAsia="宋体" w:cs="Times New Roman"/>
          <w:color w:val="auto"/>
          <w:sz w:val="24"/>
          <w:szCs w:val="24"/>
        </w:rPr>
        <w:t>本项目评审委员会由海口江东新区管理局各部门代表共5人组成，江</w:t>
      </w:r>
      <w:r>
        <w:rPr>
          <w:rFonts w:hint="eastAsia" w:ascii="宋体" w:hAnsi="宋体" w:eastAsia="宋体" w:cs="Times New Roman"/>
          <w:bCs/>
          <w:color w:val="auto"/>
          <w:sz w:val="24"/>
          <w:szCs w:val="24"/>
        </w:rPr>
        <w:t>东新区管理局纪检监察人员为项目开标评审全过程监督人员。</w:t>
      </w:r>
    </w:p>
    <w:p>
      <w:pPr>
        <w:tabs>
          <w:tab w:val="left" w:pos="945"/>
        </w:tabs>
        <w:ind w:firstLine="482"/>
        <w:rPr>
          <w:rFonts w:ascii="宋体" w:hAnsi="宋体" w:eastAsia="宋体" w:cs="Times New Roman"/>
          <w:b/>
          <w:color w:val="auto"/>
          <w:sz w:val="24"/>
          <w:szCs w:val="24"/>
        </w:rPr>
      </w:pPr>
      <w:bookmarkStart w:id="9" w:name="_Toc373501037"/>
      <w:bookmarkStart w:id="10" w:name="_Toc247085759"/>
      <w:bookmarkStart w:id="11" w:name="_Toc152045601"/>
      <w:bookmarkStart w:id="12" w:name="_Toc246996987"/>
      <w:bookmarkStart w:id="13" w:name="_Toc152042378"/>
      <w:bookmarkStart w:id="14" w:name="_Toc246996244"/>
      <w:bookmarkStart w:id="15" w:name="_Toc32424"/>
      <w:bookmarkStart w:id="16" w:name="_Toc144974568"/>
      <w:bookmarkStart w:id="17" w:name="_Toc179632619"/>
      <w:r>
        <w:rPr>
          <w:rFonts w:hint="eastAsia" w:ascii="宋体" w:hAnsi="宋体" w:eastAsia="宋体" w:cs="Times New Roman"/>
          <w:b/>
          <w:color w:val="auto"/>
          <w:sz w:val="24"/>
          <w:szCs w:val="24"/>
        </w:rPr>
        <w:t>三、项目评审</w:t>
      </w:r>
      <w:bookmarkEnd w:id="9"/>
      <w:bookmarkEnd w:id="10"/>
      <w:bookmarkEnd w:id="11"/>
      <w:bookmarkEnd w:id="12"/>
      <w:bookmarkEnd w:id="13"/>
      <w:bookmarkEnd w:id="14"/>
      <w:bookmarkEnd w:id="15"/>
      <w:bookmarkEnd w:id="16"/>
      <w:bookmarkEnd w:id="17"/>
      <w:r>
        <w:rPr>
          <w:rFonts w:hint="eastAsia" w:ascii="宋体" w:hAnsi="宋体" w:eastAsia="宋体" w:cs="Times New Roman"/>
          <w:b/>
          <w:color w:val="auto"/>
          <w:sz w:val="24"/>
          <w:szCs w:val="24"/>
        </w:rPr>
        <w:t>说明</w:t>
      </w:r>
    </w:p>
    <w:p>
      <w:pPr>
        <w:autoSpaceDE w:val="0"/>
        <w:autoSpaceDN w:val="0"/>
        <w:adjustRightInd w:val="0"/>
        <w:ind w:firstLine="480"/>
        <w:jc w:val="left"/>
        <w:rPr>
          <w:rFonts w:ascii="宋体" w:hAnsi="宋体" w:eastAsia="宋体" w:cs="Times New Roman"/>
          <w:color w:val="auto"/>
          <w:sz w:val="24"/>
          <w:szCs w:val="24"/>
        </w:rPr>
      </w:pPr>
      <w:bookmarkStart w:id="18" w:name="_Toc152042379"/>
      <w:bookmarkStart w:id="19" w:name="_Toc247085760"/>
      <w:bookmarkStart w:id="20" w:name="_Toc11114"/>
      <w:bookmarkStart w:id="21" w:name="_Toc246996988"/>
      <w:bookmarkStart w:id="22" w:name="_Toc373501038"/>
      <w:bookmarkStart w:id="23" w:name="_Toc144974569"/>
      <w:bookmarkStart w:id="24" w:name="_Toc152045602"/>
      <w:bookmarkStart w:id="25" w:name="_Toc246996245"/>
      <w:bookmarkStart w:id="26" w:name="_Toc179632620"/>
      <w:r>
        <w:rPr>
          <w:rFonts w:hint="eastAsia" w:ascii="宋体" w:hAnsi="宋体" w:eastAsia="宋体" w:cs="Times New Roman"/>
          <w:color w:val="auto"/>
          <w:sz w:val="24"/>
          <w:szCs w:val="24"/>
        </w:rPr>
        <w:t>（一）初步评审标准</w:t>
      </w:r>
      <w:bookmarkEnd w:id="18"/>
      <w:bookmarkEnd w:id="19"/>
      <w:bookmarkEnd w:id="20"/>
      <w:bookmarkEnd w:id="21"/>
      <w:bookmarkEnd w:id="22"/>
      <w:bookmarkEnd w:id="23"/>
      <w:bookmarkEnd w:id="24"/>
      <w:bookmarkEnd w:id="25"/>
      <w:bookmarkEnd w:id="26"/>
    </w:p>
    <w:p>
      <w:pPr>
        <w:adjustRightInd w:val="0"/>
        <w:snapToGrid w:val="0"/>
        <w:ind w:firstLine="480"/>
        <w:jc w:val="left"/>
        <w:rPr>
          <w:rFonts w:ascii="宋体" w:hAnsi="宋体" w:eastAsia="宋体" w:cs="Times New Roman"/>
          <w:bCs/>
          <w:color w:val="auto"/>
          <w:sz w:val="24"/>
          <w:szCs w:val="24"/>
        </w:rPr>
      </w:pPr>
      <w:bookmarkStart w:id="27" w:name="_Toc144974570"/>
      <w:bookmarkStart w:id="28" w:name="_Toc247085761"/>
      <w:bookmarkStart w:id="29" w:name="_Toc26575"/>
      <w:bookmarkStart w:id="30" w:name="_Toc373501039"/>
      <w:bookmarkStart w:id="31" w:name="_Toc152045603"/>
      <w:bookmarkStart w:id="32" w:name="_Toc246996989"/>
      <w:bookmarkStart w:id="33" w:name="_Toc179632621"/>
      <w:bookmarkStart w:id="34" w:name="_Toc246996246"/>
      <w:bookmarkStart w:id="35" w:name="_Toc152042380"/>
      <w:r>
        <w:rPr>
          <w:rFonts w:hint="eastAsia" w:ascii="宋体" w:hAnsi="宋体" w:eastAsia="宋体" w:cs="Times New Roman"/>
          <w:bCs/>
          <w:color w:val="auto"/>
          <w:sz w:val="24"/>
          <w:szCs w:val="24"/>
        </w:rPr>
        <w:t>评审委员会将对比选单位提交的响应资料进行初步审查，初步评审的内容如附表1所示，初步评审中的资格评审如附表2所示，未通过初步审查的比选单位将以废标处理。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w:t>
      </w:r>
      <w:bookmarkEnd w:id="27"/>
      <w:bookmarkEnd w:id="28"/>
      <w:bookmarkEnd w:id="29"/>
      <w:bookmarkEnd w:id="30"/>
      <w:bookmarkEnd w:id="31"/>
      <w:bookmarkEnd w:id="32"/>
      <w:bookmarkEnd w:id="33"/>
      <w:bookmarkEnd w:id="34"/>
      <w:bookmarkEnd w:id="35"/>
      <w:r>
        <w:rPr>
          <w:rFonts w:hint="eastAsia" w:ascii="宋体" w:hAnsi="宋体" w:eastAsia="宋体" w:cs="Times New Roman"/>
          <w:color w:val="auto"/>
          <w:sz w:val="24"/>
          <w:szCs w:val="24"/>
        </w:rPr>
        <w:t>商务评审、技术评审及价格评审</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1.分值构成</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本项目总分100分，其中商务评审40分，技术评审40分，报价评审2</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（1）商务评审因素及分值分配如附表</w:t>
      </w:r>
      <w:r>
        <w:rPr>
          <w:rFonts w:ascii="宋体" w:hAnsi="宋体" w:eastAsia="宋体" w:cs="Times New Roman"/>
          <w:color w:val="auto"/>
          <w:sz w:val="24"/>
          <w:szCs w:val="24"/>
        </w:rPr>
        <w:t>3</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（2）技术评审因素及分值分配见附表</w:t>
      </w:r>
      <w:r>
        <w:rPr>
          <w:rFonts w:ascii="宋体" w:hAnsi="宋体" w:eastAsia="宋体" w:cs="Times New Roman"/>
          <w:color w:val="auto"/>
          <w:sz w:val="24"/>
          <w:szCs w:val="24"/>
        </w:rPr>
        <w:t>4</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（3）价格评审因素及分值分配如附表</w:t>
      </w:r>
      <w:r>
        <w:rPr>
          <w:rFonts w:ascii="宋体" w:hAnsi="宋体" w:eastAsia="宋体" w:cs="Times New Roman"/>
          <w:color w:val="auto"/>
          <w:sz w:val="24"/>
          <w:szCs w:val="24"/>
        </w:rPr>
        <w:t>5</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w:t>
      </w:r>
      <w:r>
        <w:rPr>
          <w:rFonts w:hint="eastAsia" w:ascii="宋体" w:hAnsi="宋体" w:eastAsia="宋体" w:cs="Times New Roman"/>
          <w:color w:val="auto"/>
          <w:sz w:val="24"/>
          <w:szCs w:val="24"/>
        </w:rPr>
        <w:t>评审程序</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通过初步评审的比选单位，评审委员会将按照附表3、附表4、附表5的标准对其进行打分，并计算出综合总分。</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（1）按附表3规定的评审因素和分值对商务评分计算出得分A；</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（2）按附表4规定的评审因素和分值对技术评分计算出得分B；</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（3）按附表5规定的评审因素和分值对报价计算出得分C；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（4）评分分值计算保留小数点后两位，小数点后第三位“四舍五入”；</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（5）比选单位得分=A+B+C；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评审委员会发现比选单位的报价明显低于其他单位报价，使得其报价可能低于其个别成本的，应当要求该比选单位作出书面说明并提供相应的证明材料。比选单位不能合理说明或者不能提供相应证明材料的，评审委员会应当认定该比选单位以低于成本报价竞标，否决其报价。</w:t>
      </w:r>
    </w:p>
    <w:p>
      <w:pPr>
        <w:tabs>
          <w:tab w:val="left" w:pos="540"/>
          <w:tab w:val="left" w:pos="945"/>
        </w:tabs>
        <w:ind w:firstLine="480"/>
        <w:rPr>
          <w:rFonts w:ascii="宋体" w:hAnsi="宋体" w:eastAsia="宋体" w:cs="Times New Roman"/>
          <w:bCs/>
          <w:color w:val="auto"/>
          <w:sz w:val="24"/>
          <w:szCs w:val="24"/>
        </w:rPr>
      </w:pP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最终排序</w:t>
      </w:r>
    </w:p>
    <w:p>
      <w:pPr>
        <w:autoSpaceDE w:val="0"/>
        <w:autoSpaceDN w:val="0"/>
        <w:adjustRightInd w:val="0"/>
        <w:ind w:firstLine="480"/>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5名评委对比选单位进行独立打分，比选单位的最终得分为5名评委打分的算术平均值。按最终得分由高至低排出各有效比选单位的名次，最终得分相等时，以报价低的优先；报价也相等时，由评审委员会自行确定。</w:t>
      </w:r>
    </w:p>
    <w:p>
      <w:pPr>
        <w:tabs>
          <w:tab w:val="left" w:pos="945"/>
        </w:tabs>
        <w:ind w:firstLine="482"/>
        <w:rPr>
          <w:rFonts w:ascii="Times New Roman" w:hAnsi="Times New Roman" w:eastAsia="宋体" w:cs="Times New Roman"/>
          <w:b/>
          <w:color w:val="auto"/>
          <w:sz w:val="24"/>
          <w:szCs w:val="24"/>
        </w:rPr>
      </w:pPr>
      <w:r>
        <w:rPr>
          <w:rFonts w:hint="eastAsia" w:ascii="宋体" w:hAnsi="宋体" w:eastAsia="宋体" w:cs="Times New Roman"/>
          <w:b/>
          <w:color w:val="auto"/>
          <w:sz w:val="24"/>
          <w:szCs w:val="24"/>
        </w:rPr>
        <w:t>四、成交</w:t>
      </w:r>
      <w:r>
        <w:rPr>
          <w:rFonts w:hint="eastAsia" w:ascii="Times New Roman" w:hAnsi="Times New Roman" w:eastAsia="宋体" w:cs="Times New Roman"/>
          <w:b/>
          <w:bCs/>
          <w:color w:val="auto"/>
          <w:sz w:val="24"/>
          <w:szCs w:val="24"/>
        </w:rPr>
        <w:t>候选人</w:t>
      </w:r>
    </w:p>
    <w:p>
      <w:pPr>
        <w:widowControl w:val="0"/>
        <w:adjustRightInd w:val="0"/>
        <w:snapToGrid w:val="0"/>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评审委员会按本评审办法规定作出的评审结果排序并出具经评审委员会全体成员签字的评审报告，推荐不多于3名成交候选人。最终得分最高</w:t>
      </w:r>
      <w:r>
        <w:rPr>
          <w:rFonts w:hint="eastAsia" w:ascii="宋体" w:hAnsi="宋体" w:eastAsia="宋体" w:cs="Times New Roman"/>
          <w:color w:val="auto"/>
          <w:sz w:val="24"/>
          <w:szCs w:val="24"/>
        </w:rPr>
        <w:t>的为第一成交候选人，最终得分次高的为第二成交候选人，以此类推。</w:t>
      </w:r>
    </w:p>
    <w:p>
      <w:pPr>
        <w:widowControl w:val="0"/>
        <w:adjustRightInd w:val="0"/>
        <w:snapToGrid w:val="0"/>
        <w:ind w:firstLine="0" w:firstLineChars="0"/>
        <w:rPr>
          <w:rFonts w:ascii="宋体" w:hAnsi="宋体" w:eastAsia="宋体" w:cs="Times New Roman"/>
          <w:color w:val="auto"/>
          <w:sz w:val="24"/>
          <w:szCs w:val="24"/>
        </w:rPr>
      </w:pPr>
    </w:p>
    <w:p>
      <w:pPr>
        <w:pageBreakBefore/>
        <w:widowControl w:val="0"/>
        <w:ind w:firstLine="422"/>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附表1：</w:t>
      </w:r>
    </w:p>
    <w:p>
      <w:pPr>
        <w:widowControl w:val="0"/>
        <w:ind w:firstLine="482"/>
        <w:rPr>
          <w:rFonts w:ascii="Times New Roman" w:hAnsi="Times New Roman" w:eastAsia="宋体" w:cs="Times New Roman"/>
          <w:b/>
          <w:color w:val="auto"/>
          <w:sz w:val="24"/>
          <w:szCs w:val="24"/>
        </w:rPr>
      </w:pPr>
    </w:p>
    <w:p>
      <w:pPr>
        <w:widowControl w:val="0"/>
        <w:ind w:firstLine="482"/>
        <w:jc w:val="center"/>
        <w:rPr>
          <w:rFonts w:ascii="Times New Roman" w:hAnsi="Times New Roman" w:eastAsia="宋体" w:cs="Times New Roman"/>
          <w:b/>
          <w:color w:val="auto"/>
          <w:sz w:val="28"/>
          <w:szCs w:val="24"/>
        </w:rPr>
      </w:pPr>
      <w:r>
        <w:rPr>
          <w:rFonts w:hint="eastAsia" w:ascii="宋体" w:hAnsi="宋体" w:eastAsia="宋体" w:cs="宋体"/>
          <w:b/>
          <w:color w:val="auto"/>
          <w:sz w:val="24"/>
          <w:szCs w:val="24"/>
        </w:rPr>
        <w:t>初步审查表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3173"/>
        <w:gridCol w:w="2910"/>
        <w:gridCol w:w="15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序号</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w:t>
            </w:r>
            <w:r>
              <w:rPr>
                <w:rFonts w:ascii="宋体" w:hAnsi="宋体" w:eastAsia="宋体" w:cs="Times New Roman"/>
                <w:color w:val="auto"/>
                <w:sz w:val="21"/>
                <w:szCs w:val="21"/>
              </w:rPr>
              <w:t>内容</w:t>
            </w:r>
          </w:p>
        </w:tc>
        <w:tc>
          <w:tcPr>
            <w:tcW w:w="2910"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评审合格标准</w:t>
            </w:r>
          </w:p>
        </w:tc>
        <w:tc>
          <w:tcPr>
            <w:tcW w:w="1505"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是否合格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39"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3173"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响应文件有效性</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响应文件齐全、格式符合采购文件要求，盖公章、签字有效。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报价</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报价价格是固定价且未超过本项目最高限价。</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3</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响应文件有效期</w:t>
            </w:r>
          </w:p>
        </w:tc>
        <w:tc>
          <w:tcPr>
            <w:tcW w:w="2910" w:type="dxa"/>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响应文件截止日起90天内有效。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法定代表人身份证明书、授权委托书、委托人及受托人身份证复印件</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资格审查</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按采购文件的要求提交资格证明材料并符合要求。</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其他</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不存在采购文件及相关法律法规规定的废标情形的。</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结论</w:t>
            </w:r>
          </w:p>
        </w:tc>
        <w:tc>
          <w:tcPr>
            <w:tcW w:w="3173" w:type="dxa"/>
            <w:vAlign w:val="center"/>
          </w:tcPr>
          <w:p>
            <w:pPr>
              <w:widowControl w:val="0"/>
              <w:ind w:firstLine="0" w:firstLineChars="0"/>
              <w:jc w:val="center"/>
              <w:rPr>
                <w:rFonts w:ascii="宋体" w:hAnsi="宋体" w:eastAsia="宋体" w:cs="Times New Roman"/>
                <w:color w:val="auto"/>
                <w:sz w:val="21"/>
                <w:szCs w:val="21"/>
              </w:rPr>
            </w:pPr>
          </w:p>
        </w:tc>
        <w:tc>
          <w:tcPr>
            <w:tcW w:w="2910" w:type="dxa"/>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22" w:type="dxa"/>
            <w:gridSpan w:val="3"/>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bl>
    <w:p>
      <w:pPr>
        <w:widowControl w:val="0"/>
        <w:ind w:firstLine="420"/>
        <w:rPr>
          <w:rFonts w:ascii="宋体" w:hAnsi="宋体" w:eastAsia="宋体" w:cs="Times New Roman"/>
          <w:color w:val="auto"/>
          <w:sz w:val="21"/>
          <w:szCs w:val="21"/>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pStyle w:val="2"/>
        <w:ind w:firstLine="643"/>
        <w:rPr>
          <w:color w:val="auto"/>
        </w:rPr>
      </w:pPr>
    </w:p>
    <w:p>
      <w:pPr>
        <w:widowControl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附表2</w:t>
      </w:r>
      <w:r>
        <w:rPr>
          <w:rFonts w:ascii="宋体" w:hAnsi="宋体" w:eastAsia="宋体" w:cs="Times New Roman"/>
          <w:b/>
          <w:bCs/>
          <w:color w:val="auto"/>
          <w:sz w:val="24"/>
          <w:szCs w:val="24"/>
        </w:rPr>
        <w:t>:</w:t>
      </w:r>
    </w:p>
    <w:p>
      <w:pPr>
        <w:widowControl w:val="0"/>
        <w:ind w:firstLine="438"/>
        <w:jc w:val="center"/>
        <w:rPr>
          <w:rFonts w:ascii="宋体" w:hAnsi="宋体" w:eastAsia="宋体" w:cs="方正小标宋简体"/>
          <w:b/>
          <w:bCs/>
          <w:color w:val="auto"/>
          <w:spacing w:val="-11"/>
          <w:sz w:val="24"/>
          <w:szCs w:val="24"/>
        </w:rPr>
      </w:pPr>
      <w:bookmarkStart w:id="36" w:name="_Toc18471"/>
      <w:bookmarkStart w:id="37" w:name="_Toc30288"/>
      <w:r>
        <w:rPr>
          <w:rFonts w:ascii="宋体" w:hAnsi="宋体" w:eastAsia="宋体" w:cs="方正小标宋简体"/>
          <w:b/>
          <w:bCs/>
          <w:color w:val="auto"/>
          <w:spacing w:val="-11"/>
          <w:sz w:val="24"/>
          <w:szCs w:val="24"/>
        </w:rPr>
        <w:t>资格审查表</w:t>
      </w:r>
      <w:bookmarkEnd w:id="36"/>
      <w:bookmarkEnd w:id="37"/>
    </w:p>
    <w:tbl>
      <w:tblPr>
        <w:tblStyle w:val="2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87"/>
        <w:gridCol w:w="412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bookmarkStart w:id="38" w:name="_Hlk47298222"/>
            <w:r>
              <w:rPr>
                <w:rFonts w:ascii="宋体" w:hAnsi="宋体" w:eastAsia="宋体" w:cs="Times New Roman"/>
                <w:b/>
                <w:color w:val="auto"/>
                <w:sz w:val="21"/>
                <w:szCs w:val="21"/>
              </w:rPr>
              <w:t>序号</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ascii="宋体" w:hAnsi="宋体" w:eastAsia="宋体" w:cs="Times New Roman"/>
                <w:b/>
                <w:color w:val="auto"/>
                <w:sz w:val="21"/>
                <w:szCs w:val="21"/>
              </w:rPr>
              <w:t>评审内容</w:t>
            </w:r>
          </w:p>
        </w:tc>
        <w:tc>
          <w:tcPr>
            <w:tcW w:w="4124"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评审合格标准</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1</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供应商名称</w:t>
            </w:r>
          </w:p>
        </w:tc>
        <w:tc>
          <w:tcPr>
            <w:tcW w:w="4124" w:type="dxa"/>
          </w:tcPr>
          <w:p>
            <w:pPr>
              <w:widowControl w:val="0"/>
              <w:snapToGrid w:val="0"/>
              <w:ind w:firstLine="0" w:firstLineChars="0"/>
              <w:rPr>
                <w:rFonts w:ascii="宋体" w:hAnsi="宋体" w:eastAsia="宋体" w:cs="Times New Roman"/>
                <w:b/>
                <w:color w:val="auto"/>
                <w:sz w:val="21"/>
                <w:szCs w:val="21"/>
              </w:rPr>
            </w:pPr>
            <w:r>
              <w:rPr>
                <w:rFonts w:hint="eastAsia" w:ascii="宋体" w:hAnsi="宋体" w:eastAsia="宋体" w:cs="Times New Roman"/>
                <w:color w:val="auto"/>
                <w:sz w:val="21"/>
                <w:szCs w:val="21"/>
              </w:rPr>
              <w:t>与比选报名、营业执照一致（符合法定工商变更程序除外）。</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具有独立承担民事责任的能力</w:t>
            </w:r>
          </w:p>
        </w:tc>
        <w:tc>
          <w:tcPr>
            <w:tcW w:w="4124" w:type="dxa"/>
          </w:tcPr>
          <w:p>
            <w:pPr>
              <w:widowControl w:val="0"/>
              <w:snapToGrid w:val="0"/>
              <w:ind w:firstLine="0" w:firstLineChars="0"/>
              <w:rPr>
                <w:rFonts w:ascii="宋体" w:hAnsi="宋体" w:eastAsia="宋体" w:cs="Times New Roman"/>
                <w:color w:val="auto"/>
                <w:sz w:val="21"/>
                <w:szCs w:val="21"/>
              </w:rPr>
            </w:pPr>
            <w:r>
              <w:rPr>
                <w:rFonts w:ascii="宋体" w:hAnsi="宋体" w:eastAsia="宋体" w:cs="Times New Roman"/>
                <w:color w:val="auto"/>
                <w:sz w:val="21"/>
                <w:szCs w:val="21"/>
              </w:rPr>
              <w:t>提供了</w:t>
            </w:r>
            <w:r>
              <w:rPr>
                <w:rFonts w:hint="eastAsia" w:ascii="宋体" w:hAnsi="宋体" w:eastAsia="宋体" w:cs="Times New Roman"/>
                <w:color w:val="auto"/>
                <w:sz w:val="21"/>
                <w:szCs w:val="21"/>
              </w:rPr>
              <w:t>有效的</w:t>
            </w:r>
            <w:r>
              <w:rPr>
                <w:rFonts w:ascii="宋体" w:hAnsi="宋体" w:eastAsia="宋体" w:cs="宋体"/>
                <w:color w:val="auto"/>
                <w:sz w:val="21"/>
                <w:szCs w:val="21"/>
              </w:rPr>
              <w:t>法人或者其他组织的营业执照等证明文件，自然人的身份证明</w:t>
            </w:r>
            <w:r>
              <w:rPr>
                <w:rFonts w:hint="eastAsia" w:ascii="宋体" w:hAnsi="宋体" w:eastAsia="宋体" w:cs="宋体"/>
                <w:color w:val="auto"/>
                <w:sz w:val="21"/>
                <w:szCs w:val="21"/>
              </w:rPr>
              <w:t>。</w:t>
            </w:r>
            <w:r>
              <w:rPr>
                <w:rFonts w:ascii="宋体" w:hAnsi="宋体" w:eastAsia="宋体" w:cs="宋体"/>
                <w:color w:val="auto"/>
                <w:sz w:val="21"/>
                <w:szCs w:val="21"/>
              </w:rPr>
              <w:t>（如是分支机构，须取得其总公司授权</w:t>
            </w:r>
            <w:r>
              <w:rPr>
                <w:rFonts w:hint="eastAsia" w:ascii="宋体" w:hAnsi="宋体" w:eastAsia="宋体" w:cs="宋体"/>
                <w:color w:val="auto"/>
                <w:sz w:val="21"/>
                <w:szCs w:val="21"/>
              </w:rPr>
              <w:t>。</w:t>
            </w:r>
            <w:r>
              <w:rPr>
                <w:rFonts w:ascii="宋体" w:hAnsi="宋体" w:eastAsia="宋体" w:cs="宋体"/>
                <w:color w:val="auto"/>
                <w:sz w:val="21"/>
                <w:szCs w:val="21"/>
              </w:rPr>
              <w:t>）</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ascii="宋体" w:hAnsi="宋体" w:eastAsia="宋体" w:cs="Times New Roman"/>
                <w:color w:val="auto"/>
                <w:sz w:val="21"/>
                <w:szCs w:val="21"/>
              </w:rPr>
              <w:t>3</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有依法缴纳税收和社会保障资金的良好记录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1.提供202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年至响应文件提交截止日任意1个月的纳税凭证（银行出具的纳税凭证或税务机关出具的证明的复印件，并加盖本单位公章）或免税证明。</w:t>
            </w:r>
          </w:p>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2.提供202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年至响应文件提交截止日任意1个月的社会保障资金缴纳记录（专用收据或社会保险缴纳清单）或免缴纳证明。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健全的财务会计制度</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年度经审计的财务审计报告或</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年度财务报表（含资产负债表、利润表、现金流量表）。</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参加政府采购活动前三年内，在经营活动中没有重大违法记录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提供有效的参加政府采购活动前3年内在经营活动中没有重大违法记录的书面声明。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“信用中国”网站和“中国政府采购网”查询记录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Times New Roman"/>
                <w:color w:val="auto"/>
                <w:sz w:val="21"/>
                <w:szCs w:val="21"/>
              </w:rPr>
              <w:t>www.creditchina.gov.cn）中列入失信被执行人和</w:t>
            </w:r>
            <w:r>
              <w:rPr>
                <w:rFonts w:hint="eastAsia" w:ascii="宋体" w:hAnsi="宋体" w:eastAsia="宋体" w:cs="Times New Roman"/>
                <w:color w:val="auto"/>
                <w:sz w:val="21"/>
                <w:szCs w:val="21"/>
              </w:rPr>
              <w:fldChar w:fldCharType="end"/>
            </w:r>
            <w:r>
              <w:rPr>
                <w:rFonts w:hint="eastAsia" w:ascii="宋体" w:hAnsi="宋体" w:eastAsia="宋体" w:cs="Times New Roman"/>
                <w:color w:val="auto"/>
                <w:sz w:val="21"/>
                <w:szCs w:val="21"/>
              </w:rPr>
              <w:t>重大税收违法案件当事人名单、未被中国政府采购网（www.ccgp.gov.cn）列入政府采购严重违法失信行为记录名单。</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结论</w:t>
            </w:r>
          </w:p>
        </w:tc>
        <w:tc>
          <w:tcPr>
            <w:tcW w:w="4124" w:type="dxa"/>
          </w:tcPr>
          <w:p>
            <w:pPr>
              <w:widowControl w:val="0"/>
              <w:snapToGrid w:val="0"/>
              <w:ind w:firstLine="0" w:firstLineChars="0"/>
              <w:jc w:val="center"/>
              <w:rPr>
                <w:rFonts w:ascii="宋体" w:hAnsi="宋体" w:eastAsia="宋体" w:cs="Times New Roman"/>
                <w:color w:val="auto"/>
                <w:sz w:val="21"/>
                <w:szCs w:val="21"/>
              </w:rPr>
            </w:pP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bookmarkEnd w:id="38"/>
    </w:tbl>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附表3:</w:t>
      </w:r>
    </w:p>
    <w:p>
      <w:pPr>
        <w:widowControl w:val="0"/>
        <w:ind w:firstLine="420"/>
        <w:rPr>
          <w:rFonts w:ascii="Times New Roman" w:hAnsi="Times New Roman" w:eastAsia="宋体" w:cs="Times New Roman"/>
          <w:color w:val="auto"/>
          <w:sz w:val="21"/>
          <w:szCs w:val="24"/>
        </w:rPr>
      </w:pPr>
    </w:p>
    <w:p>
      <w:pPr>
        <w:widowControl w:val="0"/>
        <w:ind w:firstLine="438"/>
        <w:jc w:val="center"/>
        <w:rPr>
          <w:rFonts w:ascii="宋体" w:hAnsi="宋体" w:eastAsia="宋体" w:cs="方正小标宋简体"/>
          <w:b/>
          <w:bCs/>
          <w:color w:val="auto"/>
          <w:spacing w:val="-11"/>
          <w:sz w:val="24"/>
          <w:szCs w:val="24"/>
        </w:rPr>
      </w:pPr>
      <w:bookmarkStart w:id="39" w:name="_Toc410631198"/>
      <w:bookmarkStart w:id="40" w:name="_Toc5632"/>
      <w:bookmarkStart w:id="41" w:name="_Toc414446034"/>
      <w:bookmarkStart w:id="42" w:name="_Toc25550"/>
      <w:r>
        <w:rPr>
          <w:rFonts w:ascii="宋体" w:hAnsi="宋体" w:eastAsia="宋体" w:cs="方正小标宋简体"/>
          <w:b/>
          <w:bCs/>
          <w:color w:val="auto"/>
          <w:spacing w:val="-11"/>
          <w:sz w:val="24"/>
          <w:szCs w:val="24"/>
        </w:rPr>
        <w:t>商务评审因素及分值分配表</w:t>
      </w:r>
      <w:bookmarkEnd w:id="39"/>
      <w:bookmarkEnd w:id="40"/>
      <w:bookmarkEnd w:id="41"/>
      <w:bookmarkEnd w:id="42"/>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58"/>
        <w:gridCol w:w="1130"/>
        <w:gridCol w:w="497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Align w:val="center"/>
          </w:tcPr>
          <w:p>
            <w:pPr>
              <w:widowControl w:val="0"/>
              <w:ind w:firstLine="0" w:firstLineChars="0"/>
              <w:jc w:val="center"/>
              <w:rPr>
                <w:rFonts w:ascii="宋体" w:hAnsi="宋体" w:eastAsia="宋体" w:cs="Times New Roman"/>
                <w:b/>
                <w:bCs/>
                <w:color w:val="auto"/>
                <w:sz w:val="24"/>
                <w:szCs w:val="24"/>
                <w:highlight w:val="none"/>
              </w:rPr>
            </w:pPr>
            <w:bookmarkStart w:id="43" w:name="_Hlk47298294"/>
            <w:r>
              <w:rPr>
                <w:rFonts w:ascii="宋体" w:hAnsi="宋体" w:eastAsia="宋体" w:cs="Times New Roman"/>
                <w:b/>
                <w:bCs/>
                <w:color w:val="auto"/>
                <w:sz w:val="24"/>
                <w:szCs w:val="24"/>
                <w:highlight w:val="none"/>
              </w:rPr>
              <w:t>序号</w:t>
            </w:r>
          </w:p>
        </w:tc>
        <w:tc>
          <w:tcPr>
            <w:tcW w:w="904"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评审内容</w:t>
            </w:r>
          </w:p>
        </w:tc>
        <w:tc>
          <w:tcPr>
            <w:tcW w:w="616"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标准分</w:t>
            </w:r>
          </w:p>
        </w:tc>
        <w:tc>
          <w:tcPr>
            <w:tcW w:w="271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  审  标  准</w:t>
            </w:r>
          </w:p>
        </w:tc>
        <w:tc>
          <w:tcPr>
            <w:tcW w:w="39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项目负责人个人专业能力</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rPr>
              <w:t>课题组负责人具有</w:t>
            </w:r>
            <w:r>
              <w:rPr>
                <w:rFonts w:hint="eastAsia" w:ascii="Times New Roman" w:hAnsi="Times New Roman" w:eastAsia="宋体" w:cs="Times New Roman"/>
                <w:color w:val="auto"/>
                <w:sz w:val="21"/>
                <w:szCs w:val="24"/>
                <w:highlight w:val="none"/>
                <w:lang w:val="en-US" w:eastAsia="zh-CN"/>
              </w:rPr>
              <w:t>正</w:t>
            </w:r>
            <w:r>
              <w:rPr>
                <w:rFonts w:hint="eastAsia" w:ascii="Times New Roman" w:hAnsi="Times New Roman" w:eastAsia="宋体" w:cs="Times New Roman"/>
                <w:color w:val="auto"/>
                <w:sz w:val="21"/>
                <w:szCs w:val="24"/>
                <w:highlight w:val="none"/>
              </w:rPr>
              <w:t>高级职称</w:t>
            </w:r>
            <w:r>
              <w:rPr>
                <w:rFonts w:hint="eastAsia" w:ascii="Times New Roman" w:hAnsi="Times New Roman" w:eastAsia="宋体" w:cs="Times New Roman"/>
                <w:color w:val="auto"/>
                <w:sz w:val="21"/>
                <w:szCs w:val="24"/>
                <w:highlight w:val="none"/>
                <w:lang w:val="en-US" w:eastAsia="zh-CN"/>
              </w:rPr>
              <w:t>得3分</w:t>
            </w: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 w:val="21"/>
                <w:szCs w:val="24"/>
                <w:highlight w:val="none"/>
                <w:lang w:val="en-US" w:eastAsia="zh-CN"/>
              </w:rPr>
              <w:t>高级职称得1分，其他不加分。</w:t>
            </w:r>
            <w:r>
              <w:rPr>
                <w:rFonts w:hint="eastAsia" w:ascii="Times New Roman" w:hAnsi="Times New Roman" w:eastAsia="宋体" w:cs="Times New Roman"/>
                <w:color w:val="auto"/>
                <w:sz w:val="21"/>
                <w:szCs w:val="24"/>
                <w:highlight w:val="none"/>
              </w:rPr>
              <w:t>项目负责人</w:t>
            </w:r>
            <w:r>
              <w:rPr>
                <w:rFonts w:hint="eastAsia" w:ascii="Times New Roman" w:hAnsi="Times New Roman" w:eastAsia="宋体" w:cs="Times New Roman"/>
                <w:color w:val="auto"/>
                <w:sz w:val="21"/>
                <w:szCs w:val="24"/>
                <w:highlight w:val="none"/>
                <w:lang w:val="en-US" w:eastAsia="zh-CN"/>
              </w:rPr>
              <w:t>作为相关规划课题或者地方产业研究的负责人的业绩，一个业绩得1分，本项最高得5分。</w:t>
            </w:r>
          </w:p>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证明材料：提供项目负责人个人</w:t>
            </w:r>
            <w:r>
              <w:rPr>
                <w:rFonts w:hint="eastAsia" w:ascii="Times New Roman" w:hAnsi="Times New Roman" w:eastAsia="宋体" w:cs="Times New Roman"/>
                <w:color w:val="auto"/>
                <w:sz w:val="21"/>
                <w:szCs w:val="24"/>
                <w:highlight w:val="none"/>
                <w:lang w:eastAsia="zh-CN"/>
              </w:rPr>
              <w:t>职称</w:t>
            </w:r>
            <w:r>
              <w:rPr>
                <w:rFonts w:hint="eastAsia" w:ascii="Times New Roman" w:hAnsi="Times New Roman" w:eastAsia="宋体" w:cs="Times New Roman"/>
                <w:color w:val="auto"/>
                <w:sz w:val="21"/>
                <w:szCs w:val="24"/>
                <w:highlight w:val="none"/>
              </w:rPr>
              <w:t>、学历证明、工作业绩合同关键页</w:t>
            </w:r>
            <w:r>
              <w:rPr>
                <w:rFonts w:hint="eastAsia" w:ascii="Times New Roman" w:hAnsi="Times New Roman" w:eastAsia="宋体" w:cs="Times New Roman"/>
                <w:color w:val="auto"/>
                <w:sz w:val="21"/>
                <w:szCs w:val="24"/>
                <w:highlight w:val="none"/>
                <w:lang w:val="en-US" w:eastAsia="zh-CN"/>
              </w:rPr>
              <w:t>等</w:t>
            </w:r>
            <w:r>
              <w:rPr>
                <w:rFonts w:hint="eastAsia" w:ascii="Times New Roman" w:hAnsi="Times New Roman" w:eastAsia="宋体" w:cs="Times New Roman"/>
                <w:color w:val="auto"/>
                <w:sz w:val="21"/>
                <w:szCs w:val="24"/>
                <w:highlight w:val="none"/>
              </w:rPr>
              <w:t>复印件，提供的材料须体现本项目负责人姓名。</w:t>
            </w:r>
          </w:p>
          <w:p>
            <w:pPr>
              <w:widowControl w:val="0"/>
              <w:spacing w:line="240" w:lineRule="auto"/>
              <w:ind w:firstLine="0" w:firstLineChars="0"/>
              <w:rPr>
                <w:rFonts w:ascii="Times New Roman" w:hAnsi="Times New Roman" w:eastAsia="宋体" w:cs="Times New Roman"/>
                <w:color w:val="auto"/>
                <w:sz w:val="21"/>
                <w:szCs w:val="24"/>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响应单位业绩</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w:t>24</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响应单位在报名截止日前三年内</w:t>
            </w:r>
            <w:r>
              <w:rPr>
                <w:rFonts w:hint="default" w:ascii="Times New Roman" w:hAnsi="Times New Roman" w:eastAsia="宋体" w:cs="Times New Roman"/>
                <w:color w:val="auto"/>
                <w:sz w:val="21"/>
                <w:szCs w:val="24"/>
                <w:highlight w:val="none"/>
                <w:shd w:val="clear" w:color="auto" w:fill="auto"/>
              </w:rPr>
              <w:t>承担过相关规划（概念性规划或产业规划）的课题研究</w:t>
            </w:r>
            <w:r>
              <w:rPr>
                <w:rFonts w:hint="eastAsia" w:ascii="Times New Roman" w:hAnsi="Times New Roman" w:eastAsia="宋体" w:cs="Times New Roman"/>
                <w:color w:val="auto"/>
                <w:sz w:val="21"/>
                <w:szCs w:val="24"/>
                <w:highlight w:val="none"/>
              </w:rPr>
              <w:t>，每提供一个得</w:t>
            </w:r>
            <w:r>
              <w:rPr>
                <w:rFonts w:hint="eastAsia" w:ascii="Times New Roman" w:hAnsi="Times New Roman" w:eastAsia="宋体" w:cs="Times New Roman"/>
                <w:color w:val="auto"/>
                <w:sz w:val="21"/>
                <w:szCs w:val="24"/>
                <w:highlight w:val="none"/>
                <w:lang w:val="en-US" w:eastAsia="zh-CN"/>
              </w:rPr>
              <w:t>3</w:t>
            </w:r>
            <w:r>
              <w:rPr>
                <w:rFonts w:hint="eastAsia" w:ascii="Times New Roman" w:hAnsi="Times New Roman" w:eastAsia="宋体" w:cs="Times New Roman"/>
                <w:color w:val="auto"/>
                <w:sz w:val="21"/>
                <w:szCs w:val="24"/>
                <w:highlight w:val="none"/>
              </w:rPr>
              <w:t>分，本项满分24分。</w:t>
            </w:r>
          </w:p>
          <w:p>
            <w:pPr>
              <w:widowControl w:val="0"/>
              <w:spacing w:line="240" w:lineRule="auto"/>
              <w:ind w:firstLine="0" w:firstLineChars="0"/>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证明材料：提供相关项目合同（首页、签字盖章页）或中标通知书</w:t>
            </w:r>
            <w:r>
              <w:rPr>
                <w:rFonts w:hint="eastAsia" w:ascii="Times New Roman" w:hAnsi="Times New Roman" w:eastAsia="宋体" w:cs="Times New Roman"/>
                <w:color w:val="auto"/>
                <w:sz w:val="21"/>
                <w:szCs w:val="24"/>
                <w:highlight w:val="none"/>
                <w:lang w:val="en-US" w:eastAsia="zh-CN"/>
              </w:rPr>
              <w:t>等</w:t>
            </w:r>
            <w:r>
              <w:rPr>
                <w:rFonts w:hint="eastAsia" w:ascii="Times New Roman" w:hAnsi="Times New Roman" w:eastAsia="宋体" w:cs="Times New Roman"/>
                <w:color w:val="auto"/>
                <w:sz w:val="21"/>
                <w:szCs w:val="24"/>
                <w:highlight w:val="none"/>
              </w:rPr>
              <w:t>复印件，提供的材料须体现本项目负责人姓名。</w:t>
            </w: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hint="eastAsia" w:ascii="宋体" w:hAnsi="宋体"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4"/>
                <w:highlight w:val="none"/>
              </w:rPr>
              <w:t>项目其他团队成员</w:t>
            </w:r>
            <w:r>
              <w:rPr>
                <w:rFonts w:hint="eastAsia" w:ascii="Times New Roman" w:hAnsi="Times New Roman" w:eastAsia="宋体" w:cs="Times New Roman"/>
                <w:color w:val="auto"/>
                <w:sz w:val="21"/>
                <w:szCs w:val="24"/>
                <w:highlight w:val="none"/>
                <w:lang w:val="en-US" w:eastAsia="zh-CN"/>
              </w:rPr>
              <w:t>资质</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shd w:val="clear" w:color="auto" w:fill="auto"/>
              </w:rPr>
            </w:pPr>
            <w:r>
              <w:rPr>
                <w:rFonts w:hint="eastAsia" w:ascii="Times New Roman" w:hAnsi="Times New Roman" w:eastAsia="宋体" w:cs="Times New Roman"/>
                <w:color w:val="auto"/>
                <w:sz w:val="21"/>
                <w:szCs w:val="24"/>
                <w:highlight w:val="none"/>
                <w:shd w:val="clear" w:color="auto" w:fill="auto"/>
              </w:rPr>
              <w:t>项目其他团队成员资质</w:t>
            </w:r>
            <w:r>
              <w:rPr>
                <w:rFonts w:hint="eastAsia" w:ascii="Times New Roman" w:hAnsi="Times New Roman" w:eastAsia="宋体" w:cs="Times New Roman"/>
                <w:color w:val="auto"/>
                <w:sz w:val="21"/>
                <w:szCs w:val="24"/>
                <w:highlight w:val="none"/>
                <w:shd w:val="clear" w:color="auto" w:fill="auto"/>
                <w:lang w:val="en-US" w:eastAsia="zh-CN"/>
              </w:rPr>
              <w:t>8</w:t>
            </w:r>
            <w:r>
              <w:rPr>
                <w:rFonts w:hint="eastAsia" w:ascii="Times New Roman" w:hAnsi="Times New Roman" w:eastAsia="宋体" w:cs="Times New Roman"/>
                <w:color w:val="auto"/>
                <w:sz w:val="21"/>
                <w:szCs w:val="24"/>
                <w:highlight w:val="none"/>
                <w:shd w:val="clear" w:color="auto" w:fill="auto"/>
              </w:rPr>
              <w:t>分</w:t>
            </w:r>
            <w:r>
              <w:rPr>
                <w:rFonts w:hint="eastAsia" w:ascii="Times New Roman" w:hAnsi="Times New Roman" w:eastAsia="宋体" w:cs="Times New Roman"/>
                <w:color w:val="auto"/>
                <w:sz w:val="21"/>
                <w:szCs w:val="24"/>
                <w:highlight w:val="none"/>
                <w:shd w:val="clear" w:color="auto" w:fill="auto"/>
                <w:lang w:eastAsia="zh-CN"/>
              </w:rPr>
              <w:t>。</w:t>
            </w:r>
            <w:r>
              <w:rPr>
                <w:rFonts w:hint="eastAsia" w:ascii="Times New Roman" w:hAnsi="Times New Roman" w:eastAsia="宋体" w:cs="Times New Roman"/>
                <w:color w:val="auto"/>
                <w:sz w:val="21"/>
                <w:szCs w:val="24"/>
                <w:highlight w:val="none"/>
                <w:shd w:val="clear" w:color="auto" w:fill="auto"/>
                <w:lang w:val="en-US" w:eastAsia="zh-CN"/>
              </w:rPr>
              <w:t>成员中具有高级及以上技术职称资格不少于3人，超出3人部分每增加1人得2分；</w:t>
            </w:r>
          </w:p>
          <w:p>
            <w:pPr>
              <w:widowControl w:val="0"/>
              <w:spacing w:line="240" w:lineRule="auto"/>
              <w:ind w:firstLine="0" w:firstLineChars="0"/>
              <w:rPr>
                <w:color w:val="auto"/>
                <w:sz w:val="28"/>
                <w:szCs w:val="36"/>
              </w:rPr>
            </w:pPr>
            <w:r>
              <w:rPr>
                <w:rFonts w:hint="eastAsia" w:ascii="Times New Roman" w:hAnsi="Times New Roman" w:eastAsia="宋体" w:cs="Times New Roman"/>
                <w:color w:val="auto"/>
                <w:sz w:val="21"/>
                <w:szCs w:val="24"/>
                <w:highlight w:val="none"/>
                <w:shd w:val="clear" w:color="auto" w:fill="auto"/>
              </w:rPr>
              <w:t>证明材料：提供个人</w:t>
            </w:r>
            <w:r>
              <w:rPr>
                <w:rFonts w:hint="eastAsia" w:ascii="Times New Roman" w:hAnsi="Times New Roman" w:eastAsia="宋体" w:cs="Times New Roman"/>
                <w:color w:val="auto"/>
                <w:sz w:val="21"/>
                <w:szCs w:val="24"/>
                <w:highlight w:val="none"/>
                <w:shd w:val="clear" w:color="auto" w:fill="auto"/>
                <w:lang w:val="en-US" w:eastAsia="zh-CN"/>
              </w:rPr>
              <w:t>职称</w:t>
            </w:r>
            <w:r>
              <w:rPr>
                <w:rFonts w:hint="eastAsia" w:ascii="Times New Roman" w:hAnsi="Times New Roman" w:eastAsia="宋体" w:cs="Times New Roman"/>
                <w:color w:val="auto"/>
                <w:sz w:val="21"/>
                <w:szCs w:val="24"/>
                <w:highlight w:val="none"/>
                <w:shd w:val="clear" w:color="auto" w:fill="auto"/>
              </w:rPr>
              <w:t>、学历证明（复印件）。</w:t>
            </w:r>
          </w:p>
          <w:p>
            <w:pPr>
              <w:widowControl w:val="0"/>
              <w:tabs>
                <w:tab w:val="right" w:pos="4178"/>
              </w:tabs>
              <w:spacing w:line="240" w:lineRule="auto"/>
              <w:ind w:firstLine="0" w:firstLineChars="0"/>
              <w:rPr>
                <w:rFonts w:ascii="宋体" w:hAnsi="宋体" w:eastAsia="宋体" w:cs="Times New Roman"/>
                <w:bCs/>
                <w:color w:val="auto"/>
                <w:sz w:val="21"/>
                <w:szCs w:val="21"/>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bookmarkEnd w:id="43"/>
    </w:tbl>
    <w:p>
      <w:pPr>
        <w:pStyle w:val="2"/>
        <w:rPr>
          <w:color w:val="auto"/>
        </w:rPr>
      </w:pPr>
    </w:p>
    <w:p>
      <w:pPr>
        <w:pageBreakBefore/>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附表4：</w:t>
      </w:r>
    </w:p>
    <w:p>
      <w:pPr>
        <w:widowControl w:val="0"/>
        <w:ind w:firstLine="438"/>
        <w:jc w:val="center"/>
        <w:rPr>
          <w:rFonts w:ascii="宋体" w:hAnsi="宋体" w:eastAsia="宋体" w:cs="方正小标宋简体"/>
          <w:b/>
          <w:bCs/>
          <w:color w:val="auto"/>
          <w:spacing w:val="-11"/>
          <w:sz w:val="24"/>
          <w:szCs w:val="24"/>
        </w:rPr>
      </w:pPr>
      <w:r>
        <w:rPr>
          <w:rFonts w:ascii="宋体" w:hAnsi="宋体" w:eastAsia="宋体" w:cs="方正小标宋简体"/>
          <w:b/>
          <w:bCs/>
          <w:color w:val="auto"/>
          <w:spacing w:val="-11"/>
          <w:sz w:val="24"/>
          <w:szCs w:val="24"/>
        </w:rPr>
        <w:t>技术评审因素及分值分配</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17"/>
        <w:gridCol w:w="1270"/>
        <w:gridCol w:w="477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827"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w:t>
            </w:r>
          </w:p>
        </w:tc>
        <w:tc>
          <w:tcPr>
            <w:tcW w:w="69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分值</w:t>
            </w:r>
          </w:p>
        </w:tc>
        <w:tc>
          <w:tcPr>
            <w:tcW w:w="2605"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评分标准</w:t>
            </w:r>
          </w:p>
        </w:tc>
        <w:tc>
          <w:tcPr>
            <w:tcW w:w="51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1543" w:type="dxa"/>
            <w:tcBorders>
              <w:bottom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w:t>
            </w:r>
            <w:r>
              <w:rPr>
                <w:rFonts w:hint="eastAsia" w:ascii="Times New Roman" w:hAnsi="Times New Roman" w:eastAsia="宋体" w:cs="Times New Roman"/>
                <w:color w:val="auto"/>
                <w:sz w:val="21"/>
                <w:szCs w:val="21"/>
                <w:highlight w:val="none"/>
                <w:lang w:eastAsia="zh-CN"/>
              </w:rPr>
              <w:t>江东新区</w:t>
            </w:r>
            <w:r>
              <w:rPr>
                <w:rFonts w:hint="eastAsia" w:ascii="Times New Roman" w:hAnsi="Times New Roman" w:eastAsia="宋体" w:cs="Times New Roman"/>
                <w:color w:val="auto"/>
                <w:sz w:val="21"/>
                <w:szCs w:val="21"/>
                <w:highlight w:val="none"/>
              </w:rPr>
              <w:t>发展优势的理解</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12</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eastAsia="zh-CN"/>
              </w:rPr>
              <w:t>江东新区发展</w:t>
            </w:r>
            <w:r>
              <w:rPr>
                <w:rFonts w:hint="eastAsia" w:ascii="宋体" w:hAnsi="宋体" w:eastAsia="宋体" w:cs="宋体"/>
                <w:color w:val="auto"/>
                <w:sz w:val="21"/>
                <w:szCs w:val="21"/>
                <w:highlight w:val="none"/>
              </w:rPr>
              <w:t>优势的理解程度</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优：能够清晰了解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，并能够清晰展现</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自由贸易港其他地区产业发展的差别</w:t>
            </w:r>
            <w:r>
              <w:rPr>
                <w:rFonts w:hint="eastAsia" w:ascii="宋体" w:hAnsi="宋体" w:eastAsia="宋体" w:cs="宋体"/>
                <w:color w:val="auto"/>
                <w:sz w:val="21"/>
                <w:szCs w:val="21"/>
                <w:highlight w:val="none"/>
              </w:rPr>
              <w:t>的，得</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12</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良：能够较为清晰地了解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，并能够基本了解</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Times New Roman" w:hAnsi="Times New Roman" w:eastAsia="宋体" w:cs="Times New Roman"/>
                <w:color w:val="auto"/>
                <w:sz w:val="21"/>
                <w:szCs w:val="24"/>
                <w:highlight w:val="none"/>
              </w:rPr>
            </w:pPr>
            <w:r>
              <w:rPr>
                <w:rFonts w:hint="eastAsia" w:ascii="宋体" w:hAnsi="宋体" w:eastAsia="宋体" w:cs="宋体"/>
                <w:color w:val="auto"/>
                <w:sz w:val="21"/>
                <w:szCs w:val="21"/>
                <w:highlight w:val="none"/>
              </w:rPr>
              <w:t>差：对</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了解有限的，未能明晰</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优势的，得0-</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tc>
        <w:tc>
          <w:tcPr>
            <w:tcW w:w="512" w:type="pct"/>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对江东新区</w:t>
            </w:r>
            <w:r>
              <w:rPr>
                <w:rFonts w:hint="eastAsia" w:ascii="Times New Roman" w:hAnsi="Times New Roman" w:eastAsia="宋体" w:cs="Times New Roman"/>
                <w:color w:val="auto"/>
                <w:sz w:val="21"/>
                <w:szCs w:val="21"/>
                <w:highlight w:val="none"/>
                <w:lang w:val="en-US" w:eastAsia="zh-CN"/>
              </w:rPr>
              <w:t>CBD起步区南片区功能定位、产业方向和空间布局</w:t>
            </w:r>
            <w:r>
              <w:rPr>
                <w:rFonts w:hint="eastAsia" w:ascii="Times New Roman" w:hAnsi="Times New Roman" w:eastAsia="宋体" w:cs="Times New Roman"/>
                <w:color w:val="auto"/>
                <w:sz w:val="21"/>
                <w:szCs w:val="21"/>
                <w:highlight w:val="none"/>
              </w:rPr>
              <w:t>的初步思路</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hint="eastAsia" w:ascii="宋体" w:hAnsi="宋体"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2</w:t>
            </w:r>
            <w:r>
              <w:rPr>
                <w:rFonts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val="en-US" w:eastAsia="zh-CN"/>
              </w:rPr>
              <w:t>CBD起步区南片区功能定位、产业方向和空间布局的</w:t>
            </w:r>
            <w:r>
              <w:rPr>
                <w:rFonts w:hint="eastAsia" w:ascii="宋体" w:hAnsi="宋体" w:eastAsia="宋体" w:cs="宋体"/>
                <w:color w:val="auto"/>
                <w:sz w:val="21"/>
                <w:szCs w:val="21"/>
                <w:highlight w:val="none"/>
              </w:rPr>
              <w:t>初步思考</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发展逻辑，能够较为合理地初步提出</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16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rPr>
              <w:t>具有一定思考，但与实际情况存有偏离的，得9-1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差：对江东新区</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发展逻辑思考不足，未能提出基本思路见解或提出的初步思路与实际情况差异较大的，得0-</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工作计划与时间安排</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结合工作内容提交的工作计划与时间安排情况</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工作计划方案合理、路径明确的，得</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工作计划方案合理、路径较明确的，得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工作计划方案一般、路径不明确的，得0-</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p>
        </w:tc>
        <w:tc>
          <w:tcPr>
            <w:tcW w:w="1543" w:type="dxa"/>
            <w:vAlign w:val="center"/>
          </w:tcPr>
          <w:p>
            <w:pPr>
              <w:widowControl w:val="0"/>
              <w:spacing w:line="240" w:lineRule="auto"/>
              <w:ind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质量承诺及控制措施</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服务质量承诺完整、保证体系健全、控制措施非常有效得</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服务质量承诺较完整、保证体系较健全、控制措施一般得2分；</w:t>
            </w:r>
          </w:p>
          <w:p>
            <w:pPr>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服务质量承诺完整性较差、保证体系一般、控制措施较差得0-1分。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bl>
    <w:p>
      <w:pPr>
        <w:pStyle w:val="2"/>
        <w:rPr>
          <w:color w:val="auto"/>
        </w:rPr>
      </w:pPr>
    </w:p>
    <w:p>
      <w:pPr>
        <w:pageBreakBefore/>
        <w:ind w:firstLine="482"/>
        <w:jc w:val="left"/>
        <w:rPr>
          <w:rFonts w:ascii="宋体" w:hAnsi="宋体" w:eastAsia="宋体" w:cs="黑体"/>
          <w:b/>
          <w:bCs/>
          <w:color w:val="auto"/>
          <w:kern w:val="0"/>
          <w:sz w:val="24"/>
          <w:szCs w:val="24"/>
        </w:rPr>
      </w:pPr>
      <w:r>
        <w:rPr>
          <w:rFonts w:hint="eastAsia" w:ascii="宋体" w:hAnsi="宋体" w:eastAsia="宋体" w:cs="黑体"/>
          <w:b/>
          <w:bCs/>
          <w:color w:val="auto"/>
          <w:kern w:val="0"/>
          <w:sz w:val="24"/>
          <w:szCs w:val="24"/>
        </w:rPr>
        <w:t>附表5</w:t>
      </w:r>
      <w:r>
        <w:rPr>
          <w:rFonts w:ascii="宋体" w:hAnsi="宋体" w:eastAsia="宋体" w:cs="黑体"/>
          <w:b/>
          <w:bCs/>
          <w:color w:val="auto"/>
          <w:kern w:val="0"/>
          <w:sz w:val="24"/>
          <w:szCs w:val="24"/>
        </w:rPr>
        <w:t>:</w:t>
      </w:r>
    </w:p>
    <w:p>
      <w:pPr>
        <w:widowControl w:val="0"/>
        <w:ind w:firstLine="438"/>
        <w:jc w:val="center"/>
        <w:rPr>
          <w:rFonts w:ascii="宋体" w:hAnsi="宋体" w:eastAsia="宋体" w:cs="方正小标宋简体"/>
          <w:b/>
          <w:bCs/>
          <w:color w:val="auto"/>
          <w:spacing w:val="-11"/>
          <w:sz w:val="24"/>
          <w:szCs w:val="24"/>
        </w:rPr>
      </w:pPr>
      <w:r>
        <w:rPr>
          <w:rFonts w:hint="eastAsia" w:ascii="宋体" w:hAnsi="宋体" w:eastAsia="宋体" w:cs="方正小标宋简体"/>
          <w:b/>
          <w:bCs/>
          <w:color w:val="auto"/>
          <w:spacing w:val="-11"/>
          <w:sz w:val="24"/>
          <w:szCs w:val="24"/>
        </w:rPr>
        <w:t>价格</w:t>
      </w:r>
      <w:r>
        <w:rPr>
          <w:rFonts w:ascii="宋体" w:hAnsi="宋体" w:eastAsia="宋体" w:cs="方正小标宋简体"/>
          <w:b/>
          <w:bCs/>
          <w:color w:val="auto"/>
          <w:spacing w:val="-11"/>
          <w:sz w:val="24"/>
          <w:szCs w:val="24"/>
        </w:rPr>
        <w:t>评审因素及分值分配表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58"/>
        <w:gridCol w:w="1130"/>
        <w:gridCol w:w="497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序号</w:t>
            </w:r>
          </w:p>
        </w:tc>
        <w:tc>
          <w:tcPr>
            <w:tcW w:w="904"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评审内容</w:t>
            </w:r>
          </w:p>
        </w:tc>
        <w:tc>
          <w:tcPr>
            <w:tcW w:w="616" w:type="pct"/>
            <w:vAlign w:val="center"/>
          </w:tcPr>
          <w:p>
            <w:pPr>
              <w:widowControl w:val="0"/>
              <w:ind w:firstLine="0" w:firstLineChars="0"/>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标准分</w:t>
            </w:r>
          </w:p>
        </w:tc>
        <w:tc>
          <w:tcPr>
            <w:tcW w:w="2712"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  审  标  准</w:t>
            </w:r>
          </w:p>
        </w:tc>
        <w:tc>
          <w:tcPr>
            <w:tcW w:w="393"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项目报价</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20分</w:t>
            </w:r>
          </w:p>
        </w:tc>
        <w:tc>
          <w:tcPr>
            <w:tcW w:w="506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价格分采用低价优先法计算，即满足招标文件要求且投标价格最低的投标报价为评标基准价，其价格分为满分。其他供应商的价格分统一按照下列公式计算： </w:t>
            </w:r>
          </w:p>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投标报价得分=(评标基准价／投标报价)×价格分</w:t>
            </w:r>
          </w:p>
        </w:tc>
        <w:tc>
          <w:tcPr>
            <w:tcW w:w="393" w:type="pct"/>
            <w:vAlign w:val="center"/>
          </w:tcPr>
          <w:p>
            <w:pPr>
              <w:widowControl w:val="0"/>
              <w:ind w:firstLine="0" w:firstLineChars="0"/>
              <w:rPr>
                <w:rFonts w:ascii="宋体" w:hAnsi="宋体" w:eastAsia="宋体" w:cs="Times New Roman"/>
                <w:color w:val="auto"/>
                <w:sz w:val="21"/>
                <w:szCs w:val="21"/>
              </w:rPr>
            </w:pPr>
          </w:p>
        </w:tc>
      </w:tr>
    </w:tbl>
    <w:p>
      <w:pPr>
        <w:widowControl w:val="0"/>
        <w:ind w:firstLine="480"/>
        <w:rPr>
          <w:rFonts w:ascii="Times New Roman" w:hAnsi="宋体" w:eastAsia="宋体" w:cs="黑体"/>
          <w:color w:val="auto"/>
          <w:kern w:val="0"/>
          <w:sz w:val="24"/>
          <w:szCs w:val="24"/>
        </w:rPr>
      </w:pPr>
    </w:p>
    <w:p>
      <w:pPr>
        <w:ind w:firstLine="0" w:firstLineChars="0"/>
        <w:jc w:val="left"/>
        <w:rPr>
          <w:rFonts w:ascii="宋体" w:hAnsi="宋体" w:eastAsia="宋体" w:cs="Times New Roman"/>
          <w:b/>
          <w:color w:val="auto"/>
          <w:sz w:val="21"/>
          <w:szCs w:val="21"/>
        </w:rPr>
      </w:pPr>
    </w:p>
    <w:p>
      <w:pPr>
        <w:pageBreakBefore/>
        <w:widowControl w:val="0"/>
        <w:autoSpaceDE w:val="0"/>
        <w:autoSpaceDN w:val="0"/>
        <w:adjustRightInd w:val="0"/>
        <w:ind w:firstLine="723"/>
        <w:jc w:val="center"/>
        <w:rPr>
          <w:rFonts w:ascii="宋体" w:hAnsi="宋体" w:eastAsia="宋体" w:cs="宋体"/>
          <w:b/>
          <w:bCs/>
          <w:color w:val="auto"/>
          <w:sz w:val="36"/>
          <w:szCs w:val="36"/>
        </w:rPr>
      </w:pPr>
      <w:r>
        <w:rPr>
          <w:rFonts w:hint="eastAsia" w:ascii="宋体" w:hAnsi="宋体" w:eastAsia="宋体" w:cs="宋体"/>
          <w:b/>
          <w:bCs/>
          <w:color w:val="auto"/>
          <w:sz w:val="36"/>
          <w:szCs w:val="36"/>
        </w:rPr>
        <w:t>第五章   比选</w:t>
      </w:r>
      <w:r>
        <w:rPr>
          <w:rFonts w:hint="eastAsia" w:ascii="宋体" w:hAnsi="宋体" w:eastAsia="宋体" w:cs="宋体"/>
          <w:b/>
          <w:bCs/>
          <w:color w:val="auto"/>
          <w:kern w:val="0"/>
          <w:sz w:val="36"/>
          <w:szCs w:val="36"/>
        </w:rPr>
        <w:t>响应文件格式</w:t>
      </w: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附件1：响应函</w:t>
      </w:r>
    </w:p>
    <w:p>
      <w:pPr>
        <w:widowControl w:val="0"/>
        <w:adjustRightInd w:val="0"/>
        <w:snapToGrid w:val="0"/>
        <w:ind w:firstLine="480"/>
        <w:rPr>
          <w:rFonts w:ascii="宋体" w:hAnsi="宋体" w:eastAsia="宋体" w:cs="Times New Roman"/>
          <w:color w:val="auto"/>
          <w:sz w:val="24"/>
          <w:szCs w:val="24"/>
          <w:u w:val="single"/>
        </w:rPr>
      </w:pP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u w:val="single"/>
        </w:rPr>
        <w:t>海口江东新区管理局：</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根据贵局</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u w:val="single"/>
          <w:lang w:eastAsia="zh-CN"/>
        </w:rPr>
        <w:t>海口江东新区CBD起步区南片区概念设计方案》（三次采购）</w:t>
      </w:r>
      <w:r>
        <w:rPr>
          <w:rFonts w:hint="eastAsia" w:ascii="宋体" w:hAnsi="宋体" w:eastAsia="宋体" w:cs="Times New Roman"/>
          <w:color w:val="auto"/>
          <w:sz w:val="24"/>
          <w:szCs w:val="24"/>
        </w:rPr>
        <w:t>项目采购文件（以下简称《采购文件》）的要求，</w:t>
      </w:r>
      <w:r>
        <w:rPr>
          <w:rFonts w:hint="eastAsia" w:ascii="宋体" w:hAnsi="宋体" w:eastAsia="宋体" w:cs="Times New Roman"/>
          <w:color w:val="auto"/>
          <w:sz w:val="24"/>
          <w:szCs w:val="24"/>
          <w:u w:val="single"/>
        </w:rPr>
        <w:t xml:space="preserve">       （全名及职衔）</w:t>
      </w:r>
      <w:r>
        <w:rPr>
          <w:rFonts w:hint="eastAsia" w:ascii="宋体" w:hAnsi="宋体" w:eastAsia="宋体" w:cs="Times New Roman"/>
          <w:color w:val="auto"/>
          <w:sz w:val="24"/>
          <w:szCs w:val="24"/>
        </w:rPr>
        <w:t>经正式授权并以（比选单位名称）的名义报价。提交下列响应文件正本1份，副本4份：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3.法定代表人身份证明书；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（1）营业执照（复印件）；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（2）提供202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（3）提供202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（6）未被“信用中国”网站（www.creditchina.gov.cn）中列入失信被执行人和重大税收违法案件当事人名单、未被中国政府采购网（www.ccgp.gov.cn）列入政府采购严重违法失信行为记录名单（提供网站查询截图）；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8.商务评审所需的材料；</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签字代表在此声明并同意：</w:t>
      </w: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rPr>
        <w:t>1.我们愿意遵守采购文件中的各项规定，提供符合采购文件所要求的</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u w:val="single"/>
          <w:lang w:eastAsia="zh-CN"/>
        </w:rPr>
        <w:t>海口江东新区CBD起步区南片区概念设计方案》（三次采购）</w:t>
      </w:r>
      <w:r>
        <w:rPr>
          <w:rFonts w:hint="eastAsia" w:ascii="宋体" w:hAnsi="宋体" w:eastAsia="宋体" w:cs="Times New Roman"/>
          <w:color w:val="auto"/>
          <w:sz w:val="24"/>
          <w:szCs w:val="24"/>
        </w:rPr>
        <w:t>，总价人民币为：。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2.我们同意本响应文件自响应文件接受截止日起90天内有效。如果我们的报价被接受，则直至协议生效时止，本响应文件始终有效。</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3.我们已经详细地阅读了全部比选文件及附件，包括澄清及参考文件（如果有的话），我们完全理解并同意放弃对这方面有不明及误解的权利。</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4.我们同意按贵司的要求提供有关资料，并保证真实性（附承诺函）。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pPr>
        <w:widowControl w:val="0"/>
        <w:adjustRightInd w:val="0"/>
        <w:snapToGrid w:val="0"/>
        <w:ind w:firstLine="480"/>
        <w:rPr>
          <w:rFonts w:ascii="宋体" w:hAnsi="宋体" w:eastAsia="宋体" w:cs="Times New Roman"/>
          <w:color w:val="auto"/>
          <w:sz w:val="24"/>
          <w:szCs w:val="24"/>
        </w:rPr>
      </w:pPr>
    </w:p>
    <w:p>
      <w:pPr>
        <w:keepNext/>
        <w:keepLines/>
        <w:widowControl w:val="0"/>
        <w:ind w:firstLine="643"/>
        <w:outlineLvl w:val="2"/>
        <w:rPr>
          <w:rFonts w:ascii="Times New Roman" w:hAnsi="Times New Roman" w:eastAsia="宋体" w:cs="Times New Roman"/>
          <w:b/>
          <w:bCs/>
          <w:color w:val="auto"/>
          <w:szCs w:val="32"/>
        </w:rPr>
      </w:pPr>
    </w:p>
    <w:p>
      <w:pPr>
        <w:widowControl w:val="0"/>
        <w:ind w:firstLine="420"/>
        <w:rPr>
          <w:rFonts w:ascii="Times New Roman" w:hAnsi="Times New Roman" w:eastAsia="宋体" w:cs="Times New Roman"/>
          <w:color w:val="auto"/>
          <w:sz w:val="21"/>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比选单位（公章）：                          日    期：</w:t>
      </w:r>
    </w:p>
    <w:p>
      <w:pPr>
        <w:widowControl w:val="0"/>
        <w:ind w:firstLine="640"/>
        <w:rPr>
          <w:rFonts w:ascii="宋体" w:hAnsi="宋体" w:eastAsia="宋体" w:cs="Times New Roman"/>
          <w:color w:val="auto"/>
          <w:szCs w:val="32"/>
        </w:rPr>
        <w:sectPr>
          <w:headerReference r:id="rId13" w:type="default"/>
          <w:footerReference r:id="rId14" w:type="default"/>
          <w:pgSz w:w="11906" w:h="16838"/>
          <w:pgMar w:top="1440" w:right="1523" w:bottom="1440" w:left="1423" w:header="851" w:footer="992" w:gutter="0"/>
          <w:cols w:space="720" w:num="1"/>
          <w:docGrid w:linePitch="312" w:charSpace="0"/>
        </w:sectPr>
      </w:pPr>
    </w:p>
    <w:p>
      <w:pPr>
        <w:widowControl w:val="0"/>
        <w:ind w:firstLine="482"/>
        <w:rPr>
          <w:rFonts w:ascii="宋体" w:hAnsi="宋体" w:eastAsia="宋体" w:cs="Times New Roman"/>
          <w:color w:val="auto"/>
          <w:szCs w:val="32"/>
        </w:rPr>
      </w:pPr>
      <w:r>
        <w:rPr>
          <w:rFonts w:hint="eastAsia" w:ascii="宋体" w:hAnsi="宋体" w:eastAsia="宋体" w:cs="Times New Roman"/>
          <w:b/>
          <w:bCs/>
          <w:color w:val="auto"/>
          <w:sz w:val="24"/>
          <w:szCs w:val="24"/>
        </w:rPr>
        <w:t>附件2：报价表</w:t>
      </w:r>
    </w:p>
    <w:p>
      <w:pPr>
        <w:topLinePunct/>
        <w:adjustRightInd w:val="0"/>
        <w:ind w:firstLine="640"/>
        <w:jc w:val="center"/>
        <w:rPr>
          <w:rFonts w:ascii="宋体" w:hAnsi="宋体" w:eastAsia="宋体" w:cs="宋体"/>
          <w:color w:val="auto"/>
          <w:szCs w:val="32"/>
        </w:rPr>
      </w:pPr>
      <w:r>
        <w:rPr>
          <w:rFonts w:hint="eastAsia" w:ascii="宋体" w:hAnsi="宋体" w:eastAsia="宋体" w:cs="宋体"/>
          <w:color w:val="auto"/>
          <w:szCs w:val="32"/>
        </w:rPr>
        <w:t>报价表</w:t>
      </w:r>
    </w:p>
    <w:tbl>
      <w:tblPr>
        <w:tblStyle w:val="2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405" w:type="dxa"/>
            <w:vAlign w:val="center"/>
          </w:tcPr>
          <w:p>
            <w:pPr>
              <w:topLinePunct/>
              <w:spacing w:line="288" w:lineRule="auto"/>
              <w:ind w:left="214" w:leftChars="67" w:right="157" w:rightChars="49" w:firstLine="482"/>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6946" w:type="dxa"/>
            <w:vAlign w:val="center"/>
          </w:tcPr>
          <w:p>
            <w:pPr>
              <w:pStyle w:val="11"/>
              <w:tabs>
                <w:tab w:val="left" w:pos="5580"/>
              </w:tabs>
              <w:topLinePunct/>
              <w:spacing w:before="120" w:line="288" w:lineRule="auto"/>
              <w:ind w:left="96" w:leftChars="30" w:right="96" w:rightChars="30"/>
              <w:rPr>
                <w:rFonts w:hint="eastAsia" w:hAnsi="宋体" w:eastAsia="宋体" w:cs="宋体"/>
                <w:color w:val="auto"/>
                <w:sz w:val="24"/>
                <w:szCs w:val="24"/>
                <w:lang w:eastAsia="zh-CN"/>
              </w:rPr>
            </w:pPr>
            <w:r>
              <w:rPr>
                <w:rFonts w:hint="eastAsia" w:hAnsi="宋体" w:eastAsia="宋体" w:cs="宋体"/>
                <w:color w:val="auto"/>
                <w:sz w:val="24"/>
                <w:szCs w:val="24"/>
                <w:lang w:eastAsia="zh-CN"/>
              </w:rPr>
              <w:t>海口江东新区CBD起步区南片区概念设计方案（三次采购）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响应文件总价</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人民币（小写金额）：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w:t>
            </w:r>
          </w:p>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人民币（大写金额）：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服务期</w:t>
            </w:r>
          </w:p>
        </w:tc>
        <w:tc>
          <w:tcPr>
            <w:tcW w:w="6946" w:type="dxa"/>
            <w:vAlign w:val="center"/>
          </w:tcPr>
          <w:p>
            <w:pPr>
              <w:pStyle w:val="11"/>
              <w:tabs>
                <w:tab w:val="left" w:pos="5580"/>
              </w:tabs>
              <w:topLinePunct/>
              <w:spacing w:before="120" w:line="288" w:lineRule="auto"/>
              <w:ind w:left="96" w:leftChars="30" w:right="96" w:rightChars="30"/>
              <w:rPr>
                <w:rFonts w:hint="default" w:hAnsi="宋体" w:eastAsia="宋体" w:cs="宋体"/>
                <w:color w:val="auto"/>
                <w:sz w:val="24"/>
                <w:szCs w:val="24"/>
                <w:lang w:val="en-US" w:eastAsia="zh-CN"/>
              </w:rPr>
            </w:pPr>
            <w:r>
              <w:rPr>
                <w:rFonts w:hint="eastAsia" w:hAnsi="宋体" w:eastAsia="宋体" w:cs="宋体"/>
                <w:color w:val="auto"/>
                <w:sz w:val="24"/>
                <w:szCs w:val="24"/>
                <w:lang w:val="en-US" w:eastAsia="zh-CN"/>
              </w:rPr>
              <w:t>2022年5月31号前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服务地点</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海口江东新区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2405" w:type="dxa"/>
            <w:vAlign w:val="center"/>
          </w:tcPr>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其他声明</w:t>
            </w:r>
          </w:p>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（如有）</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p>
        </w:tc>
      </w:tr>
    </w:tbl>
    <w:p>
      <w:pPr>
        <w:pStyle w:val="11"/>
        <w:tabs>
          <w:tab w:val="left" w:pos="5580"/>
        </w:tabs>
        <w:topLinePunct/>
        <w:spacing w:before="120"/>
        <w:rPr>
          <w:rFonts w:hAnsi="宋体" w:eastAsia="宋体" w:cs="宋体"/>
          <w:color w:val="auto"/>
          <w:sz w:val="24"/>
        </w:rPr>
      </w:pP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供应商（加盖公章章）：</w:t>
      </w:r>
    </w:p>
    <w:p>
      <w:pPr>
        <w:pStyle w:val="11"/>
        <w:tabs>
          <w:tab w:val="left" w:pos="5580"/>
        </w:tabs>
        <w:topLinePunct/>
        <w:spacing w:before="120"/>
        <w:ind w:firstLine="480"/>
        <w:rPr>
          <w:rFonts w:hAnsi="宋体" w:eastAsia="宋体" w:cs="宋体"/>
          <w:color w:val="auto"/>
          <w:sz w:val="24"/>
          <w:u w:val="single"/>
        </w:rPr>
      </w:pPr>
      <w:r>
        <w:rPr>
          <w:rFonts w:hint="eastAsia" w:hAnsi="宋体" w:eastAsia="宋体" w:cs="宋体"/>
          <w:color w:val="auto"/>
          <w:sz w:val="24"/>
        </w:rPr>
        <w:t>供应商授权代表（签字或盖人名章）：</w:t>
      </w: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日期：</w:t>
      </w: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widowControl w:val="0"/>
        <w:ind w:firstLine="480"/>
        <w:rPr>
          <w:rFonts w:ascii="宋体" w:hAnsi="宋体" w:eastAsia="宋体" w:cs="宋体"/>
          <w:color w:val="auto"/>
          <w:szCs w:val="32"/>
        </w:rPr>
      </w:pPr>
      <w:r>
        <w:rPr>
          <w:rFonts w:hint="eastAsia" w:ascii="宋体" w:hAnsi="宋体" w:eastAsia="宋体" w:cs="宋体"/>
          <w:color w:val="auto"/>
          <w:sz w:val="24"/>
        </w:rPr>
        <w:br w:type="page"/>
      </w:r>
    </w:p>
    <w:p>
      <w:pPr>
        <w:widowControl w:val="0"/>
        <w:ind w:firstLine="482"/>
        <w:rPr>
          <w:rFonts w:ascii="楷体_GB2312" w:hAnsi="Times New Roman" w:eastAsia="楷体_GB2312" w:cs="Times New Roman"/>
          <w:b/>
          <w:color w:val="auto"/>
          <w:sz w:val="24"/>
          <w:szCs w:val="24"/>
        </w:rPr>
      </w:pPr>
      <w:r>
        <w:rPr>
          <w:rFonts w:hint="eastAsia" w:ascii="宋体" w:hAnsi="宋体" w:eastAsia="宋体" w:cs="Times New Roman"/>
          <w:b/>
          <w:bCs/>
          <w:color w:val="auto"/>
          <w:sz w:val="24"/>
          <w:szCs w:val="24"/>
        </w:rPr>
        <w:t>附件3：</w:t>
      </w:r>
    </w:p>
    <w:p>
      <w:pPr>
        <w:widowControl w:val="0"/>
        <w:ind w:firstLine="480"/>
        <w:jc w:val="center"/>
        <w:rPr>
          <w:rFonts w:ascii="楷体_GB2312" w:hAnsi="Times New Roman" w:eastAsia="楷体_GB2312" w:cs="Times New Roman"/>
          <w:color w:val="auto"/>
          <w:sz w:val="24"/>
          <w:szCs w:val="24"/>
        </w:rPr>
      </w:pP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法定代表人身份证明书</w:t>
      </w: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u w:val="single"/>
        </w:rPr>
      </w:pPr>
      <w:r>
        <w:rPr>
          <w:rFonts w:hint="eastAsia" w:ascii="宋体" w:hAnsi="宋体" w:eastAsia="宋体" w:cs="宋体"/>
          <w:color w:val="auto"/>
          <w:sz w:val="24"/>
          <w:szCs w:val="24"/>
        </w:rPr>
        <w:t xml:space="preserve">姓    名：         性别：       年龄：            职务： </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（比选单位名称）  </w:t>
      </w:r>
      <w:r>
        <w:rPr>
          <w:rFonts w:hint="eastAsia" w:ascii="宋体" w:hAnsi="宋体" w:eastAsia="宋体" w:cs="宋体"/>
          <w:color w:val="auto"/>
          <w:sz w:val="24"/>
          <w:szCs w:val="24"/>
        </w:rPr>
        <w:t>的法定代表人。</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特此证明。</w:t>
      </w: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比选单位（公章）：                </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 xml:space="preserve"> 年  月  日 </w:t>
      </w:r>
    </w:p>
    <w:p>
      <w:pPr>
        <w:ind w:firstLine="640"/>
        <w:jc w:val="left"/>
        <w:rPr>
          <w:rFonts w:ascii="宋体" w:hAnsi="宋体" w:eastAsia="宋体" w:cs="宋体"/>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附件4：</w:t>
      </w: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授权委托书</w:t>
      </w:r>
    </w:p>
    <w:p>
      <w:pPr>
        <w:adjustRightInd w:val="0"/>
        <w:snapToGrid w:val="0"/>
        <w:ind w:firstLine="480"/>
        <w:jc w:val="center"/>
        <w:rPr>
          <w:rFonts w:ascii="宋体" w:hAnsi="宋体" w:eastAsia="宋体" w:cs="Arial"/>
          <w:color w:val="auto"/>
          <w:kern w:val="0"/>
          <w:sz w:val="24"/>
          <w:szCs w:val="24"/>
        </w:rPr>
      </w:pPr>
    </w:p>
    <w:p>
      <w:pPr>
        <w:widowControl w:val="0"/>
        <w:ind w:firstLine="480"/>
        <w:jc w:val="left"/>
        <w:rPr>
          <w:rFonts w:ascii="宋体" w:hAnsi="宋体" w:eastAsia="宋体" w:cs="Times New Roman"/>
          <w:color w:val="auto"/>
          <w:sz w:val="24"/>
          <w:szCs w:val="24"/>
          <w:u w:val="single"/>
        </w:rPr>
      </w:pPr>
      <w:r>
        <w:rPr>
          <w:rFonts w:hint="eastAsia" w:ascii="宋体" w:hAnsi="宋体" w:eastAsia="宋体" w:cs="Arial"/>
          <w:color w:val="auto"/>
          <w:kern w:val="0"/>
          <w:sz w:val="24"/>
          <w:szCs w:val="24"/>
          <w:u w:val="single"/>
        </w:rPr>
        <w:t xml:space="preserve">     （比选单位名称）     </w:t>
      </w:r>
      <w:r>
        <w:rPr>
          <w:rFonts w:hint="eastAsia" w:ascii="宋体" w:hAnsi="宋体" w:eastAsia="宋体" w:cs="Arial"/>
          <w:color w:val="auto"/>
          <w:kern w:val="0"/>
          <w:sz w:val="24"/>
          <w:szCs w:val="24"/>
        </w:rPr>
        <w:t>法定代表人授权我司员工全权负责</w:t>
      </w:r>
      <w:r>
        <w:rPr>
          <w:rFonts w:hint="eastAsia" w:ascii="宋体" w:hAnsi="宋体" w:eastAsia="宋体" w:cs="Arial"/>
          <w:color w:val="auto"/>
          <w:kern w:val="0"/>
          <w:sz w:val="24"/>
          <w:szCs w:val="24"/>
          <w:lang w:eastAsia="zh-CN"/>
        </w:rPr>
        <w:t>海口江东新区CBD起步区南片区概念设计方案（三次采购）</w:t>
      </w:r>
      <w:r>
        <w:rPr>
          <w:rFonts w:hint="eastAsia" w:ascii="宋体" w:hAnsi="宋体" w:eastAsia="宋体" w:cs="Arial"/>
          <w:color w:val="auto"/>
          <w:kern w:val="0"/>
          <w:sz w:val="24"/>
          <w:szCs w:val="24"/>
        </w:rPr>
        <w:t>项目的一切相关事宜。本授权书于_______年_____月_____日签字生效，特此声明。</w:t>
      </w:r>
    </w:p>
    <w:p>
      <w:pPr>
        <w:widowControl w:val="0"/>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Arial"/>
          <w:color w:val="auto"/>
          <w:kern w:val="0"/>
          <w:sz w:val="24"/>
          <w:szCs w:val="24"/>
        </w:rPr>
      </w:pPr>
    </w:p>
    <w:p>
      <w:pPr>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比选单位（公章）：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法定代表人签字：</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（或法人章）</w:t>
      </w:r>
    </w:p>
    <w:p>
      <w:pPr>
        <w:widowControl w:val="0"/>
        <w:adjustRightInd w:val="0"/>
        <w:snapToGrid w:val="0"/>
        <w:ind w:firstLine="480"/>
        <w:rPr>
          <w:rFonts w:ascii="宋体" w:hAnsi="宋体" w:eastAsia="宋体" w:cs="Times New Roman"/>
          <w:color w:val="auto"/>
          <w:sz w:val="28"/>
          <w:szCs w:val="28"/>
        </w:rPr>
      </w:pPr>
      <w:r>
        <w:rPr>
          <w:rFonts w:hint="eastAsia" w:ascii="宋体" w:hAnsi="宋体" w:eastAsia="宋体" w:cs="Times New Roman"/>
          <w:color w:val="auto"/>
          <w:sz w:val="24"/>
          <w:szCs w:val="24"/>
        </w:rPr>
        <w:t xml:space="preserve">                                         被授权人签字：</w:t>
      </w:r>
      <w:r>
        <w:rPr>
          <w:rFonts w:hint="eastAsia" w:ascii="宋体" w:hAnsi="宋体" w:eastAsia="宋体" w:cs="Times New Roman"/>
          <w:color w:val="auto"/>
          <w:sz w:val="28"/>
          <w:szCs w:val="28"/>
        </w:rPr>
        <w:t> </w:t>
      </w:r>
      <w:bookmarkStart w:id="44" w:name="_Toc217437902"/>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ind w:firstLine="482"/>
        <w:jc w:val="left"/>
        <w:rPr>
          <w:rFonts w:ascii="宋体" w:hAnsi="宋体" w:eastAsia="宋体" w:cs="Times New Roman"/>
          <w:b/>
          <w:bCs/>
          <w:color w:val="auto"/>
          <w:sz w:val="24"/>
          <w:szCs w:val="24"/>
        </w:rPr>
      </w:pPr>
    </w:p>
    <w:p>
      <w:pPr>
        <w:pageBreakBefore/>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附件5：</w:t>
      </w:r>
    </w:p>
    <w:p>
      <w:pPr>
        <w:widowControl w:val="0"/>
        <w:ind w:firstLine="420"/>
        <w:rPr>
          <w:rFonts w:ascii="Times New Roman" w:hAnsi="Times New Roman" w:eastAsia="宋体" w:cs="Times New Roman"/>
          <w:color w:val="auto"/>
          <w:sz w:val="21"/>
          <w:szCs w:val="24"/>
        </w:rPr>
      </w:pPr>
    </w:p>
    <w:p>
      <w:pPr>
        <w:widowControl w:val="0"/>
        <w:ind w:firstLine="482"/>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承诺函</w:t>
      </w:r>
    </w:p>
    <w:p>
      <w:pPr>
        <w:widowControl w:val="0"/>
        <w:ind w:firstLine="482"/>
        <w:rPr>
          <w:rFonts w:ascii="宋体" w:hAnsi="宋体" w:eastAsia="宋体" w:cs="Times New Roman"/>
          <w:b/>
          <w:bCs/>
          <w:color w:val="auto"/>
          <w:sz w:val="24"/>
          <w:szCs w:val="24"/>
        </w:rPr>
      </w:pP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本公司郑重作以下承诺和声明：</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在本项目的投标过程中，自觉遵守相关法律法规，不提供虚假材料、不参与围标串标、不以其他违法违规行为骗取中标，一旦违背承诺，本公司愿无条件接受采购单位取消中标资格、没收投标保证金、解除合同、拒绝后续投标等处理。</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特此声明。</w:t>
      </w: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承诺人（单位名称）：</w:t>
      </w:r>
    </w:p>
    <w:p>
      <w:pPr>
        <w:widowControl w:val="0"/>
        <w:ind w:firstLine="480"/>
        <w:jc w:val="center"/>
        <w:rPr>
          <w:rFonts w:ascii="Times New Roman" w:hAnsi="Times New Roman" w:eastAsia="宋体" w:cs="Times New Roman"/>
          <w:color w:val="auto"/>
          <w:sz w:val="21"/>
          <w:szCs w:val="24"/>
        </w:rPr>
        <w:sectPr>
          <w:pgSz w:w="11906" w:h="16838"/>
          <w:pgMar w:top="1440" w:right="1366" w:bottom="1440" w:left="1423" w:header="851" w:footer="992" w:gutter="0"/>
          <w:cols w:space="720" w:num="1"/>
          <w:docGrid w:linePitch="312" w:charSpace="0"/>
        </w:sectPr>
      </w:pPr>
      <w:r>
        <w:rPr>
          <w:rFonts w:hint="eastAsia" w:ascii="宋体" w:hAnsi="宋体" w:eastAsia="宋体" w:cs="Arial"/>
          <w:color w:val="auto"/>
          <w:kern w:val="0"/>
          <w:sz w:val="24"/>
          <w:szCs w:val="24"/>
        </w:rPr>
        <w:t>日期：</w:t>
      </w:r>
    </w:p>
    <w:bookmarkEnd w:id="44"/>
    <w:p>
      <w:pPr>
        <w:widowControl w:val="0"/>
        <w:numPr>
          <w:ilvl w:val="0"/>
          <w:numId w:val="3"/>
        </w:numPr>
        <w:spacing w:line="240" w:lineRule="auto"/>
        <w:ind w:firstLine="643" w:firstLineChars="0"/>
        <w:jc w:val="center"/>
        <w:rPr>
          <w:rFonts w:ascii="黑体" w:hAnsi="黑体" w:eastAsia="黑体" w:cs="Times New Roman"/>
          <w:color w:val="auto"/>
          <w:kern w:val="0"/>
          <w:szCs w:val="24"/>
        </w:rPr>
      </w:pPr>
      <w:r>
        <w:rPr>
          <w:rFonts w:hint="eastAsia" w:ascii="宋体" w:hAnsi="宋体" w:eastAsia="宋体" w:cs="Times New Roman"/>
          <w:b/>
          <w:bCs/>
          <w:color w:val="auto"/>
          <w:szCs w:val="32"/>
        </w:rPr>
        <w:t xml:space="preserve">  项目</w:t>
      </w:r>
      <w:r>
        <w:rPr>
          <w:rFonts w:hint="eastAsia" w:ascii="黑体" w:hAnsi="黑体" w:eastAsia="黑体" w:cs="Times New Roman"/>
          <w:color w:val="auto"/>
          <w:kern w:val="0"/>
          <w:szCs w:val="24"/>
        </w:rPr>
        <w:t>合同模板</w:t>
      </w:r>
    </w:p>
    <w:p>
      <w:pPr>
        <w:pStyle w:val="2"/>
      </w:pPr>
    </w:p>
    <w:p>
      <w:pPr>
        <w:widowControl w:val="0"/>
        <w:spacing w:after="120" w:afterLines="50"/>
        <w:ind w:firstLine="482"/>
        <w:rPr>
          <w:rFonts w:ascii="宋体" w:hAnsi="宋体" w:eastAsia="宋体" w:cs="仿宋"/>
          <w:b/>
          <w:bCs/>
          <w:color w:val="auto"/>
          <w:sz w:val="24"/>
          <w:szCs w:val="24"/>
          <w:highlight w:val="none"/>
        </w:rPr>
      </w:pPr>
      <w:bookmarkStart w:id="45" w:name="_Hlk16456413"/>
      <w:r>
        <w:rPr>
          <w:rFonts w:hint="eastAsia" w:ascii="宋体" w:hAnsi="宋体" w:eastAsia="宋体" w:cs="仿宋"/>
          <w:b/>
          <w:bCs/>
          <w:color w:val="auto"/>
          <w:sz w:val="24"/>
          <w:szCs w:val="24"/>
          <w:highlight w:val="none"/>
        </w:rPr>
        <w:t>甲方（委托方）：海口江东新区管理局</w:t>
      </w:r>
    </w:p>
    <w:p>
      <w:pPr>
        <w:widowControl w:val="0"/>
        <w:spacing w:after="120"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乙方（承接方）：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依据《中华人民共和国民法典》和有关法规的规定，甲乙双方经过友好协商，就乙方为甲方提供</w:t>
      </w:r>
      <w:r>
        <w:rPr>
          <w:rFonts w:hint="eastAsia" w:ascii="宋体" w:hAnsi="宋体" w:eastAsia="宋体" w:cs="Times New Roman"/>
          <w:color w:val="auto"/>
          <w:spacing w:val="-4"/>
          <w:kern w:val="0"/>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lang w:eastAsia="zh-CN"/>
        </w:rPr>
        <w:t>项目的</w:t>
      </w:r>
      <w:r>
        <w:rPr>
          <w:rFonts w:hint="eastAsia" w:ascii="宋体" w:hAnsi="宋体" w:eastAsia="宋体" w:cs="Times New Roman"/>
          <w:color w:val="auto"/>
          <w:spacing w:val="-4"/>
          <w:kern w:val="0"/>
          <w:sz w:val="24"/>
          <w:szCs w:val="24"/>
          <w:highlight w:val="none"/>
        </w:rPr>
        <w:t>咨询服务</w:t>
      </w:r>
      <w:r>
        <w:rPr>
          <w:rFonts w:ascii="宋体" w:hAnsi="宋体" w:eastAsia="宋体" w:cs="Times New Roman"/>
          <w:color w:val="auto"/>
          <w:spacing w:val="-4"/>
          <w:kern w:val="0"/>
          <w:sz w:val="24"/>
          <w:szCs w:val="24"/>
          <w:highlight w:val="none"/>
          <w:lang w:val="de-DE"/>
        </w:rPr>
        <w:t>。</w:t>
      </w:r>
      <w:r>
        <w:rPr>
          <w:rFonts w:hint="eastAsia" w:ascii="宋体" w:hAnsi="宋体" w:eastAsia="宋体" w:cs="Times New Roman"/>
          <w:color w:val="auto"/>
          <w:spacing w:val="-4"/>
          <w:kern w:val="0"/>
          <w:sz w:val="24"/>
          <w:szCs w:val="24"/>
          <w:highlight w:val="none"/>
          <w:lang w:val="de-DE"/>
        </w:rPr>
        <w:t>双方达成如下协议，以资共同遵守。</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委托事项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乙方接受甲方委托，</w:t>
      </w:r>
      <w:r>
        <w:rPr>
          <w:rFonts w:hint="eastAsia" w:ascii="宋体" w:hAnsi="宋体" w:eastAsia="宋体" w:cs="Times New Roman"/>
          <w:color w:val="auto"/>
          <w:spacing w:val="-4"/>
          <w:kern w:val="0"/>
          <w:sz w:val="24"/>
          <w:szCs w:val="24"/>
          <w:highlight w:val="none"/>
        </w:rPr>
        <w:t>有偿提供</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的编制工作</w:t>
      </w:r>
      <w:r>
        <w:rPr>
          <w:rFonts w:hint="eastAsia" w:ascii="宋体" w:hAnsi="宋体" w:eastAsia="宋体" w:cs="Times New Roman"/>
          <w:color w:val="auto"/>
          <w:spacing w:val="-4"/>
          <w:kern w:val="0"/>
          <w:sz w:val="24"/>
          <w:szCs w:val="24"/>
          <w:highlight w:val="none"/>
          <w:lang w:val="de-DE"/>
        </w:rPr>
        <w:t>。</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服务内容</w:t>
      </w:r>
    </w:p>
    <w:p>
      <w:pPr>
        <w:widowControl w:val="0"/>
        <w:ind w:firstLine="480"/>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ind w:firstLine="643"/>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起步区的重大战略和整体决策，以“服务协同提升江东新区起步区”为核心，系统梳理片区周边的基础设施和功能服务配套情况，明确CBD起步区南片区的整体功能定位。</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项目工作时间安排</w:t>
      </w:r>
    </w:p>
    <w:p>
      <w:pPr>
        <w:overflowPunct w:val="0"/>
        <w:autoSpaceDE w:val="0"/>
        <w:autoSpaceDN w:val="0"/>
        <w:spacing w:afterLines="50"/>
        <w:ind w:firstLine="464"/>
        <w:jc w:val="left"/>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本项目的交付成果为</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ascii="宋体" w:hAnsi="宋体" w:eastAsia="宋体" w:cs="Times New Roman"/>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rPr>
        <w:t>乙方</w:t>
      </w: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overflowPunct w:val="0"/>
        <w:autoSpaceDE w:val="0"/>
        <w:autoSpaceDN w:val="0"/>
        <w:spacing w:after="120" w:afterLines="50"/>
        <w:ind w:firstLine="464"/>
        <w:jc w:val="left"/>
        <w:rPr>
          <w:rFonts w:hint="eastAsia" w:ascii="宋体" w:hAnsi="宋体" w:eastAsia="宋体" w:cs="Times New Roman"/>
          <w:color w:val="auto"/>
          <w:spacing w:val="-4"/>
          <w:kern w:val="0"/>
          <w:sz w:val="24"/>
          <w:szCs w:val="24"/>
          <w:highlight w:val="none"/>
        </w:rPr>
      </w:pP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w:t>
      </w:r>
    </w:p>
    <w:p>
      <w:pPr>
        <w:widowControl w:val="0"/>
        <w:snapToGrid w:val="0"/>
        <w:spacing w:after="120" w:afterLines="50"/>
        <w:ind w:firstLine="480"/>
        <w:rPr>
          <w:rFonts w:ascii="宋体" w:hAnsi="宋体" w:eastAsia="宋体" w:cs="仿宋"/>
          <w:b/>
          <w:bCs/>
          <w:color w:val="auto"/>
          <w:sz w:val="24"/>
          <w:szCs w:val="24"/>
          <w:highlight w:val="none"/>
        </w:rPr>
      </w:pPr>
      <w:r>
        <w:rPr>
          <w:rFonts w:hint="eastAsia" w:ascii="宋体" w:hAnsi="宋体" w:eastAsia="宋体" w:cs="仿宋"/>
          <w:color w:val="auto"/>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仿宋"/>
          <w:color w:val="auto"/>
          <w:sz w:val="24"/>
          <w:szCs w:val="24"/>
          <w:highlight w:val="none"/>
        </w:rPr>
        <w:t>》编制费用</w:t>
      </w:r>
      <w:r>
        <w:rPr>
          <w:rFonts w:ascii="宋体" w:hAnsi="宋体" w:eastAsia="宋体" w:cs="仿宋"/>
          <w:color w:val="auto"/>
          <w:sz w:val="24"/>
          <w:szCs w:val="24"/>
          <w:highlight w:val="none"/>
        </w:rPr>
        <w:t>（含税）</w:t>
      </w:r>
      <w:r>
        <w:rPr>
          <w:rFonts w:hint="eastAsia" w:ascii="宋体" w:hAnsi="宋体" w:eastAsia="宋体" w:cs="仿宋"/>
          <w:color w:val="auto"/>
          <w:sz w:val="24"/>
          <w:szCs w:val="24"/>
          <w:highlight w:val="none"/>
        </w:rPr>
        <w:t>为</w:t>
      </w:r>
      <w:r>
        <w:rPr>
          <w:rFonts w:ascii="宋体" w:hAnsi="宋体" w:eastAsia="宋体" w:cs="Calibri"/>
          <w:b/>
          <w:color w:val="auto"/>
          <w:sz w:val="24"/>
          <w:szCs w:val="24"/>
          <w:highlight w:val="none"/>
          <w:u w:val="single"/>
        </w:rPr>
        <w:t>¥</w:t>
      </w:r>
      <w:r>
        <w:rPr>
          <w:rFonts w:ascii="宋体" w:hAnsi="宋体" w:eastAsia="宋体" w:cs="仿宋"/>
          <w:b/>
          <w:color w:val="auto"/>
          <w:sz w:val="24"/>
          <w:szCs w:val="24"/>
          <w:highlight w:val="none"/>
          <w:u w:val="single"/>
        </w:rPr>
        <w:t xml:space="preserve">           </w:t>
      </w:r>
      <w:r>
        <w:rPr>
          <w:rFonts w:hint="eastAsia" w:ascii="宋体" w:hAnsi="宋体" w:eastAsia="宋体" w:cs="仿宋"/>
          <w:color w:val="auto"/>
          <w:sz w:val="24"/>
          <w:szCs w:val="24"/>
          <w:highlight w:val="none"/>
        </w:rPr>
        <w:t>元整(大写：</w:t>
      </w:r>
      <w:r>
        <w:rPr>
          <w:rFonts w:hint="eastAsia" w:ascii="宋体" w:hAnsi="宋体" w:eastAsia="宋体" w:cs="仿宋"/>
          <w:b/>
          <w:color w:val="auto"/>
          <w:sz w:val="24"/>
          <w:szCs w:val="24"/>
          <w:highlight w:val="none"/>
          <w:u w:val="single"/>
        </w:rPr>
        <w:t xml:space="preserve">人民币 </w:t>
      </w:r>
      <w:r>
        <w:rPr>
          <w:rFonts w:ascii="宋体" w:hAnsi="宋体" w:eastAsia="宋体" w:cs="仿宋"/>
          <w:b/>
          <w:color w:val="auto"/>
          <w:sz w:val="24"/>
          <w:szCs w:val="24"/>
          <w:highlight w:val="none"/>
          <w:u w:val="single"/>
        </w:rPr>
        <w:t xml:space="preserve">         </w:t>
      </w:r>
      <w:r>
        <w:rPr>
          <w:rFonts w:hint="eastAsia" w:ascii="宋体" w:hAnsi="宋体" w:eastAsia="宋体" w:cs="仿宋"/>
          <w:b/>
          <w:color w:val="auto"/>
          <w:sz w:val="24"/>
          <w:szCs w:val="24"/>
          <w:highlight w:val="none"/>
          <w:u w:val="single"/>
        </w:rPr>
        <w:t>元整</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该费用包含乙方为履行本合同义务而发生的费用，包括但不限于</w:t>
      </w:r>
      <w:r>
        <w:rPr>
          <w:rFonts w:hint="eastAsia" w:ascii="宋体" w:hAnsi="宋体" w:eastAsia="宋体" w:cs="仿宋"/>
          <w:color w:val="auto"/>
          <w:sz w:val="24"/>
          <w:szCs w:val="24"/>
          <w:highlight w:val="none"/>
        </w:rPr>
        <w:t>资料费、差旅费、专家咨询费及与项目服务有关的税费。同时，</w:t>
      </w:r>
      <w:r>
        <w:rPr>
          <w:rFonts w:ascii="宋体" w:hAnsi="宋体" w:eastAsia="宋体" w:cs="仿宋"/>
          <w:color w:val="auto"/>
          <w:sz w:val="24"/>
          <w:szCs w:val="24"/>
          <w:highlight w:val="none"/>
        </w:rPr>
        <w:t>乙方需自行对其派出的服务人员进行管理，如若遭受（或造成）人身损害或财产损失的，由乙方自行承担，与甲方无关。</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编制费用支付进度及方式</w:t>
      </w:r>
    </w:p>
    <w:bookmarkEnd w:id="45"/>
    <w:p>
      <w:pPr>
        <w:widowControl w:val="0"/>
        <w:numPr>
          <w:ilvl w:val="0"/>
          <w:numId w:val="5"/>
        </w:numPr>
        <w:spacing w:afterLines="50"/>
        <w:ind w:firstLine="482" w:firstLineChars="0"/>
        <w:rPr>
          <w:rFonts w:ascii="宋体" w:hAnsi="宋体" w:eastAsia="宋体" w:cs="仿宋"/>
          <w:b/>
          <w:bCs/>
          <w:color w:val="auto"/>
          <w:kern w:val="0"/>
          <w:sz w:val="24"/>
          <w:szCs w:val="24"/>
          <w:highlight w:val="none"/>
        </w:rPr>
      </w:pPr>
      <w:r>
        <w:rPr>
          <w:rFonts w:hint="eastAsia" w:ascii="宋体" w:hAnsi="宋体" w:eastAsia="宋体" w:cs="仿宋"/>
          <w:b/>
          <w:bCs/>
          <w:color w:val="auto"/>
          <w:kern w:val="0"/>
          <w:sz w:val="24"/>
          <w:szCs w:val="24"/>
          <w:highlight w:val="none"/>
        </w:rPr>
        <w:t>支付进度</w:t>
      </w:r>
    </w:p>
    <w:p>
      <w:pPr>
        <w:widowControl w:val="0"/>
        <w:spacing w:afterLines="50"/>
        <w:ind w:firstLine="480"/>
        <w:jc w:val="left"/>
        <w:rPr>
          <w:rFonts w:ascii="宋体" w:hAnsi="宋体" w:eastAsia="宋体" w:cs="仿宋"/>
          <w:color w:val="auto"/>
          <w:sz w:val="24"/>
          <w:szCs w:val="24"/>
          <w:highlight w:val="none"/>
          <w:lang w:val="en-GB"/>
        </w:rPr>
      </w:pPr>
      <w:r>
        <w:rPr>
          <w:rFonts w:ascii="宋体" w:hAnsi="宋体" w:eastAsia="宋体" w:cs="仿宋"/>
          <w:color w:val="auto"/>
          <w:sz w:val="24"/>
          <w:szCs w:val="24"/>
          <w:highlight w:val="none"/>
          <w:lang w:val="en-GB"/>
        </w:rPr>
        <w:t>本合同采用分期付款</w:t>
      </w:r>
    </w:p>
    <w:p>
      <w:pPr>
        <w:ind w:firstLine="480" w:firstLineChars="200"/>
        <w:jc w:val="left"/>
        <w:textAlignment w:val="center"/>
        <w:rPr>
          <w:rFonts w:hint="default" w:ascii="宋体" w:hAnsi="宋体" w:eastAsia="宋体" w:cs="仿宋"/>
          <w:color w:val="auto"/>
          <w:sz w:val="24"/>
          <w:szCs w:val="24"/>
          <w:highlight w:val="none"/>
          <w:lang w:val="en-GB"/>
        </w:rPr>
      </w:pPr>
      <w:r>
        <w:rPr>
          <w:rFonts w:hint="eastAsia" w:ascii="宋体" w:hAnsi="宋体" w:eastAsia="宋体" w:cs="仿宋"/>
          <w:color w:val="auto"/>
          <w:sz w:val="24"/>
          <w:szCs w:val="24"/>
          <w:highlight w:val="none"/>
          <w:lang w:val="en-US" w:eastAsia="zh-CN"/>
        </w:rPr>
        <w:t>1.</w:t>
      </w:r>
      <w:r>
        <w:rPr>
          <w:rFonts w:ascii="宋体" w:hAnsi="宋体" w:eastAsia="宋体" w:cs="仿宋"/>
          <w:color w:val="auto"/>
          <w:sz w:val="24"/>
          <w:szCs w:val="24"/>
          <w:highlight w:val="none"/>
          <w:lang w:val="en-GB"/>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》初步方案</w:t>
      </w:r>
      <w:r>
        <w:rPr>
          <w:rFonts w:ascii="宋体" w:hAnsi="宋体" w:eastAsia="宋体" w:cs="仿宋"/>
          <w:color w:val="auto"/>
          <w:sz w:val="24"/>
          <w:szCs w:val="24"/>
          <w:highlight w:val="none"/>
          <w:lang w:val="en-GB"/>
        </w:rPr>
        <w:t>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2.</w:t>
      </w:r>
      <w:r>
        <w:rPr>
          <w:rFonts w:hint="default" w:ascii="宋体" w:hAnsi="宋体" w:eastAsia="宋体" w:cs="仿宋"/>
          <w:color w:val="auto"/>
          <w:sz w:val="24"/>
          <w:szCs w:val="24"/>
          <w:highlight w:val="none"/>
          <w:lang w:val="en-GB"/>
        </w:rPr>
        <w:t>提交《海口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》完整报告，并经海口江东新区管理局局务会审议通过后</w:t>
      </w:r>
      <w:r>
        <w:rPr>
          <w:rFonts w:ascii="宋体" w:hAnsi="宋体" w:eastAsia="宋体" w:cs="仿宋"/>
          <w:color w:val="auto"/>
          <w:sz w:val="24"/>
          <w:szCs w:val="24"/>
          <w:highlight w:val="none"/>
          <w:lang w:val="en-GB"/>
        </w:rPr>
        <w:t>5个工作日支付合同总价</w:t>
      </w:r>
      <w:r>
        <w:rPr>
          <w:rFonts w:hint="default" w:ascii="宋体" w:hAnsi="宋体" w:eastAsia="宋体" w:cs="仿宋"/>
          <w:color w:val="auto"/>
          <w:sz w:val="24"/>
          <w:szCs w:val="24"/>
          <w:highlight w:val="none"/>
          <w:lang w:val="en-GB" w:eastAsia="zh-CN"/>
        </w:rPr>
        <w:t>40</w:t>
      </w:r>
      <w:r>
        <w:rPr>
          <w:rFonts w:ascii="宋体" w:hAnsi="宋体" w:eastAsia="宋体" w:cs="仿宋"/>
          <w:color w:val="auto"/>
          <w:sz w:val="24"/>
          <w:szCs w:val="24"/>
          <w:highlight w:val="none"/>
          <w:lang w:val="en-GB"/>
        </w:rPr>
        <w:t>%</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GB" w:eastAsia="zh-CN"/>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江东新区CBD起步区南片区概念设计方案》最终报告，并经海口江东新区管理局党委会</w:t>
      </w:r>
      <w:r>
        <w:rPr>
          <w:rFonts w:hint="eastAsia" w:ascii="宋体" w:hAnsi="宋体" w:eastAsia="宋体" w:cs="仿宋"/>
          <w:color w:val="auto"/>
          <w:sz w:val="24"/>
          <w:szCs w:val="24"/>
          <w:highlight w:val="none"/>
          <w:lang w:val="en-GB" w:eastAsia="zh-CN"/>
        </w:rPr>
        <w:t>和</w:t>
      </w:r>
      <w:r>
        <w:rPr>
          <w:rFonts w:hint="eastAsia" w:ascii="宋体" w:hAnsi="宋体" w:eastAsia="宋体" w:cs="仿宋"/>
          <w:color w:val="auto"/>
          <w:sz w:val="24"/>
          <w:szCs w:val="24"/>
          <w:highlight w:val="none"/>
          <w:lang w:val="en-US" w:eastAsia="zh-CN"/>
        </w:rPr>
        <w:t>/</w:t>
      </w:r>
      <w:r>
        <w:rPr>
          <w:rFonts w:hint="default" w:ascii="宋体" w:hAnsi="宋体" w:eastAsia="宋体" w:cs="仿宋"/>
          <w:color w:val="auto"/>
          <w:sz w:val="24"/>
          <w:szCs w:val="24"/>
          <w:highlight w:val="none"/>
          <w:lang w:val="en-GB" w:eastAsia="zh-CN"/>
        </w:rPr>
        <w:t>或市政府审议通过后5个工作日支付合同总价30%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widowControl w:val="0"/>
        <w:spacing w:afterLines="50"/>
        <w:ind w:firstLine="480"/>
        <w:rPr>
          <w:rFonts w:ascii="宋体" w:hAnsi="宋体" w:eastAsia="宋体" w:cs="仿宋"/>
          <w:color w:val="auto"/>
          <w:kern w:val="0"/>
          <w:sz w:val="24"/>
          <w:szCs w:val="24"/>
          <w:highlight w:val="none"/>
        </w:rPr>
      </w:pPr>
      <w:bookmarkStart w:id="46" w:name="_Hlk16456404"/>
      <w:r>
        <w:rPr>
          <w:rFonts w:hint="eastAsia" w:ascii="宋体" w:hAnsi="宋体" w:eastAsia="宋体" w:cs="仿宋"/>
          <w:color w:val="auto"/>
          <w:kern w:val="0"/>
          <w:sz w:val="24"/>
          <w:szCs w:val="24"/>
          <w:highlight w:val="none"/>
          <w:lang w:val="zh-CN"/>
        </w:rPr>
        <w:t>（</w:t>
      </w:r>
      <w:r>
        <w:rPr>
          <w:rFonts w:hint="eastAsia" w:ascii="宋体" w:hAnsi="宋体" w:eastAsia="宋体" w:cs="仿宋"/>
          <w:color w:val="auto"/>
          <w:kern w:val="0"/>
          <w:sz w:val="24"/>
          <w:szCs w:val="24"/>
          <w:highlight w:val="none"/>
        </w:rPr>
        <w:t>二</w:t>
      </w:r>
      <w:r>
        <w:rPr>
          <w:rFonts w:hint="eastAsia" w:ascii="宋体" w:hAnsi="宋体" w:eastAsia="宋体" w:cs="仿宋"/>
          <w:color w:val="auto"/>
          <w:kern w:val="0"/>
          <w:sz w:val="24"/>
          <w:szCs w:val="24"/>
          <w:highlight w:val="none"/>
          <w:lang w:val="zh-CN"/>
        </w:rPr>
        <w:t>）</w:t>
      </w:r>
      <w:bookmarkEnd w:id="46"/>
      <w:bookmarkStart w:id="47" w:name="_Hlk16456394"/>
      <w:r>
        <w:rPr>
          <w:rFonts w:hint="eastAsia" w:ascii="宋体" w:hAnsi="宋体" w:eastAsia="宋体" w:cs="仿宋"/>
          <w:color w:val="auto"/>
          <w:sz w:val="24"/>
          <w:szCs w:val="24"/>
          <w:highlight w:val="none"/>
        </w:rPr>
        <w:t>编制费用</w:t>
      </w:r>
      <w:r>
        <w:rPr>
          <w:rFonts w:hint="eastAsia" w:ascii="宋体" w:hAnsi="宋体" w:eastAsia="宋体" w:cs="仿宋"/>
          <w:color w:val="auto"/>
          <w:kern w:val="0"/>
          <w:sz w:val="24"/>
          <w:szCs w:val="24"/>
          <w:highlight w:val="none"/>
        </w:rPr>
        <w:t>通过银行转账方式转入乙方提供的以下账户，甲方付款前乙方须及时提供有效等额、合法、有效发票给甲方报账，甲方向财政部门提出付款申请后，视为甲方已完成本合同约定的付款义务，财政部门正常审批时间不视为甲方逾期付款，甲方不承担违约责任。</w:t>
      </w:r>
    </w:p>
    <w:bookmarkEnd w:id="47"/>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
          <w:b/>
          <w:bCs/>
          <w:color w:val="auto"/>
          <w:kern w:val="0"/>
          <w:sz w:val="24"/>
          <w:szCs w:val="24"/>
          <w:highlight w:val="none"/>
        </w:rPr>
        <w:t>乙</w:t>
      </w:r>
      <w:r>
        <w:rPr>
          <w:rFonts w:hint="eastAsia" w:ascii="宋体" w:hAnsi="宋体" w:eastAsia="宋体" w:cs="仿宋_GB2312"/>
          <w:b/>
          <w:bCs/>
          <w:color w:val="auto"/>
          <w:kern w:val="0"/>
          <w:sz w:val="24"/>
          <w:szCs w:val="24"/>
          <w:highlight w:val="none"/>
        </w:rPr>
        <w:t>方收款账户信息如下：</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户  名：</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开户行：</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账  号：</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双方权利及义务</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甲方权利及义务</w:t>
      </w:r>
    </w:p>
    <w:p>
      <w:pPr>
        <w:widowControl w:val="0"/>
        <w:numPr>
          <w:ilvl w:val="0"/>
          <w:numId w:val="7"/>
        </w:numPr>
        <w:spacing w:afterLines="50"/>
        <w:ind w:firstLine="480" w:firstLineChars="0"/>
        <w:rPr>
          <w:rFonts w:ascii="宋体" w:hAnsi="宋体" w:eastAsia="宋体" w:cs="仿宋"/>
          <w:color w:val="auto"/>
          <w:sz w:val="24"/>
          <w:szCs w:val="24"/>
          <w:highlight w:val="none"/>
        </w:rPr>
      </w:pPr>
      <w:r>
        <w:rPr>
          <w:rFonts w:ascii="宋体" w:hAnsi="宋体" w:eastAsia="宋体" w:cs="仿宋"/>
          <w:color w:val="auto"/>
          <w:sz w:val="24"/>
          <w:szCs w:val="24"/>
          <w:highlight w:val="none"/>
        </w:rPr>
        <w:t>甲方在合同签订后，积极配合、协助乙方的</w:t>
      </w:r>
      <w:r>
        <w:rPr>
          <w:rFonts w:hint="eastAsia" w:ascii="宋体" w:hAnsi="宋体" w:eastAsia="宋体" w:cs="仿宋"/>
          <w:color w:val="auto"/>
          <w:sz w:val="24"/>
          <w:szCs w:val="24"/>
          <w:highlight w:val="none"/>
        </w:rPr>
        <w:t>服务</w:t>
      </w:r>
      <w:r>
        <w:rPr>
          <w:rFonts w:ascii="宋体" w:hAnsi="宋体" w:eastAsia="宋体" w:cs="仿宋"/>
          <w:color w:val="auto"/>
          <w:sz w:val="24"/>
          <w:szCs w:val="24"/>
          <w:highlight w:val="none"/>
        </w:rPr>
        <w:t>工作，向乙方提供</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所需要的详细的</w:t>
      </w:r>
      <w:r>
        <w:rPr>
          <w:rFonts w:ascii="宋体" w:hAnsi="宋体" w:eastAsia="宋体" w:cs="仿宋"/>
          <w:color w:val="auto"/>
          <w:sz w:val="24"/>
          <w:szCs w:val="24"/>
          <w:highlight w:val="none"/>
        </w:rPr>
        <w:t>文件和资料，并对所提供资料的正确性</w:t>
      </w:r>
      <w:r>
        <w:rPr>
          <w:rFonts w:hint="eastAsia" w:ascii="宋体" w:hAnsi="宋体" w:eastAsia="宋体" w:cs="仿宋"/>
          <w:color w:val="auto"/>
          <w:sz w:val="24"/>
          <w:szCs w:val="24"/>
          <w:highlight w:val="none"/>
        </w:rPr>
        <w:t>、完整性及合法性</w:t>
      </w:r>
      <w:r>
        <w:rPr>
          <w:rFonts w:ascii="宋体" w:hAnsi="宋体" w:eastAsia="宋体" w:cs="仿宋"/>
          <w:color w:val="auto"/>
          <w:sz w:val="24"/>
          <w:szCs w:val="24"/>
          <w:highlight w:val="none"/>
        </w:rPr>
        <w:t>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2.甲方应向乙方阐述对</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编制及具体问题的意见，负责审定</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编制的方向、内容等，审定乙方提出的</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编制的时间、计划等,向乙方询问进展情况及相关内容，并进行过程控制。</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3.甲方</w:t>
      </w:r>
      <w:r>
        <w:rPr>
          <w:rFonts w:ascii="宋体" w:hAnsi="宋体" w:eastAsia="宋体" w:cs="仿宋"/>
          <w:color w:val="auto"/>
          <w:sz w:val="24"/>
          <w:szCs w:val="24"/>
          <w:highlight w:val="none"/>
        </w:rPr>
        <w:t>协助乙方现场踏勘，并</w:t>
      </w:r>
      <w:r>
        <w:rPr>
          <w:rFonts w:hint="eastAsia" w:ascii="宋体" w:hAnsi="宋体" w:eastAsia="宋体" w:cs="仿宋"/>
          <w:color w:val="auto"/>
          <w:sz w:val="24"/>
          <w:szCs w:val="24"/>
          <w:highlight w:val="none"/>
        </w:rPr>
        <w:t>协调</w:t>
      </w:r>
      <w:r>
        <w:rPr>
          <w:rFonts w:ascii="宋体" w:hAnsi="宋体" w:eastAsia="宋体" w:cs="仿宋"/>
          <w:color w:val="auto"/>
          <w:sz w:val="24"/>
          <w:szCs w:val="24"/>
          <w:highlight w:val="none"/>
        </w:rPr>
        <w:t>乙方现场踏勘及各阶段汇报</w:t>
      </w:r>
      <w:r>
        <w:rPr>
          <w:rFonts w:hint="eastAsia" w:ascii="宋体" w:hAnsi="宋体" w:eastAsia="宋体" w:cs="仿宋"/>
          <w:color w:val="auto"/>
          <w:sz w:val="24"/>
          <w:szCs w:val="24"/>
          <w:highlight w:val="none"/>
        </w:rPr>
        <w:t>组织各政府部门相关人员参会</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甲方负责组织相关单位人员参与或协助项目调研。</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w:t>
      </w:r>
      <w:r>
        <w:rPr>
          <w:rFonts w:ascii="宋体" w:hAnsi="宋体" w:eastAsia="宋体" w:cs="仿宋"/>
          <w:color w:val="auto"/>
          <w:sz w:val="24"/>
          <w:szCs w:val="24"/>
          <w:highlight w:val="none"/>
        </w:rPr>
        <w:t>针对乙方所提交</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各阶段</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成果，有权在合理范围内对</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w:t>
      </w:r>
      <w:r>
        <w:rPr>
          <w:rFonts w:hint="eastAsia" w:ascii="宋体" w:hAnsi="宋体" w:eastAsia="宋体" w:cs="仿宋"/>
          <w:color w:val="auto"/>
          <w:sz w:val="24"/>
          <w:szCs w:val="24"/>
          <w:highlight w:val="none"/>
        </w:rPr>
        <w:t>提出</w:t>
      </w:r>
      <w:r>
        <w:rPr>
          <w:rFonts w:ascii="宋体" w:hAnsi="宋体" w:eastAsia="宋体" w:cs="仿宋"/>
          <w:color w:val="auto"/>
          <w:sz w:val="24"/>
          <w:szCs w:val="24"/>
          <w:highlight w:val="none"/>
        </w:rPr>
        <w:t>修改完善</w:t>
      </w:r>
      <w:r>
        <w:rPr>
          <w:rFonts w:hint="eastAsia" w:ascii="宋体" w:hAnsi="宋体" w:eastAsia="宋体" w:cs="仿宋"/>
          <w:color w:val="auto"/>
          <w:sz w:val="24"/>
          <w:szCs w:val="24"/>
          <w:highlight w:val="none"/>
        </w:rPr>
        <w:t>的要求、建议及意见</w:t>
      </w:r>
      <w:r>
        <w:rPr>
          <w:rFonts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.按本合同约定向乙方足额支付编制费用。</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乙方权利及义务</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负责按相关规范标准，</w:t>
      </w:r>
      <w:r>
        <w:rPr>
          <w:rFonts w:hint="eastAsia" w:ascii="宋体" w:hAnsi="宋体" w:eastAsia="宋体" w:cs="仿宋"/>
          <w:color w:val="auto"/>
          <w:sz w:val="24"/>
          <w:szCs w:val="24"/>
          <w:highlight w:val="none"/>
        </w:rPr>
        <w:t>按照本合同要求针对服务</w:t>
      </w:r>
      <w:r>
        <w:rPr>
          <w:rFonts w:ascii="宋体" w:hAnsi="宋体" w:eastAsia="宋体" w:cs="仿宋"/>
          <w:color w:val="auto"/>
          <w:sz w:val="24"/>
          <w:szCs w:val="24"/>
          <w:highlight w:val="none"/>
        </w:rPr>
        <w:t>范围和内容编制方案</w:t>
      </w:r>
      <w:r>
        <w:rPr>
          <w:rFonts w:hint="eastAsia"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ascii="宋体" w:hAnsi="宋体" w:eastAsia="宋体" w:cs="仿宋"/>
          <w:color w:val="auto"/>
          <w:sz w:val="24"/>
          <w:szCs w:val="24"/>
          <w:highlight w:val="none"/>
        </w:rPr>
        <w:t>全面负责</w:t>
      </w:r>
      <w:r>
        <w:rPr>
          <w:rFonts w:hint="eastAsia" w:ascii="宋体" w:hAnsi="宋体" w:eastAsia="宋体" w:cs="仿宋"/>
          <w:color w:val="auto"/>
          <w:sz w:val="24"/>
          <w:szCs w:val="24"/>
          <w:highlight w:val="none"/>
          <w:lang w:eastAsia="zh-CN"/>
        </w:rPr>
        <w:t>方案</w:t>
      </w:r>
      <w:r>
        <w:rPr>
          <w:rFonts w:ascii="宋体" w:hAnsi="宋体" w:eastAsia="宋体" w:cs="仿宋"/>
          <w:color w:val="auto"/>
          <w:sz w:val="24"/>
          <w:szCs w:val="24"/>
          <w:highlight w:val="none"/>
        </w:rPr>
        <w:t>的编制工作，在约定的时间内进场调查、踏勘，负责进行各种调研，收集各种文件和资料，未经甲方同意不得变更工作内容；按合同约定时间提交各阶段成果，并对</w:t>
      </w:r>
      <w:r>
        <w:rPr>
          <w:rFonts w:hint="eastAsia" w:ascii="宋体" w:hAnsi="宋体" w:eastAsia="宋体" w:cs="仿宋"/>
          <w:color w:val="auto"/>
          <w:sz w:val="24"/>
          <w:szCs w:val="24"/>
          <w:highlight w:val="none"/>
        </w:rPr>
        <w:t>成果文件的</w:t>
      </w:r>
      <w:r>
        <w:rPr>
          <w:rFonts w:ascii="宋体" w:hAnsi="宋体" w:eastAsia="宋体" w:cs="仿宋"/>
          <w:color w:val="auto"/>
          <w:sz w:val="24"/>
          <w:szCs w:val="24"/>
          <w:highlight w:val="none"/>
        </w:rPr>
        <w:t>独创性、</w:t>
      </w:r>
      <w:r>
        <w:rPr>
          <w:rFonts w:hint="eastAsia" w:ascii="宋体" w:hAnsi="宋体" w:eastAsia="宋体" w:cs="仿宋"/>
          <w:color w:val="auto"/>
          <w:sz w:val="24"/>
          <w:szCs w:val="24"/>
          <w:highlight w:val="none"/>
        </w:rPr>
        <w:t>真实性、合法性、完整性及适用性负责。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r>
        <w:rPr>
          <w:rFonts w:ascii="宋体" w:hAnsi="宋体" w:eastAsia="宋体" w:cs="仿宋"/>
          <w:color w:val="auto"/>
          <w:sz w:val="24"/>
          <w:szCs w:val="24"/>
          <w:highlight w:val="none"/>
        </w:rPr>
        <w:t>乙方应赴甲方所在地或</w:t>
      </w:r>
      <w:r>
        <w:rPr>
          <w:rFonts w:hint="eastAsia" w:ascii="宋体" w:hAnsi="宋体" w:eastAsia="宋体" w:cs="仿宋"/>
          <w:color w:val="auto"/>
          <w:sz w:val="24"/>
          <w:szCs w:val="24"/>
          <w:highlight w:val="none"/>
        </w:rPr>
        <w:t>甲方项目负责部门</w:t>
      </w:r>
      <w:r>
        <w:rPr>
          <w:rFonts w:ascii="宋体" w:hAnsi="宋体" w:eastAsia="宋体" w:cs="仿宋"/>
          <w:color w:val="auto"/>
          <w:sz w:val="24"/>
          <w:szCs w:val="24"/>
          <w:highlight w:val="none"/>
        </w:rPr>
        <w:t>所在地现场汇报，参加甲方局内有关会议及政府会议</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按时参加有关的评审或审查，并根据评审结论负责对</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内容做调整、修改和补充。</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4.在充分调研的基础上，按照本合同约定为甲方提供与</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编制有关的纸质文案和电子文档。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5.在方案最终成果未正式公开之前，乙方对成果内容负有保密责任。乙方对甲方及市政府部门就本项目的秘密信息承担保密义务</w:t>
      </w:r>
      <w:r>
        <w:rPr>
          <w:rFonts w:ascii="宋体" w:hAnsi="宋体" w:eastAsia="宋体" w:cs="仿宋"/>
          <w:color w:val="auto"/>
          <w:sz w:val="24"/>
          <w:szCs w:val="24"/>
          <w:highlight w:val="none"/>
        </w:rPr>
        <w:t>。</w:t>
      </w:r>
    </w:p>
    <w:p>
      <w:pPr>
        <w:widowControl w:val="0"/>
        <w:spacing w:afterLines="50"/>
        <w:ind w:firstLine="480"/>
        <w:rPr>
          <w:rFonts w:ascii="Times New Roman" w:hAnsi="Times New Roman" w:eastAsia="宋体" w:cs="Times New Roman"/>
          <w:color w:val="auto"/>
          <w:sz w:val="21"/>
          <w:szCs w:val="24"/>
          <w:highlight w:val="none"/>
        </w:rPr>
      </w:pPr>
      <w:r>
        <w:rPr>
          <w:rFonts w:ascii="宋体" w:hAnsi="宋体" w:eastAsia="宋体" w:cs="仿宋"/>
          <w:color w:val="auto"/>
          <w:sz w:val="24"/>
          <w:szCs w:val="24"/>
          <w:highlight w:val="none"/>
        </w:rPr>
        <w:t>6.乙方不得委托他方代为履行合同。</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成果的验收和标准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双方就提供的阶段成果文件逐步进行严格细致的讨论，</w:t>
      </w:r>
      <w:r>
        <w:rPr>
          <w:rFonts w:ascii="宋体" w:hAnsi="宋体" w:eastAsia="宋体" w:cs="仿宋"/>
          <w:color w:val="auto"/>
          <w:sz w:val="24"/>
          <w:szCs w:val="24"/>
          <w:highlight w:val="none"/>
        </w:rPr>
        <w:t>在</w:t>
      </w:r>
      <w:r>
        <w:rPr>
          <w:rFonts w:hint="eastAsia" w:ascii="宋体" w:hAnsi="宋体" w:eastAsia="宋体" w:cs="仿宋"/>
          <w:color w:val="auto"/>
          <w:sz w:val="24"/>
          <w:szCs w:val="24"/>
          <w:highlight w:val="none"/>
        </w:rPr>
        <w:t>双方</w:t>
      </w:r>
      <w:r>
        <w:rPr>
          <w:rFonts w:ascii="宋体" w:hAnsi="宋体" w:eastAsia="宋体" w:cs="仿宋"/>
          <w:color w:val="auto"/>
          <w:sz w:val="24"/>
          <w:szCs w:val="24"/>
          <w:highlight w:val="none"/>
        </w:rPr>
        <w:t>达成</w:t>
      </w:r>
      <w:r>
        <w:rPr>
          <w:rFonts w:hint="eastAsia" w:ascii="宋体" w:hAnsi="宋体" w:eastAsia="宋体" w:cs="仿宋"/>
          <w:color w:val="auto"/>
          <w:sz w:val="24"/>
          <w:szCs w:val="24"/>
          <w:highlight w:val="none"/>
        </w:rPr>
        <w:t>共识</w:t>
      </w:r>
      <w:r>
        <w:rPr>
          <w:rFonts w:ascii="宋体" w:hAnsi="宋体" w:eastAsia="宋体" w:cs="仿宋"/>
          <w:color w:val="auto"/>
          <w:sz w:val="24"/>
          <w:szCs w:val="24"/>
          <w:highlight w:val="none"/>
        </w:rPr>
        <w:t>的基础上取得甲方书面认可</w:t>
      </w:r>
      <w:r>
        <w:rPr>
          <w:rFonts w:hint="eastAsia" w:ascii="宋体" w:hAnsi="宋体" w:eastAsia="宋体" w:cs="仿宋"/>
          <w:color w:val="auto"/>
          <w:sz w:val="24"/>
          <w:szCs w:val="24"/>
          <w:highlight w:val="none"/>
        </w:rPr>
        <w:t>作为验收标准。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甲方应该在收到乙方提供的成果文件后</w:t>
      </w:r>
      <w:r>
        <w:rPr>
          <w:rFonts w:ascii="宋体" w:hAnsi="宋体" w:eastAsia="宋体" w:cs="仿宋"/>
          <w:color w:val="auto"/>
          <w:sz w:val="24"/>
          <w:szCs w:val="24"/>
          <w:highlight w:val="none"/>
        </w:rPr>
        <w:t>及时</w:t>
      </w:r>
      <w:r>
        <w:rPr>
          <w:rFonts w:hint="eastAsia" w:ascii="宋体" w:hAnsi="宋体" w:eastAsia="宋体" w:cs="仿宋"/>
          <w:color w:val="auto"/>
          <w:sz w:val="24"/>
          <w:szCs w:val="24"/>
          <w:highlight w:val="none"/>
        </w:rPr>
        <w:t>进行验收；甲方如有合理建议或要求，乙方</w:t>
      </w:r>
      <w:r>
        <w:rPr>
          <w:rFonts w:ascii="宋体" w:hAnsi="宋体" w:eastAsia="宋体" w:cs="仿宋"/>
          <w:color w:val="auto"/>
          <w:sz w:val="24"/>
          <w:szCs w:val="24"/>
          <w:highlight w:val="none"/>
        </w:rPr>
        <w:t>应当根据甲方的建议和要求</w:t>
      </w:r>
      <w:r>
        <w:rPr>
          <w:rFonts w:hint="eastAsia" w:ascii="宋体" w:hAnsi="宋体" w:eastAsia="宋体" w:cs="仿宋"/>
          <w:color w:val="auto"/>
          <w:sz w:val="24"/>
          <w:szCs w:val="24"/>
          <w:highlight w:val="none"/>
        </w:rPr>
        <w:t>对报告进行修改。</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提供的成果</w:t>
      </w:r>
      <w:r>
        <w:rPr>
          <w:rFonts w:ascii="宋体" w:hAnsi="宋体" w:eastAsia="宋体" w:cs="仿宋"/>
          <w:color w:val="auto"/>
          <w:sz w:val="24"/>
          <w:szCs w:val="24"/>
          <w:highlight w:val="none"/>
        </w:rPr>
        <w:t>文件未能通过甲方验收</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应无条件</w:t>
      </w:r>
      <w:r>
        <w:rPr>
          <w:rFonts w:ascii="宋体" w:hAnsi="宋体" w:eastAsia="宋体" w:cs="仿宋"/>
          <w:color w:val="auto"/>
          <w:sz w:val="24"/>
          <w:szCs w:val="24"/>
          <w:highlight w:val="none"/>
        </w:rPr>
        <w:t>进行</w:t>
      </w:r>
      <w:r>
        <w:rPr>
          <w:rFonts w:hint="eastAsia" w:ascii="宋体" w:hAnsi="宋体" w:eastAsia="宋体" w:cs="仿宋"/>
          <w:color w:val="auto"/>
          <w:sz w:val="24"/>
          <w:szCs w:val="24"/>
          <w:highlight w:val="none"/>
        </w:rPr>
        <w:t>完善、修改</w:t>
      </w:r>
      <w:r>
        <w:rPr>
          <w:rFonts w:ascii="宋体" w:hAnsi="宋体" w:eastAsia="宋体" w:cs="仿宋"/>
          <w:color w:val="auto"/>
          <w:sz w:val="24"/>
          <w:szCs w:val="24"/>
          <w:highlight w:val="none"/>
        </w:rPr>
        <w:t>，由此产生的费用由乙方承担。</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特别约定</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的范围内，乙方仅在为提供本合同服务之目的，包括独立性、质量及风险管理复核、内部财务报告、信息技术支持以及遵守监管规定，与其他乙方机构共同使用和向其披露甲方的信息（可能包括必要的保密信息）和个人数据，但其他乙方机构也将履行与乙方同等的保密义务。乙方将就其他乙方机构违反本合同保密义务的行为向甲方承担责任。</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约定的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甲方按照本合同约定支付费用的前提下，乙方为完成项目而交付的成果</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即第三条约定</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hint="eastAsia" w:ascii="宋体" w:hAnsi="宋体" w:eastAsia="宋体" w:cs="仿宋"/>
          <w:color w:val="auto"/>
          <w:sz w:val="24"/>
          <w:szCs w:val="24"/>
          <w:highlight w:val="none"/>
        </w:rPr>
        <w:t>的相关知识产权（包括著作权、专利、专有技术、专利申请权），归甲方所有，乙方负有保密的义务。</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乙方履行本合同服务时，可使用乙方拥有的资料、软件、设计、实用程序、工具、模型、系统及其它方法与专有技术（“材料”）。纵使乙方交付了任何成果</w:t>
      </w:r>
      <w:r>
        <w:rPr>
          <w:rFonts w:hint="eastAsia" w:ascii="宋体" w:hAnsi="宋体" w:eastAsia="宋体" w:cs="仿宋"/>
          <w:color w:val="auto"/>
          <w:sz w:val="24"/>
          <w:szCs w:val="24"/>
          <w:highlight w:val="none"/>
          <w:lang w:eastAsia="zh-CN"/>
        </w:rPr>
        <w:t>文件</w:t>
      </w:r>
      <w:r>
        <w:rPr>
          <w:rFonts w:hint="eastAsia" w:ascii="宋体" w:hAnsi="宋体" w:eastAsia="宋体" w:cs="仿宋"/>
          <w:color w:val="auto"/>
          <w:sz w:val="24"/>
          <w:szCs w:val="24"/>
          <w:highlight w:val="none"/>
        </w:rPr>
        <w:t>，该等材料及为本合同服务而编汇的任何内部工作底稿（但不包括其中反映的客户信息）的一切知识产权，仍属乙方所有。</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乙方在公开刊物（包括学术期刊、传统媒体、自媒体）上发表与本研究相关的技术成果，应当事先经甲方书面同意。</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提出需要甲方提供相关材料的要求或确认各阶段工作成果的，甲方需于收到乙方通知后及时进行研究并给予提供或确认；如确有正当理由影响甲方对乙方阶段工作成果的认可和确认，甲方需及时通知乙方，双方另行协商甲方提供反馈意见的时间。</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不承担任何与本服务相关的甲方的管理层责任。乙方所提供的服务是咨询性质的，甲方自行决定是否采纳、使用或实施以及如何使用、实施乙方提供的服务成果，并自行承担承担使用、实施本合同服务或服务成果所达成的结果或后果。</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在适用的法律或法规准许的最大范围内，乙方对甲方的责任只限于依据过错程度按责任总额的比例而承担的责任份额，并且乙方对甲方应承担的因本合同所产生的或与履行本合同相关的责任总额，累计只限于甲方就该服务而实际支付给乙方的服务费用，不论责任是违约、侵权、严格法律责任、违反保证、未能实现主要目的或其它理由而产生的。该责任限额涵盖本合同中其他条款中所规定的乙方应承担的违约金、损失额、赔偿额、费用等。</w:t>
      </w:r>
    </w:p>
    <w:p>
      <w:pPr>
        <w:widowControl w:val="0"/>
        <w:numPr>
          <w:ilvl w:val="0"/>
          <w:numId w:val="4"/>
        </w:numPr>
        <w:spacing w:afterLines="50"/>
        <w:ind w:firstLine="480" w:firstLineChars="0"/>
        <w:rPr>
          <w:rFonts w:ascii="宋体" w:hAnsi="宋体" w:eastAsia="宋体" w:cs="仿宋"/>
          <w:color w:val="auto"/>
          <w:sz w:val="24"/>
          <w:szCs w:val="24"/>
          <w:highlight w:val="none"/>
        </w:rPr>
      </w:pPr>
      <w:bookmarkStart w:id="48" w:name="_Hlk16458439"/>
      <w:r>
        <w:rPr>
          <w:rFonts w:hint="eastAsia" w:ascii="宋体" w:hAnsi="宋体" w:eastAsia="宋体" w:cs="仿宋"/>
          <w:color w:val="auto"/>
          <w:sz w:val="24"/>
          <w:szCs w:val="24"/>
          <w:highlight w:val="none"/>
        </w:rPr>
        <w:t>乙方根据本合同所提供的任何报告、演示稿或其它形式沟通中（“报告”）所载的任何信息、建议、意见或其它内容，除客户信息之外，仅供甲方依法使用（与本服务的目的一致）。甲方如对报告进行改动、编辑或修订，则甲方须为改动、编辑或修订的文件的内容承担全责。甲方可将报告内根据客户信息编制的任何信息、数据或表格等纳入甲方拟使用的文件当中，甲方须为该等文件的内容承担全责。甲方验收后乙方无责任根据法律、法规的变化进行更新。</w:t>
      </w:r>
    </w:p>
    <w:p>
      <w:pPr>
        <w:widowControl w:val="0"/>
        <w:spacing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第十条 </w:t>
      </w:r>
      <w:r>
        <w:rPr>
          <w:rFonts w:ascii="宋体" w:hAnsi="宋体" w:eastAsia="宋体" w:cs="仿宋"/>
          <w:b/>
          <w:bCs/>
          <w:color w:val="auto"/>
          <w:sz w:val="24"/>
          <w:szCs w:val="24"/>
          <w:highlight w:val="none"/>
        </w:rPr>
        <w:t>违约责任</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因</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出现下列情形的</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有权解除本合同，并委托</w:t>
      </w:r>
      <w:r>
        <w:rPr>
          <w:rFonts w:ascii="宋体" w:hAnsi="宋体" w:eastAsia="宋体" w:cs="仿宋"/>
          <w:color w:val="auto"/>
          <w:sz w:val="24"/>
          <w:szCs w:val="24"/>
          <w:highlight w:val="none"/>
        </w:rPr>
        <w:t>第三方机构</w:t>
      </w:r>
      <w:r>
        <w:rPr>
          <w:rFonts w:hint="eastAsia" w:ascii="宋体" w:hAnsi="宋体" w:eastAsia="宋体" w:cs="仿宋"/>
          <w:color w:val="auto"/>
          <w:sz w:val="24"/>
          <w:szCs w:val="24"/>
          <w:highlight w:val="none"/>
        </w:rPr>
        <w:t>继续工作，</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应配合</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的一切安排并负责赔偿</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的直接经济损失，赔偿总额不超过本合同总金额。同时</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有权拒绝支付</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 xml:space="preserve">费： </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自身原因，未按</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合同约定交付成果或完成工作内容的，每逾期一日应减收本合同费用的万分之二。若在</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书面通知后</w:t>
      </w:r>
      <w:r>
        <w:rPr>
          <w:rFonts w:ascii="宋体" w:hAnsi="宋体" w:eastAsia="宋体" w:cs="仿宋"/>
          <w:color w:val="auto"/>
          <w:sz w:val="24"/>
          <w:szCs w:val="24"/>
          <w:highlight w:val="none"/>
        </w:rPr>
        <w:t>七</w:t>
      </w:r>
      <w:r>
        <w:rPr>
          <w:rFonts w:hint="eastAsia" w:ascii="宋体" w:hAnsi="宋体" w:eastAsia="宋体" w:cs="仿宋"/>
          <w:color w:val="auto"/>
          <w:sz w:val="24"/>
          <w:szCs w:val="24"/>
          <w:highlight w:val="none"/>
        </w:rPr>
        <w:t>日内仍没有改正的，甲方有权要求乙方配合甲方安排，赔偿直接经济损失，同时甲方有权拒绝支付编制费。</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未经</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书面同意，</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不得委托他方代为履行合同；不得将本合同项下的任何服务分包给任何第三方。如违反本条约定，</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有权解除合同，并要求</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支付合同总金额。</w:t>
      </w:r>
    </w:p>
    <w:bookmarkEnd w:id="48"/>
    <w:p>
      <w:pPr>
        <w:widowControl w:val="0"/>
        <w:spacing w:afterLines="50"/>
        <w:ind w:firstLine="482"/>
        <w:rPr>
          <w:rFonts w:ascii="宋体" w:hAnsi="宋体" w:eastAsia="宋体" w:cs="仿宋"/>
          <w:b/>
          <w:bCs/>
          <w:color w:val="auto"/>
          <w:sz w:val="24"/>
          <w:szCs w:val="24"/>
          <w:highlight w:val="none"/>
        </w:rPr>
      </w:pPr>
      <w:bookmarkStart w:id="49" w:name="_Hlk16458482"/>
      <w:r>
        <w:rPr>
          <w:rFonts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rPr>
        <w:t>一</w:t>
      </w:r>
      <w:r>
        <w:rPr>
          <w:rFonts w:ascii="宋体" w:hAnsi="宋体" w:eastAsia="宋体" w:cs="仿宋"/>
          <w:b/>
          <w:bCs/>
          <w:color w:val="auto"/>
          <w:sz w:val="24"/>
          <w:szCs w:val="24"/>
          <w:highlight w:val="none"/>
        </w:rPr>
        <w:t xml:space="preserve">条 </w:t>
      </w:r>
      <w:r>
        <w:rPr>
          <w:rFonts w:hint="eastAsia" w:ascii="宋体" w:hAnsi="宋体" w:eastAsia="宋体" w:cs="仿宋"/>
          <w:b/>
          <w:bCs/>
          <w:color w:val="auto"/>
          <w:sz w:val="24"/>
          <w:szCs w:val="24"/>
          <w:highlight w:val="none"/>
        </w:rPr>
        <w:t>争议的解决</w:t>
      </w:r>
    </w:p>
    <w:bookmarkEnd w:id="49"/>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本合同履行过程中若发生争议，双方应本着友好协商的原则解决。协商不成，提交甲方所在地人民法院进行诉讼。</w:t>
      </w:r>
    </w:p>
    <w:p>
      <w:pPr>
        <w:widowControl w:val="0"/>
        <w:spacing w:afterLines="50"/>
        <w:ind w:firstLine="482"/>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第十三条 </w:t>
      </w:r>
      <w:r>
        <w:rPr>
          <w:rFonts w:hint="eastAsia" w:ascii="宋体" w:hAnsi="宋体" w:eastAsia="宋体" w:cs="仿宋"/>
          <w:b/>
          <w:bCs/>
          <w:color w:val="auto"/>
          <w:sz w:val="24"/>
          <w:szCs w:val="24"/>
          <w:highlight w:val="none"/>
        </w:rPr>
        <w:t>其他</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（一）本合同经双方签字盖章即生效。一式八份，甲乙双方各执四份，具有同等法律效力。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（二）双方协商一致的来往邮件、会议纪要等，均为合同的组成部分，与本合同具有同等法律效力。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（三）未尽事宜，经双方协商一致，签订补充协议，补充协议与本合同具有同等效力。</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（四）双方均不得转让各自于本合同的任何权利、责任或索赔权。</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（五）非经对方事先书面同意，本合同任何一方不得使用或引用对方的名称、标识、商标，但乙方可对外指明甲方是由乙方提供特定服务的客户。</w:t>
      </w: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（此页无正文）</w:t>
      </w:r>
    </w:p>
    <w:p>
      <w:pPr>
        <w:widowControl w:val="0"/>
        <w:spacing w:afterLines="50"/>
        <w:ind w:firstLine="482"/>
        <w:jc w:val="left"/>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                          乙方：</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海口江东新区管理局 </w:t>
      </w:r>
    </w:p>
    <w:p>
      <w:pPr>
        <w:widowControl w:val="0"/>
        <w:spacing w:afterLines="50"/>
        <w:ind w:firstLine="480"/>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rPr>
        <w:t>：                      法定代表人或委托代理人：</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日期：                          日期：</w:t>
      </w:r>
    </w:p>
    <w:p>
      <w:pPr>
        <w:widowControl w:val="0"/>
        <w:ind w:firstLine="482"/>
        <w:rPr>
          <w:rFonts w:ascii="宋体" w:hAnsi="宋体" w:eastAsia="宋体" w:cs="仿宋"/>
          <w:b/>
          <w:bCs/>
          <w:color w:val="auto"/>
          <w:sz w:val="24"/>
          <w:szCs w:val="24"/>
        </w:rPr>
      </w:pP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770519-462D-4434-8472-C612B5901386}"/>
  </w:font>
  <w:font w:name="黑体">
    <w:panose1 w:val="02010609060101010101"/>
    <w:charset w:val="86"/>
    <w:family w:val="auto"/>
    <w:pitch w:val="default"/>
    <w:sig w:usb0="800002BF" w:usb1="38CF7CFA" w:usb2="00000016" w:usb3="00000000" w:csb0="00040001" w:csb1="00000000"/>
    <w:embedRegular r:id="rId2" w:fontKey="{7C59B43D-4124-4A24-A6E2-F149461169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D610F09-CF05-4AA2-8D23-954370F3B383}"/>
  </w:font>
  <w:font w:name="仿宋">
    <w:panose1 w:val="02010609060101010101"/>
    <w:charset w:val="86"/>
    <w:family w:val="modern"/>
    <w:pitch w:val="default"/>
    <w:sig w:usb0="800002BF" w:usb1="38CF7CFA" w:usb2="00000016" w:usb3="00000000" w:csb0="00040001" w:csb1="00000000"/>
    <w:embedRegular r:id="rId4" w:fontKey="{7264C94E-BC62-4D79-AC8C-18522CC9E0ED}"/>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94C82EEB-3232-4219-839F-51DBAF7DDDC9}"/>
  </w:font>
  <w:font w:name="方正小标宋简体">
    <w:panose1 w:val="02000000000000000000"/>
    <w:charset w:val="86"/>
    <w:family w:val="script"/>
    <w:pitch w:val="default"/>
    <w:sig w:usb0="00000001" w:usb1="08000000" w:usb2="00000000" w:usb3="00000000" w:csb0="00040000" w:csb1="00000000"/>
    <w:embedRegular r:id="rId6" w:fontKey="{3CCEB4E9-6AA3-4FCC-8DA3-EBCBCF8CB1F8}"/>
  </w:font>
  <w:font w:name="楷体_GB2312">
    <w:panose1 w:val="02010609030101010101"/>
    <w:charset w:val="86"/>
    <w:family w:val="modern"/>
    <w:pitch w:val="default"/>
    <w:sig w:usb0="00000001" w:usb1="080E0000" w:usb2="00000000" w:usb3="00000000" w:csb0="00040000" w:csb1="00000000"/>
    <w:embedRegular r:id="rId7" w:fontKey="{9F8EE98C-CEB5-403F-99A1-C26EE3949C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22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7.5pt;width:22.55pt;mso-position-horizontal:center;mso-position-horizontal-relative:margin;mso-wrap-style:none;z-index:251659264;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D5PpJv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p>
  <w:p>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225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7.5pt;width:22.55pt;mso-position-horizontal:center;mso-position-horizontal-relative:margin;mso-wrap-style:none;z-index:251660288;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e0idEAAAADAQAADwAAAAAAAAABACAAAAAiAAAAZHJzL2Rvd25yZXYueG1s&#10;UEsBAhQAFAAAAAgAh07iQOiSe8//AQAAEQ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2225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7.5pt;width:22.55pt;mso-position-horizontal:center;mso-position-horizontal-relative:margin;mso-wrap-style:none;z-index:251661312;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im8lIf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7.5pt;width:27.05pt;mso-position-horizontal:center;mso-position-horizontal-relative:margin;mso-wrap-style:none;z-index:251662336;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EMG69EAAAADAQAADwAAAAAAAAABACAAAAAiAAAAZHJzL2Rvd25yZXYueG1s&#10;UEsBAhQAFAAAAAgAh07iQE8TYCv/AQAADw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F267"/>
    <w:multiLevelType w:val="singleLevel"/>
    <w:tmpl w:val="99B6F267"/>
    <w:lvl w:ilvl="0" w:tentative="0">
      <w:start w:val="4"/>
      <w:numFmt w:val="chineseCounting"/>
      <w:suff w:val="space"/>
      <w:lvlText w:val="第%1章"/>
      <w:lvlJc w:val="left"/>
      <w:rPr>
        <w:rFonts w:hint="eastAsia"/>
      </w:rPr>
    </w:lvl>
  </w:abstractNum>
  <w:abstractNum w:abstractNumId="1">
    <w:nsid w:val="A6D83777"/>
    <w:multiLevelType w:val="singleLevel"/>
    <w:tmpl w:val="A6D83777"/>
    <w:lvl w:ilvl="0" w:tentative="0">
      <w:start w:val="1"/>
      <w:numFmt w:val="chineseCounting"/>
      <w:suff w:val="space"/>
      <w:lvlText w:val="第%1条"/>
      <w:lvlJc w:val="left"/>
      <w:rPr>
        <w:rFonts w:hint="eastAsia"/>
        <w:b/>
        <w:bCs/>
      </w:rPr>
    </w:lvl>
  </w:abstractNum>
  <w:abstractNum w:abstractNumId="2">
    <w:nsid w:val="B171BA07"/>
    <w:multiLevelType w:val="singleLevel"/>
    <w:tmpl w:val="B171BA07"/>
    <w:lvl w:ilvl="0" w:tentative="0">
      <w:start w:val="6"/>
      <w:numFmt w:val="chineseCounting"/>
      <w:suff w:val="space"/>
      <w:lvlText w:val="第%1章"/>
      <w:lvlJc w:val="left"/>
      <w:rPr>
        <w:rFonts w:hint="eastAsia"/>
      </w:rPr>
    </w:lvl>
  </w:abstractNum>
  <w:abstractNum w:abstractNumId="3">
    <w:nsid w:val="0C651670"/>
    <w:multiLevelType w:val="singleLevel"/>
    <w:tmpl w:val="0C651670"/>
    <w:lvl w:ilvl="0" w:tentative="0">
      <w:start w:val="1"/>
      <w:numFmt w:val="chineseCounting"/>
      <w:suff w:val="nothing"/>
      <w:lvlText w:val="（%1）"/>
      <w:lvlJc w:val="left"/>
      <w:pPr>
        <w:ind w:left="562" w:firstLine="0"/>
      </w:pPr>
      <w:rPr>
        <w:rFonts w:hint="eastAsia"/>
      </w:rPr>
    </w:lvl>
  </w:abstractNum>
  <w:abstractNum w:abstractNumId="4">
    <w:nsid w:val="198DF39E"/>
    <w:multiLevelType w:val="multilevel"/>
    <w:tmpl w:val="198DF39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304748C0"/>
    <w:multiLevelType w:val="multilevel"/>
    <w:tmpl w:val="304748C0"/>
    <w:lvl w:ilvl="0" w:tentative="0">
      <w:start w:val="1"/>
      <w:numFmt w:val="japaneseCounting"/>
      <w:lvlText w:val="（%1）"/>
      <w:lvlJc w:val="left"/>
      <w:pPr>
        <w:ind w:left="0" w:hanging="1080"/>
      </w:pPr>
      <w:rPr>
        <w:rFonts w:hint="default"/>
      </w:rPr>
    </w:lvl>
    <w:lvl w:ilvl="1" w:tentative="0">
      <w:start w:val="1"/>
      <w:numFmt w:val="lowerLetter"/>
      <w:lvlText w:val="%2)"/>
      <w:lvlJc w:val="left"/>
      <w:pPr>
        <w:ind w:left="-240" w:hanging="420"/>
      </w:pPr>
    </w:lvl>
    <w:lvl w:ilvl="2" w:tentative="0">
      <w:start w:val="1"/>
      <w:numFmt w:val="lowerRoman"/>
      <w:lvlText w:val="%3."/>
      <w:lvlJc w:val="right"/>
      <w:pPr>
        <w:ind w:left="180" w:hanging="420"/>
      </w:pPr>
    </w:lvl>
    <w:lvl w:ilvl="3" w:tentative="0">
      <w:start w:val="1"/>
      <w:numFmt w:val="decimal"/>
      <w:lvlText w:val="%4."/>
      <w:lvlJc w:val="left"/>
      <w:pPr>
        <w:ind w:left="600" w:hanging="420"/>
      </w:pPr>
    </w:lvl>
    <w:lvl w:ilvl="4" w:tentative="0">
      <w:start w:val="1"/>
      <w:numFmt w:val="lowerLetter"/>
      <w:lvlText w:val="%5)"/>
      <w:lvlJc w:val="left"/>
      <w:pPr>
        <w:ind w:left="1020" w:hanging="420"/>
      </w:pPr>
    </w:lvl>
    <w:lvl w:ilvl="5" w:tentative="0">
      <w:start w:val="1"/>
      <w:numFmt w:val="lowerRoman"/>
      <w:lvlText w:val="%6."/>
      <w:lvlJc w:val="right"/>
      <w:pPr>
        <w:ind w:left="1440" w:hanging="420"/>
      </w:pPr>
    </w:lvl>
    <w:lvl w:ilvl="6" w:tentative="0">
      <w:start w:val="1"/>
      <w:numFmt w:val="decimal"/>
      <w:lvlText w:val="%7."/>
      <w:lvlJc w:val="left"/>
      <w:pPr>
        <w:ind w:left="1860" w:hanging="420"/>
      </w:pPr>
    </w:lvl>
    <w:lvl w:ilvl="7" w:tentative="0">
      <w:start w:val="1"/>
      <w:numFmt w:val="lowerLetter"/>
      <w:lvlText w:val="%8)"/>
      <w:lvlJc w:val="left"/>
      <w:pPr>
        <w:ind w:left="2280" w:hanging="420"/>
      </w:pPr>
    </w:lvl>
    <w:lvl w:ilvl="8" w:tentative="0">
      <w:start w:val="1"/>
      <w:numFmt w:val="lowerRoman"/>
      <w:lvlText w:val="%9."/>
      <w:lvlJc w:val="right"/>
      <w:pPr>
        <w:ind w:left="2700" w:hanging="420"/>
      </w:pPr>
    </w:lvl>
  </w:abstractNum>
  <w:abstractNum w:abstractNumId="6">
    <w:nsid w:val="5FAB0FC6"/>
    <w:multiLevelType w:val="singleLevel"/>
    <w:tmpl w:val="5FAB0FC6"/>
    <w:lvl w:ilvl="0" w:tentative="0">
      <w:start w:val="1"/>
      <w:numFmt w:val="decimal"/>
      <w:suff w:val="nothing"/>
      <w:lvlText w:val="%1."/>
      <w:lvlJc w:val="left"/>
    </w:lvl>
  </w:abstractNum>
  <w:abstractNum w:abstractNumId="7">
    <w:nsid w:val="5FAB13E6"/>
    <w:multiLevelType w:val="singleLevel"/>
    <w:tmpl w:val="5FAB13E6"/>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Y2QwMWFkZDQxMjI3N2E3OTg3NDYzZTY5Mjg1NDIifQ=="/>
  </w:docVars>
  <w:rsids>
    <w:rsidRoot w:val="00BD58F3"/>
    <w:rsid w:val="0000202E"/>
    <w:rsid w:val="0000440B"/>
    <w:rsid w:val="00014391"/>
    <w:rsid w:val="00031EA3"/>
    <w:rsid w:val="0003496B"/>
    <w:rsid w:val="0003622C"/>
    <w:rsid w:val="00036597"/>
    <w:rsid w:val="00043BE8"/>
    <w:rsid w:val="00044246"/>
    <w:rsid w:val="0004460D"/>
    <w:rsid w:val="000446FE"/>
    <w:rsid w:val="0004582D"/>
    <w:rsid w:val="00051092"/>
    <w:rsid w:val="000522C4"/>
    <w:rsid w:val="00063488"/>
    <w:rsid w:val="000643CB"/>
    <w:rsid w:val="00066C2B"/>
    <w:rsid w:val="0007279A"/>
    <w:rsid w:val="00077449"/>
    <w:rsid w:val="00080D5D"/>
    <w:rsid w:val="00086AB7"/>
    <w:rsid w:val="00086D97"/>
    <w:rsid w:val="00091A6A"/>
    <w:rsid w:val="00097ACF"/>
    <w:rsid w:val="000B6494"/>
    <w:rsid w:val="000D75CD"/>
    <w:rsid w:val="000E1D72"/>
    <w:rsid w:val="000E3E81"/>
    <w:rsid w:val="000E437C"/>
    <w:rsid w:val="00110B4C"/>
    <w:rsid w:val="001205B5"/>
    <w:rsid w:val="00122C47"/>
    <w:rsid w:val="00134126"/>
    <w:rsid w:val="00140347"/>
    <w:rsid w:val="00151AE4"/>
    <w:rsid w:val="0015374F"/>
    <w:rsid w:val="00157F7E"/>
    <w:rsid w:val="00173A03"/>
    <w:rsid w:val="00176CD1"/>
    <w:rsid w:val="001866C7"/>
    <w:rsid w:val="001936B9"/>
    <w:rsid w:val="001A1C45"/>
    <w:rsid w:val="001A7E99"/>
    <w:rsid w:val="001B490D"/>
    <w:rsid w:val="001B524A"/>
    <w:rsid w:val="001B59F9"/>
    <w:rsid w:val="001D2216"/>
    <w:rsid w:val="001D2E08"/>
    <w:rsid w:val="00204234"/>
    <w:rsid w:val="002123C1"/>
    <w:rsid w:val="002138FB"/>
    <w:rsid w:val="00216289"/>
    <w:rsid w:val="002208C4"/>
    <w:rsid w:val="00232564"/>
    <w:rsid w:val="00241EA0"/>
    <w:rsid w:val="0024485B"/>
    <w:rsid w:val="00246DCF"/>
    <w:rsid w:val="002477B9"/>
    <w:rsid w:val="00250982"/>
    <w:rsid w:val="002532EB"/>
    <w:rsid w:val="00265233"/>
    <w:rsid w:val="00270450"/>
    <w:rsid w:val="00271EF3"/>
    <w:rsid w:val="00274C20"/>
    <w:rsid w:val="0027628A"/>
    <w:rsid w:val="00284EBF"/>
    <w:rsid w:val="00294F06"/>
    <w:rsid w:val="00297840"/>
    <w:rsid w:val="002B1103"/>
    <w:rsid w:val="002B597C"/>
    <w:rsid w:val="002C106C"/>
    <w:rsid w:val="002C42F9"/>
    <w:rsid w:val="002C5510"/>
    <w:rsid w:val="002D262E"/>
    <w:rsid w:val="002D5C96"/>
    <w:rsid w:val="002F2C2B"/>
    <w:rsid w:val="00307EE3"/>
    <w:rsid w:val="00317F0F"/>
    <w:rsid w:val="00324370"/>
    <w:rsid w:val="003264A5"/>
    <w:rsid w:val="0034124B"/>
    <w:rsid w:val="003725D1"/>
    <w:rsid w:val="00384B28"/>
    <w:rsid w:val="00385BAF"/>
    <w:rsid w:val="00390109"/>
    <w:rsid w:val="003A2B3C"/>
    <w:rsid w:val="003B5992"/>
    <w:rsid w:val="003B678E"/>
    <w:rsid w:val="003C3901"/>
    <w:rsid w:val="003D4984"/>
    <w:rsid w:val="003E3813"/>
    <w:rsid w:val="003F36E8"/>
    <w:rsid w:val="003F49F3"/>
    <w:rsid w:val="00401E80"/>
    <w:rsid w:val="00420244"/>
    <w:rsid w:val="0042055A"/>
    <w:rsid w:val="00426DB0"/>
    <w:rsid w:val="00433DF1"/>
    <w:rsid w:val="0045044A"/>
    <w:rsid w:val="00454450"/>
    <w:rsid w:val="00463C76"/>
    <w:rsid w:val="00466CFE"/>
    <w:rsid w:val="0047094E"/>
    <w:rsid w:val="00470D93"/>
    <w:rsid w:val="00474681"/>
    <w:rsid w:val="00480FDD"/>
    <w:rsid w:val="00496ACB"/>
    <w:rsid w:val="004A5ED4"/>
    <w:rsid w:val="004B20D4"/>
    <w:rsid w:val="004B75D0"/>
    <w:rsid w:val="004C7B6E"/>
    <w:rsid w:val="004D5481"/>
    <w:rsid w:val="004F20A9"/>
    <w:rsid w:val="004F7EF9"/>
    <w:rsid w:val="00501A00"/>
    <w:rsid w:val="00501FA3"/>
    <w:rsid w:val="005078DC"/>
    <w:rsid w:val="00513E6E"/>
    <w:rsid w:val="00517431"/>
    <w:rsid w:val="0051755E"/>
    <w:rsid w:val="00525C13"/>
    <w:rsid w:val="00525EF8"/>
    <w:rsid w:val="00531156"/>
    <w:rsid w:val="00532DB8"/>
    <w:rsid w:val="00543DEC"/>
    <w:rsid w:val="005446D9"/>
    <w:rsid w:val="005540E3"/>
    <w:rsid w:val="0055761F"/>
    <w:rsid w:val="00564838"/>
    <w:rsid w:val="00576267"/>
    <w:rsid w:val="005944CB"/>
    <w:rsid w:val="005951BE"/>
    <w:rsid w:val="00597754"/>
    <w:rsid w:val="00597E42"/>
    <w:rsid w:val="005A1B07"/>
    <w:rsid w:val="005A1B6E"/>
    <w:rsid w:val="005A326D"/>
    <w:rsid w:val="005A55BB"/>
    <w:rsid w:val="005B65AA"/>
    <w:rsid w:val="005C411D"/>
    <w:rsid w:val="005C516B"/>
    <w:rsid w:val="005D2335"/>
    <w:rsid w:val="005E5B60"/>
    <w:rsid w:val="005F03A3"/>
    <w:rsid w:val="006145C2"/>
    <w:rsid w:val="00620458"/>
    <w:rsid w:val="0062654D"/>
    <w:rsid w:val="00636AF4"/>
    <w:rsid w:val="006513E8"/>
    <w:rsid w:val="00653613"/>
    <w:rsid w:val="0066190B"/>
    <w:rsid w:val="00664255"/>
    <w:rsid w:val="006822DD"/>
    <w:rsid w:val="00687ACE"/>
    <w:rsid w:val="00694948"/>
    <w:rsid w:val="00694F24"/>
    <w:rsid w:val="00697BCC"/>
    <w:rsid w:val="006A312B"/>
    <w:rsid w:val="006C6813"/>
    <w:rsid w:val="006C7962"/>
    <w:rsid w:val="006D1906"/>
    <w:rsid w:val="006D4C65"/>
    <w:rsid w:val="006D6A2B"/>
    <w:rsid w:val="006D761D"/>
    <w:rsid w:val="006E4AB7"/>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06D4"/>
    <w:rsid w:val="007942B1"/>
    <w:rsid w:val="00796658"/>
    <w:rsid w:val="00797A4E"/>
    <w:rsid w:val="007A527E"/>
    <w:rsid w:val="007C7DAF"/>
    <w:rsid w:val="007E0735"/>
    <w:rsid w:val="007E2A6C"/>
    <w:rsid w:val="007E3AFF"/>
    <w:rsid w:val="008313DF"/>
    <w:rsid w:val="00852D66"/>
    <w:rsid w:val="00860C05"/>
    <w:rsid w:val="00871D27"/>
    <w:rsid w:val="008749DC"/>
    <w:rsid w:val="00876EC3"/>
    <w:rsid w:val="00886431"/>
    <w:rsid w:val="00894CE4"/>
    <w:rsid w:val="00896603"/>
    <w:rsid w:val="008A164E"/>
    <w:rsid w:val="008A301D"/>
    <w:rsid w:val="008A3D68"/>
    <w:rsid w:val="008A3EF3"/>
    <w:rsid w:val="008B3463"/>
    <w:rsid w:val="008B370A"/>
    <w:rsid w:val="008C137E"/>
    <w:rsid w:val="008C4DC0"/>
    <w:rsid w:val="008D4438"/>
    <w:rsid w:val="008F6F0B"/>
    <w:rsid w:val="00905813"/>
    <w:rsid w:val="00906BB5"/>
    <w:rsid w:val="009077F3"/>
    <w:rsid w:val="00937E96"/>
    <w:rsid w:val="0095340B"/>
    <w:rsid w:val="00954ED8"/>
    <w:rsid w:val="00957F56"/>
    <w:rsid w:val="00963746"/>
    <w:rsid w:val="00965322"/>
    <w:rsid w:val="009725B2"/>
    <w:rsid w:val="00973AA9"/>
    <w:rsid w:val="009819C8"/>
    <w:rsid w:val="00992D24"/>
    <w:rsid w:val="009941B8"/>
    <w:rsid w:val="009A033D"/>
    <w:rsid w:val="009A752F"/>
    <w:rsid w:val="009B2486"/>
    <w:rsid w:val="009B2A12"/>
    <w:rsid w:val="009C2112"/>
    <w:rsid w:val="009C4D27"/>
    <w:rsid w:val="009D1358"/>
    <w:rsid w:val="009D6956"/>
    <w:rsid w:val="009E67BA"/>
    <w:rsid w:val="009E68CA"/>
    <w:rsid w:val="009F7489"/>
    <w:rsid w:val="00A0549E"/>
    <w:rsid w:val="00A209F7"/>
    <w:rsid w:val="00A21179"/>
    <w:rsid w:val="00A32AA2"/>
    <w:rsid w:val="00A35C20"/>
    <w:rsid w:val="00A456F2"/>
    <w:rsid w:val="00A463E7"/>
    <w:rsid w:val="00A475A7"/>
    <w:rsid w:val="00A53DE5"/>
    <w:rsid w:val="00A609FB"/>
    <w:rsid w:val="00A67BAE"/>
    <w:rsid w:val="00A72260"/>
    <w:rsid w:val="00A74682"/>
    <w:rsid w:val="00A8441D"/>
    <w:rsid w:val="00A90DBE"/>
    <w:rsid w:val="00AB2276"/>
    <w:rsid w:val="00AB6FCF"/>
    <w:rsid w:val="00AD1A88"/>
    <w:rsid w:val="00AD5B1C"/>
    <w:rsid w:val="00AE031F"/>
    <w:rsid w:val="00AE05A2"/>
    <w:rsid w:val="00AE0A7A"/>
    <w:rsid w:val="00AE7FA2"/>
    <w:rsid w:val="00B00706"/>
    <w:rsid w:val="00B27977"/>
    <w:rsid w:val="00B313DE"/>
    <w:rsid w:val="00B35106"/>
    <w:rsid w:val="00B50030"/>
    <w:rsid w:val="00B5234C"/>
    <w:rsid w:val="00B55050"/>
    <w:rsid w:val="00B6776C"/>
    <w:rsid w:val="00B7270F"/>
    <w:rsid w:val="00B77DD6"/>
    <w:rsid w:val="00B80D2F"/>
    <w:rsid w:val="00B91568"/>
    <w:rsid w:val="00B91D2F"/>
    <w:rsid w:val="00BA435A"/>
    <w:rsid w:val="00BA4CF3"/>
    <w:rsid w:val="00BD39B3"/>
    <w:rsid w:val="00BD4F80"/>
    <w:rsid w:val="00BD58F3"/>
    <w:rsid w:val="00BE03C7"/>
    <w:rsid w:val="00BE1A3A"/>
    <w:rsid w:val="00BF1729"/>
    <w:rsid w:val="00BF7B56"/>
    <w:rsid w:val="00C14520"/>
    <w:rsid w:val="00C34D87"/>
    <w:rsid w:val="00C40DF8"/>
    <w:rsid w:val="00C425C8"/>
    <w:rsid w:val="00C52F72"/>
    <w:rsid w:val="00C6406D"/>
    <w:rsid w:val="00C70ACF"/>
    <w:rsid w:val="00C77BBB"/>
    <w:rsid w:val="00C86D0C"/>
    <w:rsid w:val="00CB73C7"/>
    <w:rsid w:val="00CD584A"/>
    <w:rsid w:val="00CF18FB"/>
    <w:rsid w:val="00CF6087"/>
    <w:rsid w:val="00D011A4"/>
    <w:rsid w:val="00D032CE"/>
    <w:rsid w:val="00D17F54"/>
    <w:rsid w:val="00D37373"/>
    <w:rsid w:val="00D416D7"/>
    <w:rsid w:val="00D55305"/>
    <w:rsid w:val="00D75B4D"/>
    <w:rsid w:val="00D76464"/>
    <w:rsid w:val="00D83A2A"/>
    <w:rsid w:val="00D856E2"/>
    <w:rsid w:val="00D878B0"/>
    <w:rsid w:val="00DA3D36"/>
    <w:rsid w:val="00DB7B25"/>
    <w:rsid w:val="00DE07A1"/>
    <w:rsid w:val="00DF66E0"/>
    <w:rsid w:val="00E0757D"/>
    <w:rsid w:val="00E13062"/>
    <w:rsid w:val="00E30F90"/>
    <w:rsid w:val="00E3607A"/>
    <w:rsid w:val="00E609A4"/>
    <w:rsid w:val="00E7301A"/>
    <w:rsid w:val="00E808C7"/>
    <w:rsid w:val="00E82420"/>
    <w:rsid w:val="00EA3429"/>
    <w:rsid w:val="00EE24A7"/>
    <w:rsid w:val="00EE2C70"/>
    <w:rsid w:val="00F0657F"/>
    <w:rsid w:val="00F1037E"/>
    <w:rsid w:val="00F24FF4"/>
    <w:rsid w:val="00F2709C"/>
    <w:rsid w:val="00F31E25"/>
    <w:rsid w:val="00F5534B"/>
    <w:rsid w:val="00F72283"/>
    <w:rsid w:val="00F81F89"/>
    <w:rsid w:val="00F878BB"/>
    <w:rsid w:val="00FA1065"/>
    <w:rsid w:val="00FA1156"/>
    <w:rsid w:val="00FA3DAB"/>
    <w:rsid w:val="00FC26E8"/>
    <w:rsid w:val="00FC35F4"/>
    <w:rsid w:val="00FC771B"/>
    <w:rsid w:val="00FE133D"/>
    <w:rsid w:val="00FE27EB"/>
    <w:rsid w:val="00FF4A4D"/>
    <w:rsid w:val="01AB3BE8"/>
    <w:rsid w:val="021B37E7"/>
    <w:rsid w:val="02E0598D"/>
    <w:rsid w:val="041D2E96"/>
    <w:rsid w:val="046A5543"/>
    <w:rsid w:val="05424195"/>
    <w:rsid w:val="056B4EA4"/>
    <w:rsid w:val="05761105"/>
    <w:rsid w:val="070157C8"/>
    <w:rsid w:val="07F81459"/>
    <w:rsid w:val="08FB387A"/>
    <w:rsid w:val="094600B4"/>
    <w:rsid w:val="0A97742C"/>
    <w:rsid w:val="0B352404"/>
    <w:rsid w:val="0B7F02E7"/>
    <w:rsid w:val="0D62051D"/>
    <w:rsid w:val="0FD313D5"/>
    <w:rsid w:val="100D50FE"/>
    <w:rsid w:val="105A6494"/>
    <w:rsid w:val="11DE11E2"/>
    <w:rsid w:val="120D15B9"/>
    <w:rsid w:val="12CE77A0"/>
    <w:rsid w:val="22F23784"/>
    <w:rsid w:val="268C44D8"/>
    <w:rsid w:val="27AB4C25"/>
    <w:rsid w:val="27EC2F4A"/>
    <w:rsid w:val="2ED26038"/>
    <w:rsid w:val="2ED45DDD"/>
    <w:rsid w:val="31E04C39"/>
    <w:rsid w:val="33E54784"/>
    <w:rsid w:val="36DC69EC"/>
    <w:rsid w:val="37C16C4A"/>
    <w:rsid w:val="384006AE"/>
    <w:rsid w:val="393D0552"/>
    <w:rsid w:val="39CB58E3"/>
    <w:rsid w:val="3C3F209D"/>
    <w:rsid w:val="41D77AA1"/>
    <w:rsid w:val="42C4731E"/>
    <w:rsid w:val="46E4376B"/>
    <w:rsid w:val="490843F7"/>
    <w:rsid w:val="4A5C2802"/>
    <w:rsid w:val="4AAD05D9"/>
    <w:rsid w:val="4E9E754D"/>
    <w:rsid w:val="4ECF14BB"/>
    <w:rsid w:val="501F70B7"/>
    <w:rsid w:val="515F7C02"/>
    <w:rsid w:val="52836018"/>
    <w:rsid w:val="529426C8"/>
    <w:rsid w:val="53441E38"/>
    <w:rsid w:val="53F73D1F"/>
    <w:rsid w:val="5405308B"/>
    <w:rsid w:val="55264138"/>
    <w:rsid w:val="56152E93"/>
    <w:rsid w:val="5A097CFD"/>
    <w:rsid w:val="5DC475FF"/>
    <w:rsid w:val="60F46CC5"/>
    <w:rsid w:val="63AF523B"/>
    <w:rsid w:val="662B4E3B"/>
    <w:rsid w:val="67136EAD"/>
    <w:rsid w:val="67226E55"/>
    <w:rsid w:val="6A00454B"/>
    <w:rsid w:val="6A051911"/>
    <w:rsid w:val="6CC90E29"/>
    <w:rsid w:val="6D8A7502"/>
    <w:rsid w:val="704B11CB"/>
    <w:rsid w:val="712D14B4"/>
    <w:rsid w:val="720F384E"/>
    <w:rsid w:val="75704750"/>
    <w:rsid w:val="76D24A48"/>
    <w:rsid w:val="79147A79"/>
    <w:rsid w:val="799F31DC"/>
    <w:rsid w:val="79BE67C2"/>
    <w:rsid w:val="7AFE3801"/>
    <w:rsid w:val="7BF33BE1"/>
    <w:rsid w:val="7DA55C93"/>
    <w:rsid w:val="7E635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29"/>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0"/>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2">
    <w:name w:val="heading 3"/>
    <w:basedOn w:val="1"/>
    <w:next w:val="1"/>
    <w:link w:val="31"/>
    <w:unhideWhenUsed/>
    <w:qFormat/>
    <w:uiPriority w:val="0"/>
    <w:pPr>
      <w:keepNext/>
      <w:keepLines/>
      <w:spacing w:before="260" w:after="260" w:line="416" w:lineRule="auto"/>
      <w:outlineLvl w:val="2"/>
    </w:pPr>
    <w:rPr>
      <w:rFonts w:eastAsia="楷体"/>
      <w:b/>
      <w:bCs/>
      <w:szCs w:val="32"/>
    </w:rPr>
  </w:style>
  <w:style w:type="paragraph" w:styleId="5">
    <w:name w:val="heading 4"/>
    <w:basedOn w:val="1"/>
    <w:next w:val="1"/>
    <w:link w:val="32"/>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6">
    <w:name w:val="heading 5"/>
    <w:basedOn w:val="5"/>
    <w:next w:val="7"/>
    <w:link w:val="33"/>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0"/>
      <w:jc w:val="left"/>
    </w:pPr>
    <w:rPr>
      <w:rFonts w:ascii="宋体" w:hAnsi="Times New Roman" w:eastAsia="宋体" w:cs="Times New Roman"/>
      <w:kern w:val="0"/>
      <w:sz w:val="21"/>
      <w:szCs w:val="24"/>
    </w:rPr>
  </w:style>
  <w:style w:type="paragraph" w:styleId="8">
    <w:name w:val="annotation text"/>
    <w:basedOn w:val="1"/>
    <w:link w:val="41"/>
    <w:qFormat/>
    <w:uiPriority w:val="0"/>
    <w:pPr>
      <w:widowControl w:val="0"/>
      <w:spacing w:line="240" w:lineRule="auto"/>
      <w:ind w:firstLine="0" w:firstLineChars="0"/>
      <w:jc w:val="left"/>
    </w:pPr>
    <w:rPr>
      <w:sz w:val="21"/>
      <w:szCs w:val="24"/>
    </w:rPr>
  </w:style>
  <w:style w:type="paragraph" w:styleId="9">
    <w:name w:val="Body Text"/>
    <w:basedOn w:val="1"/>
    <w:link w:val="38"/>
    <w:qFormat/>
    <w:uiPriority w:val="0"/>
    <w:pPr>
      <w:widowControl w:val="0"/>
      <w:spacing w:after="120" w:line="240" w:lineRule="auto"/>
      <w:ind w:firstLine="0" w:firstLineChars="0"/>
    </w:pPr>
    <w:rPr>
      <w:sz w:val="21"/>
      <w:szCs w:val="24"/>
    </w:rPr>
  </w:style>
  <w:style w:type="paragraph" w:styleId="10">
    <w:name w:val="Body Text Indent"/>
    <w:basedOn w:val="1"/>
    <w:link w:val="57"/>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1">
    <w:name w:val="Plain Text"/>
    <w:basedOn w:val="1"/>
    <w:link w:val="37"/>
    <w:qFormat/>
    <w:uiPriority w:val="0"/>
    <w:pPr>
      <w:widowControl w:val="0"/>
      <w:spacing w:line="240" w:lineRule="auto"/>
      <w:ind w:firstLine="0" w:firstLineChars="0"/>
    </w:pPr>
    <w:rPr>
      <w:rFonts w:ascii="宋体" w:hAnsi="Courier New" w:cs="Courier New"/>
      <w:sz w:val="21"/>
      <w:szCs w:val="21"/>
    </w:rPr>
  </w:style>
  <w:style w:type="paragraph" w:styleId="12">
    <w:name w:val="Date"/>
    <w:basedOn w:val="1"/>
    <w:next w:val="1"/>
    <w:link w:val="53"/>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3">
    <w:name w:val="Body Text Indent 2"/>
    <w:basedOn w:val="1"/>
    <w:link w:val="54"/>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4">
    <w:name w:val="Balloon Text"/>
    <w:basedOn w:val="1"/>
    <w:link w:val="60"/>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5">
    <w:name w:val="footer"/>
    <w:basedOn w:val="1"/>
    <w:link w:val="51"/>
    <w:qFormat/>
    <w:uiPriority w:val="0"/>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6">
    <w:name w:val="header"/>
    <w:basedOn w:val="1"/>
    <w:link w:val="34"/>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7">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8">
    <w:name w:val="Body Text Indent 3"/>
    <w:basedOn w:val="1"/>
    <w:link w:val="43"/>
    <w:qFormat/>
    <w:uiPriority w:val="0"/>
    <w:pPr>
      <w:widowControl w:val="0"/>
      <w:spacing w:after="120" w:line="240" w:lineRule="auto"/>
      <w:ind w:left="420" w:leftChars="200" w:firstLine="0" w:firstLineChars="0"/>
    </w:pPr>
    <w:rPr>
      <w:sz w:val="16"/>
      <w:szCs w:val="16"/>
    </w:rPr>
  </w:style>
  <w:style w:type="paragraph" w:styleId="19">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0">
    <w:name w:val="Body Text 2"/>
    <w:basedOn w:val="1"/>
    <w:link w:val="59"/>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1">
    <w:name w:val="Title"/>
    <w:basedOn w:val="1"/>
    <w:next w:val="1"/>
    <w:link w:val="39"/>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2">
    <w:name w:val="annotation subject"/>
    <w:basedOn w:val="8"/>
    <w:next w:val="8"/>
    <w:link w:val="44"/>
    <w:qFormat/>
    <w:uiPriority w:val="0"/>
    <w:rPr>
      <w:b/>
      <w:bCs/>
    </w:rPr>
  </w:style>
  <w:style w:type="paragraph" w:styleId="23">
    <w:name w:val="Body Text First Indent"/>
    <w:basedOn w:val="9"/>
    <w:link w:val="46"/>
    <w:qFormat/>
    <w:uiPriority w:val="0"/>
    <w:pPr>
      <w:spacing w:after="0" w:line="300" w:lineRule="auto"/>
      <w:ind w:firstLine="425"/>
    </w:pPr>
  </w:style>
  <w:style w:type="table" w:styleId="25">
    <w:name w:val="Table Grid"/>
    <w:basedOn w:val="24"/>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szCs w:val="21"/>
    </w:rPr>
  </w:style>
  <w:style w:type="character" w:customStyle="1" w:styleId="29">
    <w:name w:val="标题 1 字符"/>
    <w:basedOn w:val="26"/>
    <w:link w:val="3"/>
    <w:qFormat/>
    <w:uiPriority w:val="0"/>
    <w:rPr>
      <w:rFonts w:eastAsia="黑体"/>
      <w:bCs/>
      <w:kern w:val="44"/>
      <w:sz w:val="36"/>
      <w:szCs w:val="44"/>
    </w:rPr>
  </w:style>
  <w:style w:type="character" w:customStyle="1" w:styleId="30">
    <w:name w:val="标题 2 字符"/>
    <w:basedOn w:val="26"/>
    <w:link w:val="4"/>
    <w:semiHidden/>
    <w:qFormat/>
    <w:uiPriority w:val="9"/>
    <w:rPr>
      <w:rFonts w:eastAsia="黑体" w:asciiTheme="majorHAnsi" w:hAnsiTheme="majorHAnsi" w:cstheme="majorBidi"/>
      <w:bCs/>
      <w:szCs w:val="32"/>
    </w:rPr>
  </w:style>
  <w:style w:type="character" w:customStyle="1" w:styleId="31">
    <w:name w:val="标题 3 字符"/>
    <w:basedOn w:val="26"/>
    <w:link w:val="2"/>
    <w:qFormat/>
    <w:uiPriority w:val="0"/>
    <w:rPr>
      <w:rFonts w:eastAsia="楷体"/>
      <w:b/>
      <w:bCs/>
      <w:szCs w:val="32"/>
    </w:rPr>
  </w:style>
  <w:style w:type="character" w:customStyle="1" w:styleId="32">
    <w:name w:val="标题 4 字符"/>
    <w:basedOn w:val="26"/>
    <w:link w:val="5"/>
    <w:semiHidden/>
    <w:qFormat/>
    <w:uiPriority w:val="9"/>
    <w:rPr>
      <w:rFonts w:asciiTheme="majorHAnsi" w:hAnsiTheme="majorHAnsi" w:cstheme="majorBidi"/>
      <w:b/>
      <w:bCs/>
      <w:szCs w:val="28"/>
    </w:rPr>
  </w:style>
  <w:style w:type="character" w:customStyle="1" w:styleId="33">
    <w:name w:val="标题 5 字符"/>
    <w:basedOn w:val="26"/>
    <w:link w:val="6"/>
    <w:qFormat/>
    <w:uiPriority w:val="0"/>
    <w:rPr>
      <w:rFonts w:ascii="Arial" w:hAnsi="Arial" w:eastAsia="黑体" w:cs="Times New Roman"/>
      <w:kern w:val="0"/>
      <w:sz w:val="28"/>
      <w:szCs w:val="28"/>
    </w:rPr>
  </w:style>
  <w:style w:type="character" w:customStyle="1" w:styleId="34">
    <w:name w:val="页眉 字符1"/>
    <w:link w:val="16"/>
    <w:qFormat/>
    <w:uiPriority w:val="99"/>
    <w:rPr>
      <w:sz w:val="18"/>
      <w:szCs w:val="18"/>
    </w:rPr>
  </w:style>
  <w:style w:type="character" w:customStyle="1" w:styleId="35">
    <w:name w:val="font31"/>
    <w:qFormat/>
    <w:uiPriority w:val="0"/>
    <w:rPr>
      <w:rFonts w:hint="eastAsia" w:ascii="宋体" w:hAnsi="宋体" w:eastAsia="宋体" w:cs="宋体"/>
      <w:color w:val="FF0000"/>
      <w:sz w:val="18"/>
      <w:szCs w:val="18"/>
      <w:u w:val="none"/>
    </w:rPr>
  </w:style>
  <w:style w:type="character" w:customStyle="1" w:styleId="36">
    <w:name w:val="NormalCharacter"/>
    <w:qFormat/>
    <w:uiPriority w:val="0"/>
  </w:style>
  <w:style w:type="character" w:customStyle="1" w:styleId="37">
    <w:name w:val="纯文本 字符"/>
    <w:link w:val="11"/>
    <w:qFormat/>
    <w:uiPriority w:val="0"/>
    <w:rPr>
      <w:rFonts w:ascii="宋体" w:hAnsi="Courier New" w:cs="Courier New"/>
      <w:sz w:val="21"/>
      <w:szCs w:val="21"/>
    </w:rPr>
  </w:style>
  <w:style w:type="character" w:customStyle="1" w:styleId="38">
    <w:name w:val="正文文本 字符"/>
    <w:link w:val="9"/>
    <w:qFormat/>
    <w:uiPriority w:val="0"/>
    <w:rPr>
      <w:sz w:val="21"/>
      <w:szCs w:val="24"/>
    </w:rPr>
  </w:style>
  <w:style w:type="character" w:customStyle="1" w:styleId="39">
    <w:name w:val="标题 字符"/>
    <w:link w:val="21"/>
    <w:qFormat/>
    <w:uiPriority w:val="0"/>
    <w:rPr>
      <w:rFonts w:ascii="Cambria" w:hAnsi="Cambria"/>
      <w:b/>
      <w:bCs/>
      <w:szCs w:val="32"/>
    </w:rPr>
  </w:style>
  <w:style w:type="character" w:customStyle="1" w:styleId="40">
    <w:name w:val="font01"/>
    <w:qFormat/>
    <w:uiPriority w:val="0"/>
    <w:rPr>
      <w:rFonts w:hint="eastAsia" w:ascii="宋体" w:hAnsi="宋体" w:eastAsia="宋体" w:cs="宋体"/>
      <w:color w:val="000000"/>
      <w:sz w:val="18"/>
      <w:szCs w:val="18"/>
      <w:u w:val="none"/>
    </w:rPr>
  </w:style>
  <w:style w:type="character" w:customStyle="1" w:styleId="41">
    <w:name w:val="批注文字 字符"/>
    <w:link w:val="8"/>
    <w:qFormat/>
    <w:uiPriority w:val="0"/>
    <w:rPr>
      <w:sz w:val="21"/>
      <w:szCs w:val="24"/>
    </w:rPr>
  </w:style>
  <w:style w:type="character" w:customStyle="1" w:styleId="42">
    <w:name w:val="页眉 字符"/>
    <w:qFormat/>
    <w:uiPriority w:val="99"/>
    <w:rPr>
      <w:kern w:val="2"/>
      <w:sz w:val="18"/>
      <w:szCs w:val="18"/>
    </w:rPr>
  </w:style>
  <w:style w:type="character" w:customStyle="1" w:styleId="43">
    <w:name w:val="正文文本缩进 3 字符"/>
    <w:link w:val="18"/>
    <w:qFormat/>
    <w:uiPriority w:val="0"/>
    <w:rPr>
      <w:sz w:val="16"/>
      <w:szCs w:val="16"/>
    </w:rPr>
  </w:style>
  <w:style w:type="character" w:customStyle="1" w:styleId="44">
    <w:name w:val="批注主题 字符"/>
    <w:link w:val="22"/>
    <w:qFormat/>
    <w:uiPriority w:val="0"/>
    <w:rPr>
      <w:b/>
      <w:bCs/>
      <w:sz w:val="21"/>
      <w:szCs w:val="24"/>
    </w:rPr>
  </w:style>
  <w:style w:type="character" w:customStyle="1" w:styleId="45">
    <w:name w:val="节 Char Char"/>
    <w:qFormat/>
    <w:uiPriority w:val="0"/>
    <w:rPr>
      <w:rFonts w:ascii="Arial" w:hAnsi="Arial" w:eastAsia="黑体"/>
      <w:b/>
      <w:kern w:val="2"/>
      <w:sz w:val="32"/>
      <w:lang w:val="en-US" w:eastAsia="zh-CN"/>
    </w:rPr>
  </w:style>
  <w:style w:type="character" w:customStyle="1" w:styleId="46">
    <w:name w:val="正文文本首行缩进 字符"/>
    <w:link w:val="23"/>
    <w:qFormat/>
    <w:uiPriority w:val="0"/>
    <w:rPr>
      <w:sz w:val="21"/>
      <w:szCs w:val="24"/>
    </w:rPr>
  </w:style>
  <w:style w:type="character" w:customStyle="1" w:styleId="47">
    <w:name w:val="Body Text Char1"/>
    <w:basedOn w:val="26"/>
    <w:semiHidden/>
    <w:qFormat/>
    <w:uiPriority w:val="99"/>
  </w:style>
  <w:style w:type="character" w:customStyle="1" w:styleId="48">
    <w:name w:val="Header Char1"/>
    <w:basedOn w:val="26"/>
    <w:semiHidden/>
    <w:qFormat/>
    <w:uiPriority w:val="99"/>
    <w:rPr>
      <w:sz w:val="18"/>
      <w:szCs w:val="18"/>
    </w:rPr>
  </w:style>
  <w:style w:type="character" w:customStyle="1" w:styleId="49">
    <w:name w:val="Comment Text Char1"/>
    <w:basedOn w:val="26"/>
    <w:semiHidden/>
    <w:qFormat/>
    <w:uiPriority w:val="99"/>
  </w:style>
  <w:style w:type="character" w:customStyle="1" w:styleId="50">
    <w:name w:val="Body Text Indent 3 Char1"/>
    <w:basedOn w:val="26"/>
    <w:semiHidden/>
    <w:qFormat/>
    <w:uiPriority w:val="99"/>
    <w:rPr>
      <w:sz w:val="16"/>
      <w:szCs w:val="16"/>
    </w:rPr>
  </w:style>
  <w:style w:type="character" w:customStyle="1" w:styleId="51">
    <w:name w:val="页脚 字符"/>
    <w:basedOn w:val="26"/>
    <w:link w:val="15"/>
    <w:qFormat/>
    <w:uiPriority w:val="0"/>
    <w:rPr>
      <w:rFonts w:ascii="Times New Roman" w:hAnsi="Times New Roman" w:eastAsia="宋体" w:cs="Times New Roman"/>
      <w:sz w:val="18"/>
      <w:szCs w:val="18"/>
    </w:rPr>
  </w:style>
  <w:style w:type="character" w:customStyle="1" w:styleId="52">
    <w:name w:val="Body Text First Indent Char1"/>
    <w:basedOn w:val="47"/>
    <w:semiHidden/>
    <w:qFormat/>
    <w:uiPriority w:val="99"/>
  </w:style>
  <w:style w:type="character" w:customStyle="1" w:styleId="53">
    <w:name w:val="日期 字符"/>
    <w:basedOn w:val="26"/>
    <w:link w:val="12"/>
    <w:qFormat/>
    <w:uiPriority w:val="0"/>
    <w:rPr>
      <w:rFonts w:ascii="Times New Roman" w:hAnsi="Times New Roman" w:eastAsia="宋体" w:cs="Times New Roman"/>
      <w:sz w:val="21"/>
      <w:szCs w:val="24"/>
    </w:rPr>
  </w:style>
  <w:style w:type="character" w:customStyle="1" w:styleId="54">
    <w:name w:val="正文文本缩进 2 字符"/>
    <w:basedOn w:val="26"/>
    <w:link w:val="13"/>
    <w:qFormat/>
    <w:uiPriority w:val="0"/>
    <w:rPr>
      <w:rFonts w:ascii="Times New Roman" w:hAnsi="Times New Roman" w:eastAsia="宋体" w:cs="Times New Roman"/>
      <w:kern w:val="0"/>
      <w:sz w:val="21"/>
      <w:szCs w:val="24"/>
    </w:rPr>
  </w:style>
  <w:style w:type="character" w:customStyle="1" w:styleId="55">
    <w:name w:val="Title Char1"/>
    <w:basedOn w:val="26"/>
    <w:qFormat/>
    <w:uiPriority w:val="10"/>
    <w:rPr>
      <w:rFonts w:asciiTheme="majorHAnsi" w:hAnsiTheme="majorHAnsi" w:eastAsiaTheme="majorEastAsia" w:cstheme="majorBidi"/>
      <w:b/>
      <w:bCs/>
      <w:szCs w:val="32"/>
    </w:rPr>
  </w:style>
  <w:style w:type="character" w:customStyle="1" w:styleId="56">
    <w:name w:val="Plain Text Char1"/>
    <w:basedOn w:val="26"/>
    <w:semiHidden/>
    <w:qFormat/>
    <w:uiPriority w:val="99"/>
    <w:rPr>
      <w:rFonts w:hAnsi="Courier New" w:cs="Courier New" w:asciiTheme="minorEastAsia" w:eastAsiaTheme="minorEastAsia"/>
    </w:rPr>
  </w:style>
  <w:style w:type="character" w:customStyle="1" w:styleId="57">
    <w:name w:val="正文文本缩进 字符"/>
    <w:basedOn w:val="26"/>
    <w:link w:val="10"/>
    <w:qFormat/>
    <w:uiPriority w:val="0"/>
    <w:rPr>
      <w:rFonts w:ascii="Times New Roman" w:hAnsi="Times New Roman" w:eastAsia="宋体" w:cs="Times New Roman"/>
      <w:kern w:val="0"/>
      <w:sz w:val="21"/>
      <w:szCs w:val="24"/>
    </w:rPr>
  </w:style>
  <w:style w:type="character" w:customStyle="1" w:styleId="58">
    <w:name w:val="Comment Subject Char1"/>
    <w:basedOn w:val="49"/>
    <w:semiHidden/>
    <w:qFormat/>
    <w:uiPriority w:val="99"/>
    <w:rPr>
      <w:b/>
      <w:bCs/>
    </w:rPr>
  </w:style>
  <w:style w:type="character" w:customStyle="1" w:styleId="59">
    <w:name w:val="正文文本 2 字符"/>
    <w:basedOn w:val="26"/>
    <w:link w:val="20"/>
    <w:qFormat/>
    <w:uiPriority w:val="0"/>
    <w:rPr>
      <w:rFonts w:ascii="Times New Roman" w:hAnsi="Times New Roman" w:eastAsia="宋体" w:cs="Times New Roman"/>
      <w:sz w:val="21"/>
      <w:szCs w:val="24"/>
    </w:rPr>
  </w:style>
  <w:style w:type="character" w:customStyle="1" w:styleId="60">
    <w:name w:val="批注框文本 字符"/>
    <w:basedOn w:val="26"/>
    <w:link w:val="14"/>
    <w:semiHidden/>
    <w:qFormat/>
    <w:uiPriority w:val="0"/>
    <w:rPr>
      <w:rFonts w:ascii="Times New Roman" w:hAnsi="Times New Roman" w:eastAsia="宋体" w:cs="Times New Roman"/>
      <w:sz w:val="18"/>
      <w:szCs w:val="18"/>
    </w:rPr>
  </w:style>
  <w:style w:type="paragraph" w:customStyle="1" w:styleId="61">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2">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3">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4">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5">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6">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67">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68">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69">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0">
    <w:name w:val="网格型1"/>
    <w:basedOn w:val="24"/>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公文正文"/>
    <w:basedOn w:val="1"/>
    <w:qFormat/>
    <w:uiPriority w:val="0"/>
    <w:rPr>
      <w:rFonts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51562-4C2E-4FDA-A32A-1F41954E9A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11040</Words>
  <Characters>11519</Characters>
  <Lines>14</Lines>
  <Paragraphs>25</Paragraphs>
  <TotalTime>19</TotalTime>
  <ScaleCrop>false</ScaleCrop>
  <LinksUpToDate>false</LinksUpToDate>
  <CharactersWithSpaces>12111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2021-12-27T03:15:00Z</dcterms:created>
  <dc:creator>Angel HT Zhao</dc:creator>
  <cp:lastModifiedBy>钟怡</cp:lastModifiedBy>
  <cp:lastPrinted>2022-04-26T01:31:00Z</cp:lastPrinted>
  <dcterms:modified xsi:type="dcterms:W3CDTF">2022-04-26T08:13:58Z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5032998CE58D4890A65AD26D457CAFB1</vt:lpwstr>
  </property>
</Properties>
</file>