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3" w:firstLineChars="300"/>
        <w:jc w:val="center"/>
        <w:rPr>
          <w:rFonts w:ascii="宋体" w:hAnsi="宋体" w:eastAsia="宋体" w:cs="宋体"/>
          <w:b/>
          <w:bCs/>
          <w:kern w:val="0"/>
          <w:sz w:val="24"/>
          <w:szCs w:val="24"/>
        </w:rPr>
      </w:pPr>
      <w:r>
        <w:rPr>
          <w:rFonts w:hint="eastAsia" w:ascii="宋体" w:hAnsi="宋体" w:eastAsia="宋体" w:cs="宋体"/>
          <w:b/>
          <w:bCs/>
          <w:kern w:val="0"/>
          <w:sz w:val="28"/>
          <w:szCs w:val="28"/>
        </w:rPr>
        <w:t>任务书</w:t>
      </w:r>
    </w:p>
    <w:p>
      <w:pPr>
        <w:pStyle w:val="13"/>
        <w:numPr>
          <w:ilvl w:val="0"/>
          <w:numId w:val="0"/>
        </w:numPr>
        <w:rPr>
          <w:rFonts w:ascii="新宋体" w:hAnsi="新宋体" w:eastAsia="新宋体" w:cs="仿宋"/>
          <w:b/>
          <w:bCs/>
          <w:szCs w:val="21"/>
        </w:rPr>
      </w:pPr>
      <w:r>
        <w:rPr>
          <w:rFonts w:hint="eastAsia" w:ascii="新宋体" w:hAnsi="新宋体" w:eastAsia="新宋体" w:cs="仿宋"/>
          <w:b/>
          <w:bCs/>
          <w:szCs w:val="21"/>
        </w:rPr>
        <w:t>一、宣传片</w:t>
      </w:r>
    </w:p>
    <w:p>
      <w:pPr>
        <w:pStyle w:val="13"/>
        <w:numPr>
          <w:ilvl w:val="0"/>
          <w:numId w:val="0"/>
        </w:numPr>
        <w:rPr>
          <w:rFonts w:ascii="新宋体" w:hAnsi="新宋体" w:eastAsia="新宋体" w:cs="仿宋"/>
          <w:b/>
          <w:bCs/>
          <w:szCs w:val="21"/>
        </w:rPr>
      </w:pPr>
      <w:r>
        <w:rPr>
          <w:rFonts w:hint="eastAsia" w:ascii="新宋体" w:hAnsi="新宋体" w:eastAsia="新宋体" w:cs="仿宋"/>
          <w:b/>
          <w:bCs/>
          <w:szCs w:val="21"/>
        </w:rPr>
        <w:t>（一）宣传片时长</w:t>
      </w:r>
    </w:p>
    <w:p>
      <w:pPr>
        <w:pStyle w:val="13"/>
        <w:numPr>
          <w:ilvl w:val="0"/>
          <w:numId w:val="0"/>
        </w:numPr>
        <w:rPr>
          <w:rFonts w:ascii="新宋体" w:hAnsi="新宋体" w:eastAsia="新宋体" w:cs="仿宋"/>
          <w:szCs w:val="21"/>
        </w:rPr>
      </w:pPr>
      <w:r>
        <w:rPr>
          <w:rFonts w:hint="eastAsia" w:ascii="新宋体" w:hAnsi="新宋体" w:eastAsia="新宋体" w:cs="仿宋"/>
          <w:szCs w:val="21"/>
        </w:rPr>
        <w:t>总体时长控制在</w:t>
      </w:r>
      <w:r>
        <w:rPr>
          <w:rFonts w:ascii="新宋体" w:hAnsi="新宋体" w:eastAsia="新宋体" w:cs="仿宋"/>
          <w:szCs w:val="21"/>
        </w:rPr>
        <w:t>3分钟左右；</w:t>
      </w:r>
    </w:p>
    <w:p>
      <w:pPr>
        <w:pStyle w:val="2"/>
        <w:ind w:left="0" w:leftChars="0" w:firstLine="0" w:firstLineChars="0"/>
        <w:rPr>
          <w:rFonts w:ascii="新宋体" w:hAnsi="新宋体" w:eastAsia="新宋体" w:cs="仿宋"/>
          <w:b/>
          <w:bCs/>
          <w:sz w:val="21"/>
        </w:rPr>
      </w:pPr>
      <w:r>
        <w:rPr>
          <w:rFonts w:hint="eastAsia" w:ascii="新宋体" w:hAnsi="新宋体" w:eastAsia="新宋体" w:cs="仿宋"/>
          <w:b/>
          <w:bCs/>
          <w:sz w:val="21"/>
        </w:rPr>
        <w:t>（二）宣传片制作需求：</w:t>
      </w:r>
    </w:p>
    <w:p>
      <w:pPr>
        <w:pStyle w:val="2"/>
        <w:numPr>
          <w:ilvl w:val="0"/>
          <w:numId w:val="3"/>
        </w:numPr>
        <w:spacing w:line="360" w:lineRule="auto"/>
        <w:rPr>
          <w:rFonts w:ascii="新宋体" w:hAnsi="新宋体" w:eastAsia="新宋体" w:cs="微软雅黑"/>
          <w:sz w:val="21"/>
        </w:rPr>
      </w:pPr>
      <w:r>
        <w:rPr>
          <w:rFonts w:hint="eastAsia" w:ascii="新宋体" w:hAnsi="新宋体" w:eastAsia="新宋体" w:cs="微软雅黑"/>
          <w:sz w:val="21"/>
        </w:rPr>
        <w:t>创意方案以及脚本制作：影片像素为</w:t>
      </w:r>
      <w:r>
        <w:rPr>
          <w:rFonts w:ascii="新宋体" w:hAnsi="新宋体" w:eastAsia="新宋体" w:cs="微软雅黑"/>
          <w:sz w:val="21"/>
        </w:rPr>
        <w:t>1920*1080</w:t>
      </w:r>
      <w:r>
        <w:rPr>
          <w:rFonts w:hint="eastAsia" w:ascii="新宋体" w:hAnsi="新宋体" w:eastAsia="新宋体" w:cs="微软雅黑"/>
          <w:sz w:val="21"/>
        </w:rPr>
        <w:t>，形象片和功能片结合，主要内容包括但不限于策略方向、执行脚本、拍摄计划、配音同期声宣传片需要突出江东新区优势、发展潜力、政策利好等包含项目整体亮点、配套等介绍，重点凸显产品高度，拔高项目调性，时长</w:t>
      </w:r>
      <w:r>
        <w:rPr>
          <w:rFonts w:ascii="新宋体" w:hAnsi="新宋体" w:eastAsia="新宋体" w:cs="微软雅黑"/>
          <w:sz w:val="21"/>
        </w:rPr>
        <w:t>3分钟。</w:t>
      </w:r>
    </w:p>
    <w:p>
      <w:pPr>
        <w:pStyle w:val="2"/>
        <w:numPr>
          <w:ilvl w:val="0"/>
          <w:numId w:val="3"/>
        </w:numPr>
        <w:spacing w:line="360" w:lineRule="auto"/>
        <w:rPr>
          <w:rFonts w:ascii="新宋体" w:hAnsi="新宋体" w:eastAsia="新宋体" w:cs="微软雅黑"/>
          <w:sz w:val="21"/>
        </w:rPr>
      </w:pPr>
      <w:r>
        <w:rPr>
          <w:rFonts w:hint="eastAsia" w:ascii="新宋体" w:hAnsi="新宋体" w:eastAsia="新宋体" w:cs="微软雅黑"/>
          <w:sz w:val="21"/>
          <w:szCs w:val="15"/>
        </w:rPr>
        <w:t>专业配音：</w:t>
      </w:r>
      <w:r>
        <w:rPr>
          <w:rFonts w:hint="eastAsia" w:ascii="新宋体" w:hAnsi="新宋体" w:eastAsia="新宋体" w:cs="微软雅黑"/>
          <w:sz w:val="21"/>
        </w:rPr>
        <w:t>影片像素为</w:t>
      </w:r>
      <w:r>
        <w:rPr>
          <w:rFonts w:ascii="新宋体" w:hAnsi="新宋体" w:eastAsia="新宋体" w:cs="微软雅黑"/>
          <w:sz w:val="21"/>
        </w:rPr>
        <w:t>1920*1080</w:t>
      </w:r>
      <w:r>
        <w:rPr>
          <w:rFonts w:hint="eastAsia" w:ascii="新宋体" w:hAnsi="新宋体" w:eastAsia="新宋体" w:cs="微软雅黑"/>
          <w:sz w:val="21"/>
        </w:rPr>
        <w:t>，主要内容包括但不限于</w:t>
      </w:r>
      <w:r>
        <w:rPr>
          <w:rFonts w:hint="eastAsia" w:ascii="新宋体" w:hAnsi="新宋体" w:eastAsia="新宋体" w:cs="微软雅黑"/>
          <w:sz w:val="21"/>
          <w:szCs w:val="15"/>
        </w:rPr>
        <w:t>提供</w:t>
      </w:r>
      <w:r>
        <w:rPr>
          <w:rFonts w:ascii="新宋体" w:hAnsi="新宋体" w:eastAsia="新宋体" w:cs="微软雅黑"/>
          <w:sz w:val="21"/>
          <w:szCs w:val="15"/>
        </w:rPr>
        <w:t>3种配音以供开发商筛选</w:t>
      </w:r>
      <w:r>
        <w:rPr>
          <w:rFonts w:hint="eastAsia" w:ascii="新宋体" w:hAnsi="新宋体" w:eastAsia="新宋体" w:cs="微软雅黑"/>
          <w:sz w:val="21"/>
        </w:rPr>
        <w:t>，时长</w:t>
      </w:r>
      <w:r>
        <w:rPr>
          <w:rFonts w:ascii="新宋体" w:hAnsi="新宋体" w:eastAsia="新宋体" w:cs="微软雅黑"/>
          <w:sz w:val="21"/>
        </w:rPr>
        <w:t>3分钟。</w:t>
      </w:r>
    </w:p>
    <w:p>
      <w:pPr>
        <w:pStyle w:val="2"/>
        <w:numPr>
          <w:ilvl w:val="0"/>
          <w:numId w:val="3"/>
        </w:numPr>
        <w:spacing w:line="360" w:lineRule="auto"/>
        <w:rPr>
          <w:rFonts w:ascii="新宋体" w:hAnsi="新宋体" w:eastAsia="新宋体" w:cs="微软雅黑"/>
          <w:sz w:val="21"/>
        </w:rPr>
      </w:pPr>
      <w:r>
        <w:rPr>
          <w:rFonts w:hint="eastAsia" w:ascii="新宋体" w:hAnsi="新宋体" w:eastAsia="新宋体" w:cs="微软雅黑"/>
          <w:sz w:val="21"/>
          <w:szCs w:val="15"/>
        </w:rPr>
        <w:t>实拍以及航拍：</w:t>
      </w:r>
      <w:r>
        <w:rPr>
          <w:rFonts w:hint="eastAsia" w:ascii="新宋体" w:hAnsi="新宋体" w:eastAsia="新宋体" w:cs="微软雅黑"/>
          <w:sz w:val="21"/>
        </w:rPr>
        <w:t>影片像素为</w:t>
      </w:r>
      <w:r>
        <w:rPr>
          <w:rFonts w:ascii="新宋体" w:hAnsi="新宋体" w:eastAsia="新宋体" w:cs="微软雅黑"/>
          <w:sz w:val="21"/>
        </w:rPr>
        <w:t>1920*1080</w:t>
      </w:r>
      <w:r>
        <w:rPr>
          <w:rFonts w:hint="eastAsia" w:ascii="新宋体" w:hAnsi="新宋体" w:eastAsia="新宋体" w:cs="微软雅黑"/>
          <w:sz w:val="21"/>
        </w:rPr>
        <w:t>，主要内容包括但不限于</w:t>
      </w:r>
      <w:r>
        <w:rPr>
          <w:rFonts w:hint="eastAsia" w:ascii="新宋体" w:hAnsi="新宋体" w:eastAsia="新宋体" w:cs="微软雅黑"/>
          <w:sz w:val="21"/>
          <w:szCs w:val="15"/>
        </w:rPr>
        <w:t>拍摄城市以及项目必要包含的场景，素材可提供开发商后期自行使用</w:t>
      </w:r>
      <w:r>
        <w:rPr>
          <w:rFonts w:hint="eastAsia" w:ascii="新宋体" w:hAnsi="新宋体" w:eastAsia="新宋体" w:cs="微软雅黑"/>
          <w:sz w:val="21"/>
        </w:rPr>
        <w:t>，</w:t>
      </w:r>
      <w:r>
        <w:rPr>
          <w:rFonts w:hint="eastAsia" w:ascii="新宋体" w:hAnsi="新宋体" w:eastAsia="新宋体" w:cs="微软雅黑"/>
          <w:sz w:val="21"/>
          <w:szCs w:val="15"/>
        </w:rPr>
        <w:t>时长根据脚本确定</w:t>
      </w:r>
      <w:r>
        <w:rPr>
          <w:rFonts w:hint="eastAsia" w:ascii="新宋体" w:hAnsi="新宋体" w:eastAsia="新宋体" w:cs="微软雅黑"/>
          <w:sz w:val="21"/>
        </w:rPr>
        <w:t>。</w:t>
      </w:r>
    </w:p>
    <w:p>
      <w:pPr>
        <w:pStyle w:val="2"/>
        <w:numPr>
          <w:ilvl w:val="0"/>
          <w:numId w:val="3"/>
        </w:numPr>
        <w:spacing w:line="360" w:lineRule="auto"/>
        <w:rPr>
          <w:rFonts w:ascii="新宋体" w:hAnsi="新宋体" w:eastAsia="新宋体" w:cs="微软雅黑"/>
          <w:sz w:val="21"/>
        </w:rPr>
      </w:pPr>
      <w:r>
        <w:rPr>
          <w:rFonts w:hint="eastAsia" w:ascii="新宋体" w:hAnsi="新宋体" w:eastAsia="新宋体" w:cs="微软雅黑"/>
          <w:sz w:val="21"/>
          <w:szCs w:val="15"/>
        </w:rPr>
        <w:t>特效包装：</w:t>
      </w:r>
      <w:r>
        <w:rPr>
          <w:rFonts w:hint="eastAsia" w:ascii="新宋体" w:hAnsi="新宋体" w:eastAsia="新宋体" w:cs="微软雅黑"/>
          <w:sz w:val="21"/>
        </w:rPr>
        <w:t>影片像素为</w:t>
      </w:r>
      <w:r>
        <w:rPr>
          <w:rFonts w:ascii="新宋体" w:hAnsi="新宋体" w:eastAsia="新宋体" w:cs="微软雅黑"/>
          <w:sz w:val="21"/>
        </w:rPr>
        <w:t>1920*1080</w:t>
      </w:r>
      <w:r>
        <w:rPr>
          <w:rFonts w:hint="eastAsia" w:ascii="新宋体" w:hAnsi="新宋体" w:eastAsia="新宋体" w:cs="微软雅黑"/>
          <w:sz w:val="21"/>
        </w:rPr>
        <w:t>，主要内容包括但不限于</w:t>
      </w:r>
      <w:r>
        <w:rPr>
          <w:rFonts w:hint="eastAsia" w:ascii="新宋体" w:hAnsi="新宋体" w:eastAsia="新宋体" w:cs="微软雅黑"/>
          <w:sz w:val="21"/>
          <w:szCs w:val="15"/>
        </w:rPr>
        <w:t>根据影片中出现的创意元素进行特效制作，贯穿全片，时长根据脚本确定。</w:t>
      </w:r>
    </w:p>
    <w:p>
      <w:pPr>
        <w:pStyle w:val="2"/>
        <w:numPr>
          <w:ilvl w:val="0"/>
          <w:numId w:val="3"/>
        </w:numPr>
        <w:spacing w:line="360" w:lineRule="auto"/>
        <w:rPr>
          <w:rFonts w:ascii="新宋体" w:hAnsi="新宋体" w:eastAsia="新宋体" w:cs="微软雅黑"/>
          <w:sz w:val="21"/>
        </w:rPr>
      </w:pPr>
      <w:r>
        <w:rPr>
          <w:rFonts w:ascii="新宋体" w:hAnsi="新宋体" w:eastAsia="新宋体" w:cs="微软雅黑"/>
          <w:sz w:val="21"/>
          <w:szCs w:val="15"/>
        </w:rPr>
        <w:t>3D动画</w:t>
      </w:r>
      <w:r>
        <w:rPr>
          <w:rFonts w:hint="eastAsia" w:ascii="新宋体" w:hAnsi="新宋体" w:eastAsia="新宋体" w:cs="微软雅黑"/>
          <w:sz w:val="21"/>
          <w:szCs w:val="15"/>
        </w:rPr>
        <w:t>：</w:t>
      </w:r>
      <w:r>
        <w:rPr>
          <w:rFonts w:hint="eastAsia" w:ascii="新宋体" w:hAnsi="新宋体" w:eastAsia="新宋体" w:cs="微软雅黑"/>
          <w:sz w:val="21"/>
        </w:rPr>
        <w:t>影片像素为</w:t>
      </w:r>
      <w:r>
        <w:rPr>
          <w:rFonts w:ascii="新宋体" w:hAnsi="新宋体" w:eastAsia="新宋体" w:cs="微软雅黑"/>
          <w:sz w:val="21"/>
        </w:rPr>
        <w:t>1920*1080</w:t>
      </w:r>
      <w:r>
        <w:rPr>
          <w:rFonts w:hint="eastAsia" w:ascii="新宋体" w:hAnsi="新宋体" w:eastAsia="新宋体" w:cs="微软雅黑"/>
          <w:sz w:val="21"/>
        </w:rPr>
        <w:t>，主要内容包括但不限于</w:t>
      </w:r>
      <w:r>
        <w:rPr>
          <w:rFonts w:hint="eastAsia" w:ascii="新宋体" w:hAnsi="新宋体" w:eastAsia="新宋体" w:cs="微软雅黑"/>
          <w:sz w:val="21"/>
          <w:szCs w:val="15"/>
        </w:rPr>
        <w:t>模型制作、预演、渲染、场景输出、剪辑、合成，调色、成稿交付。制作包含项目未呈现的园林、建筑、室内效果等，具体根据脚本所出现的场景确定，时长根据脚本确定</w:t>
      </w:r>
      <w:r>
        <w:rPr>
          <w:rFonts w:hint="eastAsia" w:ascii="新宋体" w:hAnsi="新宋体" w:eastAsia="新宋体" w:cs="微软雅黑"/>
          <w:sz w:val="21"/>
        </w:rPr>
        <w:t>。</w:t>
      </w:r>
    </w:p>
    <w:p>
      <w:pPr>
        <w:pStyle w:val="2"/>
        <w:numPr>
          <w:ilvl w:val="0"/>
          <w:numId w:val="3"/>
        </w:numPr>
        <w:spacing w:line="360" w:lineRule="auto"/>
        <w:rPr>
          <w:rFonts w:ascii="新宋体" w:hAnsi="新宋体" w:eastAsia="新宋体" w:cs="微软雅黑"/>
          <w:sz w:val="21"/>
        </w:rPr>
      </w:pPr>
      <w:r>
        <w:rPr>
          <w:rFonts w:hint="eastAsia" w:ascii="新宋体" w:hAnsi="新宋体" w:eastAsia="新宋体" w:cs="微软雅黑"/>
          <w:sz w:val="21"/>
        </w:rPr>
        <w:t>视频剪辑：在原视频的基础上，根据项目需求剪辑</w:t>
      </w:r>
      <w:r>
        <w:rPr>
          <w:rFonts w:ascii="新宋体" w:hAnsi="新宋体" w:eastAsia="新宋体" w:cs="微软雅黑"/>
          <w:sz w:val="21"/>
        </w:rPr>
        <w:t>10</w:t>
      </w:r>
      <w:r>
        <w:rPr>
          <w:rFonts w:hint="eastAsia" w:ascii="新宋体" w:hAnsi="新宋体" w:eastAsia="新宋体" w:cs="微软雅黑"/>
          <w:sz w:val="21"/>
        </w:rPr>
        <w:t>个1</w:t>
      </w:r>
      <w:r>
        <w:rPr>
          <w:rFonts w:ascii="新宋体" w:hAnsi="新宋体" w:eastAsia="新宋体" w:cs="微软雅黑"/>
          <w:sz w:val="21"/>
        </w:rPr>
        <w:t>0</w:t>
      </w:r>
      <w:r>
        <w:rPr>
          <w:rFonts w:hint="eastAsia" w:ascii="新宋体" w:hAnsi="新宋体" w:eastAsia="新宋体" w:cs="微软雅黑"/>
          <w:sz w:val="21"/>
        </w:rPr>
        <w:t>秒/</w:t>
      </w:r>
      <w:r>
        <w:rPr>
          <w:rFonts w:ascii="新宋体" w:hAnsi="新宋体" w:eastAsia="新宋体" w:cs="微软雅黑"/>
          <w:sz w:val="21"/>
        </w:rPr>
        <w:t>30</w:t>
      </w:r>
      <w:r>
        <w:rPr>
          <w:rFonts w:hint="eastAsia" w:ascii="新宋体" w:hAnsi="新宋体" w:eastAsia="新宋体" w:cs="微软雅黑"/>
          <w:sz w:val="21"/>
        </w:rPr>
        <w:t>秒的小视频，用以项目自媒体的转发。</w:t>
      </w:r>
    </w:p>
    <w:p>
      <w:pPr>
        <w:pStyle w:val="2"/>
        <w:ind w:firstLine="422"/>
        <w:rPr>
          <w:rFonts w:ascii="新宋体" w:hAnsi="新宋体" w:eastAsia="新宋体" w:cs="微软雅黑"/>
          <w:b/>
          <w:bCs/>
          <w:sz w:val="21"/>
        </w:rPr>
      </w:pPr>
      <w:r>
        <w:rPr>
          <w:rFonts w:hint="eastAsia" w:ascii="新宋体" w:hAnsi="新宋体" w:eastAsia="新宋体" w:cs="微软雅黑"/>
          <w:b/>
          <w:bCs/>
          <w:sz w:val="21"/>
        </w:rPr>
        <w:t>（三）整体调性控制</w:t>
      </w:r>
    </w:p>
    <w:p>
      <w:pPr>
        <w:pStyle w:val="13"/>
        <w:numPr>
          <w:ilvl w:val="1"/>
          <w:numId w:val="0"/>
        </w:numPr>
        <w:tabs>
          <w:tab w:val="clear" w:pos="993"/>
        </w:tabs>
        <w:rPr>
          <w:rFonts w:ascii="新宋体" w:hAnsi="新宋体" w:eastAsia="新宋体" w:cs="微软雅黑"/>
          <w:kern w:val="0"/>
          <w:szCs w:val="15"/>
        </w:rPr>
      </w:pPr>
      <w:r>
        <w:rPr>
          <w:rFonts w:hint="eastAsia" w:ascii="新宋体" w:hAnsi="新宋体" w:eastAsia="新宋体" w:cs="微软雅黑"/>
          <w:kern w:val="0"/>
          <w:szCs w:val="15"/>
        </w:rPr>
        <w:t>影视片整体凸显项目的品质优势和匠心赋能，结合项目区位和独特的建筑特点营造高端调性，体现海南自贸港的政策优势，项目本身的区位优势、产品优势以及周边的地理位置优势，周边景观资源；项目影片主要起产品介绍和调性赋能的作用，跟电子沙盘一虚一实结合起来使用。使用位置为项目案场，各类岛内外推介。</w:t>
      </w:r>
    </w:p>
    <w:p>
      <w:pPr>
        <w:pStyle w:val="2"/>
        <w:ind w:firstLine="422"/>
        <w:rPr>
          <w:rFonts w:ascii="新宋体" w:hAnsi="新宋体" w:eastAsia="新宋体" w:cs="微软雅黑"/>
          <w:b/>
          <w:bCs/>
          <w:sz w:val="21"/>
        </w:rPr>
      </w:pPr>
      <w:r>
        <w:rPr>
          <w:rFonts w:hint="eastAsia" w:ascii="新宋体" w:hAnsi="新宋体" w:eastAsia="新宋体" w:cs="微软雅黑"/>
          <w:b/>
          <w:bCs/>
          <w:sz w:val="21"/>
        </w:rPr>
        <w:t>（四）整体节奏建议</w:t>
      </w:r>
    </w:p>
    <w:p>
      <w:pPr>
        <w:pStyle w:val="2"/>
        <w:spacing w:line="360" w:lineRule="auto"/>
        <w:rPr>
          <w:rFonts w:hint="eastAsia" w:ascii="新宋体" w:hAnsi="新宋体" w:eastAsia="新宋体" w:cs="微软雅黑"/>
          <w:sz w:val="21"/>
          <w:szCs w:val="15"/>
          <w:lang w:eastAsia="zh-CN"/>
        </w:rPr>
      </w:pPr>
      <w:r>
        <w:rPr>
          <w:rFonts w:hint="eastAsia" w:ascii="新宋体" w:hAnsi="新宋体" w:eastAsia="新宋体" w:cs="微软雅黑"/>
          <w:sz w:val="21"/>
          <w:szCs w:val="15"/>
        </w:rPr>
        <w:t>影视片的画面节奏应由震撼大气科技感强的开场到项目本身的优势亮点展现，逐步加深印象，使客户对于后续营销产生兴趣及购买信心</w:t>
      </w:r>
      <w:r>
        <w:rPr>
          <w:rFonts w:hint="eastAsia" w:ascii="新宋体" w:hAnsi="新宋体" w:eastAsia="新宋体" w:cs="微软雅黑"/>
          <w:sz w:val="21"/>
          <w:szCs w:val="15"/>
          <w:lang w:eastAsia="zh-CN"/>
        </w:rPr>
        <w:t>。</w:t>
      </w:r>
    </w:p>
    <w:p>
      <w:pPr>
        <w:pStyle w:val="2"/>
        <w:pBdr>
          <w:bottom w:val="single" w:color="auto" w:sz="6" w:space="1"/>
        </w:pBdr>
        <w:tabs>
          <w:tab w:val="center" w:pos="4153"/>
          <w:tab w:val="right" w:pos="8306"/>
        </w:tabs>
        <w:snapToGrid w:val="0"/>
        <w:ind w:firstLine="422"/>
        <w:rPr>
          <w:rFonts w:ascii="新宋体" w:hAnsi="新宋体" w:eastAsia="新宋体" w:cs="微软雅黑"/>
          <w:b/>
          <w:bCs/>
          <w:sz w:val="21"/>
        </w:rPr>
      </w:pPr>
      <w:r>
        <w:rPr>
          <w:rFonts w:hint="eastAsia" w:ascii="新宋体" w:hAnsi="新宋体" w:eastAsia="新宋体" w:cs="微软雅黑"/>
          <w:b/>
          <w:bCs/>
          <w:sz w:val="21"/>
        </w:rPr>
        <w:t>（五）亮点体现</w:t>
      </w:r>
    </w:p>
    <w:p>
      <w:pPr>
        <w:pStyle w:val="2"/>
        <w:pBdr>
          <w:bottom w:val="single" w:color="auto" w:sz="6" w:space="1"/>
        </w:pBdr>
        <w:tabs>
          <w:tab w:val="center" w:pos="4153"/>
          <w:tab w:val="right" w:pos="8306"/>
        </w:tabs>
        <w:snapToGrid w:val="0"/>
        <w:spacing w:line="360" w:lineRule="auto"/>
        <w:jc w:val="left"/>
        <w:rPr>
          <w:rFonts w:ascii="新宋体" w:hAnsi="新宋体" w:eastAsia="新宋体" w:cs="微软雅黑"/>
          <w:sz w:val="21"/>
        </w:rPr>
      </w:pPr>
      <w:r>
        <w:rPr>
          <w:rFonts w:hint="eastAsia" w:ascii="新宋体" w:hAnsi="新宋体" w:eastAsia="新宋体" w:cs="微软雅黑"/>
          <w:sz w:val="21"/>
          <w:szCs w:val="15"/>
        </w:rPr>
        <w:t>江东新区CBD中轴C位、与众不同的建筑形态，包括白天和夜晚灯光效果。项目中轴线紧邻的中央公园、地上地下层级间动线、三维观海动线、下沉广场花园、二层空中花园、六层观海步道、北区观海活动广场、体现多重观景、繁华中心。体现出光伏、抗震、建筑最高级设计评级设计等亮点体现。</w:t>
      </w:r>
      <w:r>
        <w:rPr>
          <w:rFonts w:hint="eastAsia" w:ascii="新宋体" w:hAnsi="新宋体" w:eastAsia="新宋体" w:cs="微软雅黑"/>
          <w:sz w:val="21"/>
          <w:szCs w:val="15"/>
        </w:rPr>
        <w:cr/>
      </w:r>
      <w:r>
        <w:rPr>
          <w:rFonts w:hint="eastAsia" w:ascii="新宋体" w:hAnsi="新宋体" w:eastAsia="新宋体" w:cs="微软雅黑"/>
          <w:b/>
          <w:bCs/>
          <w:sz w:val="21"/>
        </w:rPr>
        <w:t>（六）影片形式及要求</w:t>
      </w:r>
      <w:r>
        <w:rPr>
          <w:rFonts w:hint="eastAsia" w:ascii="新宋体" w:hAnsi="新宋体" w:eastAsia="新宋体" w:cs="微软雅黑"/>
          <w:b/>
          <w:bCs/>
          <w:sz w:val="21"/>
        </w:rPr>
        <w:cr/>
      </w:r>
      <w:r>
        <w:rPr>
          <w:rFonts w:ascii="新宋体" w:hAnsi="新宋体" w:eastAsia="新宋体" w:cs="微软雅黑"/>
          <w:sz w:val="21"/>
        </w:rPr>
        <w:t>1</w:t>
      </w:r>
      <w:r>
        <w:rPr>
          <w:rFonts w:hint="eastAsia" w:ascii="新宋体" w:hAnsi="新宋体" w:eastAsia="新宋体" w:cs="微软雅黑"/>
          <w:sz w:val="21"/>
        </w:rPr>
        <w:t>、媒介终端表现形式采用LCD屏幕及适配PC端、移动端的表现形式（仅提供影片，设备由我司提供）；</w:t>
      </w:r>
      <w:r>
        <w:rPr>
          <w:rFonts w:hint="eastAsia" w:ascii="新宋体" w:hAnsi="新宋体" w:eastAsia="新宋体" w:cs="微软雅黑"/>
          <w:sz w:val="21"/>
        </w:rPr>
        <w:cr/>
      </w:r>
      <w:r>
        <w:rPr>
          <w:rFonts w:ascii="新宋体" w:hAnsi="新宋体" w:eastAsia="新宋体" w:cs="微软雅黑"/>
          <w:sz w:val="21"/>
        </w:rPr>
        <w:t>2</w:t>
      </w:r>
      <w:r>
        <w:rPr>
          <w:rFonts w:hint="eastAsia" w:ascii="新宋体" w:hAnsi="新宋体" w:eastAsia="新宋体" w:cs="微软雅黑"/>
          <w:sz w:val="21"/>
        </w:rPr>
        <w:t>、终成片内容需展示全部脚本、细化、台词、字幕、分镜头，影视制作包含但不限于后期配乐、配音、剪辑、合成；</w:t>
      </w:r>
      <w:r>
        <w:rPr>
          <w:rFonts w:hint="eastAsia" w:ascii="新宋体" w:hAnsi="新宋体" w:eastAsia="新宋体" w:cs="微软雅黑"/>
          <w:sz w:val="21"/>
        </w:rPr>
        <w:cr/>
      </w:r>
      <w:r>
        <w:rPr>
          <w:rFonts w:ascii="新宋体" w:hAnsi="新宋体" w:eastAsia="新宋体" w:cs="微软雅黑"/>
          <w:sz w:val="21"/>
        </w:rPr>
        <w:t>3、</w:t>
      </w:r>
      <w:r>
        <w:rPr>
          <w:rFonts w:hint="eastAsia" w:ascii="新宋体" w:hAnsi="新宋体" w:eastAsia="新宋体" w:cs="微软雅黑"/>
          <w:sz w:val="21"/>
        </w:rPr>
        <w:t>以上内容和要求仅为影片制作公司提供参考方向，希望在此基础上能有多个备选方案供我司选择；</w:t>
      </w:r>
      <w:r>
        <w:rPr>
          <w:rFonts w:hint="eastAsia" w:ascii="新宋体" w:hAnsi="新宋体" w:eastAsia="新宋体" w:cs="微软雅黑"/>
          <w:sz w:val="21"/>
        </w:rPr>
        <w:cr/>
      </w:r>
      <w:r>
        <w:rPr>
          <w:rFonts w:ascii="新宋体" w:hAnsi="新宋体" w:eastAsia="新宋体" w:cs="微软雅黑"/>
          <w:sz w:val="21"/>
        </w:rPr>
        <w:t>4、</w:t>
      </w:r>
      <w:r>
        <w:rPr>
          <w:rFonts w:hint="eastAsia" w:ascii="新宋体" w:hAnsi="新宋体" w:eastAsia="新宋体" w:cs="微软雅黑"/>
          <w:sz w:val="21"/>
        </w:rPr>
        <w:t>我司想在片中诠释和表达的价值点，可由制作公司依据实际情况及客户观影习惯及心理，在此基础上做甄选和调整；</w:t>
      </w:r>
      <w:r>
        <w:rPr>
          <w:rFonts w:hint="eastAsia" w:ascii="新宋体" w:hAnsi="新宋体" w:eastAsia="新宋体" w:cs="微软雅黑"/>
          <w:sz w:val="21"/>
        </w:rPr>
        <w:cr/>
      </w:r>
      <w:r>
        <w:rPr>
          <w:rFonts w:ascii="新宋体" w:hAnsi="新宋体" w:eastAsia="新宋体" w:cs="微软雅黑"/>
          <w:sz w:val="21"/>
        </w:rPr>
        <w:t>5、</w:t>
      </w:r>
      <w:r>
        <w:rPr>
          <w:rFonts w:hint="eastAsia" w:ascii="新宋体" w:hAnsi="新宋体" w:eastAsia="新宋体" w:cs="微软雅黑"/>
          <w:sz w:val="21"/>
        </w:rPr>
        <w:t>产品展示部分可以江东新区及海口类竞品项目的影视宣传片为参考。</w:t>
      </w:r>
    </w:p>
    <w:p>
      <w:pPr>
        <w:pStyle w:val="2"/>
        <w:pBdr>
          <w:bottom w:val="single" w:color="auto" w:sz="6" w:space="1"/>
        </w:pBdr>
        <w:tabs>
          <w:tab w:val="center" w:pos="4153"/>
          <w:tab w:val="right" w:pos="8306"/>
        </w:tabs>
        <w:snapToGrid w:val="0"/>
        <w:ind w:firstLine="422"/>
        <w:rPr>
          <w:rFonts w:ascii="新宋体" w:hAnsi="新宋体" w:eastAsia="新宋体" w:cs="微软雅黑"/>
          <w:b/>
          <w:bCs/>
          <w:sz w:val="21"/>
        </w:rPr>
      </w:pPr>
      <w:r>
        <w:rPr>
          <w:rFonts w:ascii="新宋体" w:hAnsi="新宋体" w:eastAsia="新宋体" w:cs="微软雅黑"/>
          <w:b/>
          <w:bCs/>
          <w:sz w:val="21"/>
        </w:rPr>
        <w:t>（七）制作周期</w:t>
      </w:r>
    </w:p>
    <w:p>
      <w:pPr>
        <w:pStyle w:val="2"/>
        <w:pBdr>
          <w:bottom w:val="single" w:color="auto" w:sz="6" w:space="1"/>
        </w:pBdr>
        <w:tabs>
          <w:tab w:val="center" w:pos="4153"/>
          <w:tab w:val="right" w:pos="8306"/>
        </w:tabs>
        <w:snapToGrid w:val="0"/>
        <w:rPr>
          <w:rFonts w:ascii="新宋体" w:hAnsi="新宋体" w:eastAsia="新宋体" w:cs="微软雅黑"/>
          <w:sz w:val="21"/>
        </w:rPr>
      </w:pPr>
      <w:r>
        <w:rPr>
          <w:rFonts w:hint="eastAsia" w:ascii="新宋体" w:hAnsi="新宋体" w:eastAsia="新宋体" w:cs="微软雅黑"/>
          <w:sz w:val="21"/>
        </w:rPr>
        <w:t>暂定35个日历天</w:t>
      </w:r>
    </w:p>
    <w:p>
      <w:pPr>
        <w:pStyle w:val="14"/>
        <w:numPr>
          <w:ilvl w:val="0"/>
          <w:numId w:val="0"/>
        </w:numPr>
        <w:tabs>
          <w:tab w:val="clear" w:pos="568"/>
        </w:tabs>
        <w:ind w:left="360" w:hanging="360"/>
        <w:rPr>
          <w:rFonts w:ascii="新宋体" w:hAnsi="新宋体" w:eastAsia="新宋体" w:cs="仿宋"/>
          <w:b w:val="0"/>
          <w:sz w:val="24"/>
          <w:szCs w:val="24"/>
        </w:rPr>
      </w:pPr>
      <w:bookmarkStart w:id="0" w:name="_Toc101953341"/>
      <w:r>
        <w:rPr>
          <w:rFonts w:ascii="新宋体" w:hAnsi="新宋体" w:eastAsia="新宋体" w:cs="仿宋"/>
        </w:rPr>
        <w:t>二、</w:t>
      </w:r>
      <w:r>
        <w:rPr>
          <w:rFonts w:hint="eastAsia" w:ascii="新宋体" w:hAnsi="新宋体" w:eastAsia="新宋体" w:cs="仿宋"/>
        </w:rPr>
        <w:t>V</w:t>
      </w:r>
      <w:r>
        <w:rPr>
          <w:rFonts w:ascii="新宋体" w:hAnsi="新宋体" w:eastAsia="新宋体" w:cs="仿宋"/>
        </w:rPr>
        <w:t>R看房系统制作要求</w:t>
      </w:r>
      <w:bookmarkEnd w:id="0"/>
    </w:p>
    <w:p>
      <w:pPr>
        <w:pStyle w:val="13"/>
        <w:numPr>
          <w:ilvl w:val="0"/>
          <w:numId w:val="0"/>
        </w:numPr>
        <w:tabs>
          <w:tab w:val="left" w:pos="284"/>
          <w:tab w:val="clear" w:pos="993"/>
        </w:tabs>
        <w:ind w:left="420"/>
        <w:rPr>
          <w:rFonts w:ascii="新宋体" w:hAnsi="新宋体" w:eastAsia="新宋体" w:cs="微软雅黑"/>
          <w:b/>
          <w:bCs/>
          <w:kern w:val="0"/>
          <w:szCs w:val="21"/>
        </w:rPr>
      </w:pPr>
      <w:r>
        <w:rPr>
          <w:rFonts w:hint="eastAsia" w:ascii="新宋体" w:hAnsi="新宋体" w:eastAsia="新宋体" w:cs="微软雅黑"/>
          <w:b/>
          <w:bCs/>
          <w:kern w:val="0"/>
          <w:szCs w:val="21"/>
        </w:rPr>
        <w:t>（一）制作要求</w:t>
      </w:r>
    </w:p>
    <w:p>
      <w:pPr>
        <w:pStyle w:val="13"/>
        <w:numPr>
          <w:ilvl w:val="0"/>
          <w:numId w:val="0"/>
        </w:numPr>
        <w:tabs>
          <w:tab w:val="left" w:pos="284"/>
          <w:tab w:val="clear" w:pos="993"/>
        </w:tabs>
        <w:ind w:left="420"/>
        <w:rPr>
          <w:rFonts w:ascii="新宋体" w:hAnsi="新宋体" w:eastAsia="新宋体" w:cs="微软雅黑"/>
          <w:kern w:val="0"/>
          <w:szCs w:val="21"/>
        </w:rPr>
      </w:pPr>
      <w:r>
        <w:rPr>
          <w:rFonts w:hint="eastAsia" w:ascii="新宋体" w:hAnsi="新宋体" w:eastAsia="新宋体" w:cs="微软雅黑"/>
          <w:kern w:val="0"/>
          <w:szCs w:val="21"/>
        </w:rPr>
        <w:t>在项目未制作实体沙盘的情况下展示项目情况、起到电子沙盘的作用，可让使用者通过该系统，了解项目内部构造，包括地下停车场、地下商业、下沉广场、一层商业、标准层进入办公场景、顶层看海步道等动线，让客户了解未来项目使用场景，可搭建虚拟场景例如一楼良好的商业氛围、内部花园的休憩体验、顶层的商业及看海效果，为岛内外推介售房、展示项目优势的销售重要媒介，可辅助销售给客户产品及配套特色的直观认知，便于导客，建议以3D全景展示的L</w:t>
      </w:r>
      <w:r>
        <w:rPr>
          <w:rFonts w:ascii="新宋体" w:hAnsi="新宋体" w:eastAsia="新宋体" w:cs="微软雅黑"/>
          <w:kern w:val="0"/>
          <w:szCs w:val="21"/>
        </w:rPr>
        <w:t>ED</w:t>
      </w:r>
      <w:r>
        <w:rPr>
          <w:rFonts w:hint="eastAsia" w:ascii="新宋体" w:hAnsi="新宋体" w:eastAsia="新宋体" w:cs="微软雅黑"/>
          <w:kern w:val="0"/>
          <w:szCs w:val="21"/>
        </w:rPr>
        <w:t>屏幕、IPAD及微信端口虚拟看房场景搭建为主，要求商业、写字楼产品全景展示，增加园林、多功能厅、顶层看海步道的优势配套展示，内容包括：</w:t>
      </w:r>
    </w:p>
    <w:p>
      <w:pPr>
        <w:pStyle w:val="13"/>
        <w:numPr>
          <w:ilvl w:val="0"/>
          <w:numId w:val="0"/>
        </w:numPr>
        <w:tabs>
          <w:tab w:val="left" w:pos="284"/>
          <w:tab w:val="clear" w:pos="993"/>
        </w:tabs>
        <w:ind w:left="840" w:hanging="420"/>
        <w:rPr>
          <w:rFonts w:ascii="新宋体" w:hAnsi="新宋体" w:eastAsia="新宋体" w:cs="微软雅黑"/>
          <w:kern w:val="0"/>
          <w:szCs w:val="21"/>
        </w:rPr>
      </w:pPr>
      <w:r>
        <w:rPr>
          <w:rFonts w:hint="eastAsia" w:ascii="新宋体" w:hAnsi="新宋体" w:eastAsia="新宋体" w:cs="微软雅黑"/>
          <w:kern w:val="0"/>
          <w:szCs w:val="21"/>
        </w:rPr>
        <w:t>（1）可在ipad、PC端、移动端、多通道投影、液晶拼接屏等终端使用；</w:t>
      </w:r>
    </w:p>
    <w:p>
      <w:pPr>
        <w:pStyle w:val="13"/>
        <w:numPr>
          <w:ilvl w:val="0"/>
          <w:numId w:val="0"/>
        </w:numPr>
        <w:tabs>
          <w:tab w:val="left" w:pos="284"/>
          <w:tab w:val="clear" w:pos="993"/>
        </w:tabs>
        <w:ind w:left="840" w:hanging="420"/>
        <w:rPr>
          <w:rFonts w:ascii="新宋体" w:hAnsi="新宋体" w:eastAsia="新宋体" w:cs="微软雅黑"/>
          <w:kern w:val="0"/>
          <w:szCs w:val="21"/>
        </w:rPr>
      </w:pPr>
      <w:r>
        <w:rPr>
          <w:rFonts w:hint="eastAsia" w:ascii="新宋体" w:hAnsi="新宋体" w:eastAsia="新宋体" w:cs="微软雅黑"/>
          <w:kern w:val="0"/>
          <w:szCs w:val="21"/>
        </w:rPr>
        <w:t>（2）各功能模块均有二维码可扫码分享至微信手机端，同时可联动智能销售管理系统后台；</w:t>
      </w:r>
    </w:p>
    <w:p>
      <w:pPr>
        <w:pStyle w:val="13"/>
        <w:numPr>
          <w:ilvl w:val="0"/>
          <w:numId w:val="0"/>
        </w:numPr>
        <w:tabs>
          <w:tab w:val="left" w:pos="284"/>
          <w:tab w:val="clear" w:pos="993"/>
        </w:tabs>
        <w:ind w:left="840" w:hanging="420"/>
        <w:rPr>
          <w:rFonts w:ascii="新宋体" w:hAnsi="新宋体" w:eastAsia="新宋体" w:cs="微软雅黑"/>
          <w:kern w:val="0"/>
          <w:szCs w:val="21"/>
        </w:rPr>
      </w:pPr>
      <w:r>
        <w:rPr>
          <w:rFonts w:hint="eastAsia" w:ascii="新宋体" w:hAnsi="新宋体" w:eastAsia="新宋体" w:cs="微软雅黑"/>
          <w:kern w:val="0"/>
          <w:szCs w:val="21"/>
        </w:rPr>
        <w:t>需求清单如下：</w:t>
      </w:r>
    </w:p>
    <w:tbl>
      <w:tblPr>
        <w:tblStyle w:val="6"/>
        <w:tblW w:w="5000" w:type="pct"/>
        <w:jc w:val="center"/>
        <w:tblLayout w:type="autofit"/>
        <w:tblCellMar>
          <w:top w:w="0" w:type="dxa"/>
          <w:left w:w="108" w:type="dxa"/>
          <w:bottom w:w="0" w:type="dxa"/>
          <w:right w:w="108" w:type="dxa"/>
        </w:tblCellMar>
      </w:tblPr>
      <w:tblGrid>
        <w:gridCol w:w="436"/>
        <w:gridCol w:w="1304"/>
        <w:gridCol w:w="1147"/>
        <w:gridCol w:w="2955"/>
        <w:gridCol w:w="1479"/>
        <w:gridCol w:w="1515"/>
      </w:tblGrid>
      <w:tr>
        <w:tblPrEx>
          <w:tblCellMar>
            <w:top w:w="0" w:type="dxa"/>
            <w:left w:w="108" w:type="dxa"/>
            <w:bottom w:w="0" w:type="dxa"/>
            <w:right w:w="108" w:type="dxa"/>
          </w:tblCellMar>
        </w:tblPrEx>
        <w:trPr>
          <w:trHeight w:val="800" w:hRule="atLeast"/>
          <w:jc w:val="center"/>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序号</w:t>
            </w:r>
          </w:p>
        </w:tc>
        <w:tc>
          <w:tcPr>
            <w:tcW w:w="738" w:type="pct"/>
            <w:tcBorders>
              <w:top w:val="single" w:color="auto" w:sz="4" w:space="0"/>
              <w:left w:val="nil"/>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设计模块</w:t>
            </w:r>
          </w:p>
        </w:tc>
        <w:tc>
          <w:tcPr>
            <w:tcW w:w="649" w:type="pct"/>
            <w:tcBorders>
              <w:top w:val="single" w:color="auto" w:sz="4" w:space="0"/>
              <w:left w:val="nil"/>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制作内容</w:t>
            </w:r>
          </w:p>
        </w:tc>
        <w:tc>
          <w:tcPr>
            <w:tcW w:w="1672" w:type="pct"/>
            <w:tcBorders>
              <w:top w:val="single" w:color="auto" w:sz="4" w:space="0"/>
              <w:left w:val="nil"/>
              <w:bottom w:val="single" w:color="auto" w:sz="4" w:space="0"/>
              <w:right w:val="single" w:color="auto" w:sz="4" w:space="0"/>
            </w:tcBorders>
            <w:shd w:val="clear" w:color="auto" w:fill="auto"/>
            <w:vAlign w:val="center"/>
          </w:tcPr>
          <w:p>
            <w:pPr>
              <w:widowControl/>
              <w:ind w:firstLine="422"/>
              <w:jc w:val="center"/>
              <w:rPr>
                <w:rFonts w:ascii="等线" w:hAnsi="等线" w:cs="宋体"/>
                <w:b/>
                <w:bCs/>
                <w:kern w:val="0"/>
                <w:szCs w:val="21"/>
              </w:rPr>
            </w:pPr>
            <w:r>
              <w:rPr>
                <w:rFonts w:hint="eastAsia" w:ascii="等线" w:hAnsi="等线" w:cs="宋体"/>
                <w:b/>
                <w:bCs/>
                <w:kern w:val="0"/>
                <w:szCs w:val="21"/>
              </w:rPr>
              <w:t>内容详情</w:t>
            </w:r>
          </w:p>
        </w:tc>
        <w:tc>
          <w:tcPr>
            <w:tcW w:w="837" w:type="pct"/>
            <w:tcBorders>
              <w:top w:val="single" w:color="auto" w:sz="4" w:space="0"/>
              <w:left w:val="nil"/>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数量</w:t>
            </w:r>
          </w:p>
        </w:tc>
        <w:tc>
          <w:tcPr>
            <w:tcW w:w="857" w:type="pct"/>
            <w:tcBorders>
              <w:top w:val="single" w:color="auto" w:sz="4" w:space="0"/>
              <w:left w:val="nil"/>
              <w:bottom w:val="single" w:color="auto" w:sz="4" w:space="0"/>
              <w:right w:val="single" w:color="auto" w:sz="4" w:space="0"/>
            </w:tcBorders>
            <w:shd w:val="clear" w:color="auto" w:fill="auto"/>
            <w:vAlign w:val="center"/>
          </w:tcPr>
          <w:p>
            <w:pPr>
              <w:widowControl/>
              <w:ind w:firstLine="231" w:firstLineChars="110"/>
              <w:rPr>
                <w:rFonts w:ascii="等线" w:hAnsi="等线" w:cs="宋体"/>
                <w:b/>
                <w:bCs/>
                <w:kern w:val="0"/>
                <w:szCs w:val="21"/>
              </w:rPr>
            </w:pPr>
            <w:r>
              <w:rPr>
                <w:rFonts w:hint="eastAsia" w:ascii="等线" w:hAnsi="等线" w:cs="宋体"/>
                <w:b/>
                <w:bCs/>
                <w:kern w:val="0"/>
                <w:szCs w:val="21"/>
              </w:rPr>
              <w:t>单位</w:t>
            </w:r>
          </w:p>
        </w:tc>
      </w:tr>
      <w:tr>
        <w:tblPrEx>
          <w:tblCellMar>
            <w:top w:w="0" w:type="dxa"/>
            <w:left w:w="108" w:type="dxa"/>
            <w:bottom w:w="0" w:type="dxa"/>
            <w:right w:w="108" w:type="dxa"/>
          </w:tblCellMar>
        </w:tblPrEx>
        <w:trPr>
          <w:trHeight w:val="267" w:hRule="atLeast"/>
          <w:jc w:val="center"/>
        </w:trPr>
        <w:tc>
          <w:tcPr>
            <w:tcW w:w="247"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1</w:t>
            </w:r>
          </w:p>
        </w:tc>
        <w:tc>
          <w:tcPr>
            <w:tcW w:w="73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ipad端系统</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项目VI调性</w:t>
            </w:r>
          </w:p>
        </w:tc>
        <w:tc>
          <w:tcPr>
            <w:tcW w:w="1672"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根据项目VI调性设计界面，进行系统界面开发，结合系统内容框架把所有内容融合为一个产品，并加入UI交互设计和系统功能开发实现可交互</w:t>
            </w:r>
          </w:p>
        </w:tc>
        <w:tc>
          <w:tcPr>
            <w:tcW w:w="83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项</w:t>
            </w:r>
          </w:p>
        </w:tc>
      </w:tr>
      <w:tr>
        <w:tblPrEx>
          <w:tblCellMar>
            <w:top w:w="0" w:type="dxa"/>
            <w:left w:w="108" w:type="dxa"/>
            <w:bottom w:w="0" w:type="dxa"/>
            <w:right w:w="108" w:type="dxa"/>
          </w:tblCellMar>
        </w:tblPrEx>
        <w:trPr>
          <w:trHeight w:val="266"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UI交互设计</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385"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系统内容框架</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263"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系统功能开发</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425" w:hRule="atLeast"/>
          <w:jc w:val="center"/>
        </w:trPr>
        <w:tc>
          <w:tcPr>
            <w:tcW w:w="247"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2</w:t>
            </w:r>
          </w:p>
        </w:tc>
        <w:tc>
          <w:tcPr>
            <w:tcW w:w="73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项目楼书</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开机动画</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动态展示logo演绎，约5秒钟，阐述项目气质</w:t>
            </w:r>
          </w:p>
        </w:tc>
        <w:tc>
          <w:tcPr>
            <w:tcW w:w="837"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项</w:t>
            </w:r>
          </w:p>
        </w:tc>
      </w:tr>
      <w:tr>
        <w:tblPrEx>
          <w:tblCellMar>
            <w:top w:w="0" w:type="dxa"/>
            <w:left w:w="108" w:type="dxa"/>
            <w:bottom w:w="0" w:type="dxa"/>
            <w:right w:w="108" w:type="dxa"/>
          </w:tblCellMar>
        </w:tblPrEx>
        <w:trPr>
          <w:trHeight w:val="648"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首页画面</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动态展示甲方/广告公司提供的项目形象画面，制作成首页，阐述项目气质</w:t>
            </w:r>
          </w:p>
        </w:tc>
        <w:tc>
          <w:tcPr>
            <w:tcW w:w="837"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项</w:t>
            </w:r>
          </w:p>
        </w:tc>
      </w:tr>
      <w:tr>
        <w:tblPrEx>
          <w:tblCellMar>
            <w:top w:w="0" w:type="dxa"/>
            <w:left w:w="108" w:type="dxa"/>
            <w:bottom w:w="0" w:type="dxa"/>
            <w:right w:w="108" w:type="dxa"/>
          </w:tblCellMar>
        </w:tblPrEx>
        <w:trPr>
          <w:trHeight w:val="558"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电子楼书</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甲方提供</w:t>
            </w:r>
          </w:p>
        </w:tc>
        <w:tc>
          <w:tcPr>
            <w:tcW w:w="837"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6</w:t>
            </w:r>
          </w:p>
        </w:tc>
        <w:tc>
          <w:tcPr>
            <w:tcW w:w="857"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p</w:t>
            </w:r>
          </w:p>
        </w:tc>
      </w:tr>
      <w:tr>
        <w:tblPrEx>
          <w:tblCellMar>
            <w:top w:w="0" w:type="dxa"/>
            <w:left w:w="108" w:type="dxa"/>
            <w:bottom w:w="0" w:type="dxa"/>
            <w:right w:w="108" w:type="dxa"/>
          </w:tblCellMar>
        </w:tblPrEx>
        <w:trPr>
          <w:trHeight w:val="1684"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3</w:t>
            </w:r>
          </w:p>
        </w:tc>
        <w:tc>
          <w:tcPr>
            <w:tcW w:w="738"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区位交通</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分级动态区位介绍</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以视频包装，光效，动效交互结合。动态展示项目卖点，互动展示区位优势，通过大区位、中区位，小区位分类展示、商圈、板块、配套等特点，以及项目主打配套资源展示</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3</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层</w:t>
            </w:r>
          </w:p>
        </w:tc>
      </w:tr>
      <w:tr>
        <w:trPr>
          <w:trHeight w:val="1472" w:hRule="atLeast"/>
          <w:jc w:val="center"/>
        </w:trPr>
        <w:tc>
          <w:tcPr>
            <w:tcW w:w="247"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4</w:t>
            </w:r>
          </w:p>
        </w:tc>
        <w:tc>
          <w:tcPr>
            <w:tcW w:w="73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三维沙盘</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全场景区域沙盘</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以项目为中心，整个项目的区域范围精致呈现，基于同沙盘可制作项目大鸟瞰图。同时能直观展现项目主打配套资源展示。</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每套</w:t>
            </w:r>
          </w:p>
        </w:tc>
      </w:tr>
      <w:tr>
        <w:tblPrEx>
          <w:tblCellMar>
            <w:top w:w="0" w:type="dxa"/>
            <w:left w:w="108" w:type="dxa"/>
            <w:bottom w:w="0" w:type="dxa"/>
            <w:right w:w="108" w:type="dxa"/>
          </w:tblCellMar>
        </w:tblPrEx>
        <w:trPr>
          <w:trHeight w:val="1401"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项目沙盘</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可全三维鸟瞰查看项目地形，景观以及项目自身配套设施，按比例放大、缩小，实时捕捉镜头展示建筑外立面。基于同沙盘可以制作出鸟瞰效果图</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每套</w:t>
            </w:r>
          </w:p>
        </w:tc>
      </w:tr>
      <w:tr>
        <w:tblPrEx>
          <w:tblCellMar>
            <w:top w:w="0" w:type="dxa"/>
            <w:left w:w="108" w:type="dxa"/>
            <w:bottom w:w="0" w:type="dxa"/>
            <w:right w:w="108" w:type="dxa"/>
          </w:tblCellMar>
        </w:tblPrEx>
        <w:trPr>
          <w:trHeight w:val="1009" w:hRule="atLeast"/>
          <w:jc w:val="center"/>
        </w:trPr>
        <w:tc>
          <w:tcPr>
            <w:tcW w:w="247"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5</w:t>
            </w:r>
          </w:p>
        </w:tc>
        <w:tc>
          <w:tcPr>
            <w:tcW w:w="73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户型鉴赏</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项目规划总平展示</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展示园区规划、人行流线、车行动线、消防分析、物业管控信息，以平面加光效，动效展示</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套</w:t>
            </w:r>
          </w:p>
        </w:tc>
      </w:tr>
      <w:tr>
        <w:tblPrEx>
          <w:tblCellMar>
            <w:top w:w="0" w:type="dxa"/>
            <w:left w:w="108" w:type="dxa"/>
            <w:bottom w:w="0" w:type="dxa"/>
            <w:right w:w="108" w:type="dxa"/>
          </w:tblCellMar>
        </w:tblPrEx>
        <w:trPr>
          <w:trHeight w:val="834"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户型3</w:t>
            </w:r>
            <w:r>
              <w:rPr>
                <w:rFonts w:hint="eastAsia" w:ascii="等线" w:hAnsi="等线" w:cs="宋体"/>
                <w:kern w:val="0"/>
                <w:szCs w:val="21"/>
                <w:lang w:val="en-US" w:eastAsia="zh-CN"/>
              </w:rPr>
              <w:t>D</w:t>
            </w:r>
            <w:r>
              <w:rPr>
                <w:rFonts w:hint="eastAsia" w:ascii="等线" w:hAnsi="等线" w:cs="宋体"/>
                <w:kern w:val="0"/>
                <w:szCs w:val="21"/>
              </w:rPr>
              <w:t>动态落位展示</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可以由3D沙盘展示户型落位，精准展示落位效果</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套</w:t>
            </w:r>
          </w:p>
        </w:tc>
      </w:tr>
      <w:tr>
        <w:tblPrEx>
          <w:tblCellMar>
            <w:top w:w="0" w:type="dxa"/>
            <w:left w:w="108" w:type="dxa"/>
            <w:bottom w:w="0" w:type="dxa"/>
            <w:right w:w="108" w:type="dxa"/>
          </w:tblCellMar>
        </w:tblPrEx>
        <w:trPr>
          <w:trHeight w:val="789"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单个平面户型图展示</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平面户型图展示（甲方提供图片）</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每套</w:t>
            </w:r>
          </w:p>
        </w:tc>
      </w:tr>
      <w:tr>
        <w:tblPrEx>
          <w:tblCellMar>
            <w:top w:w="0" w:type="dxa"/>
            <w:left w:w="108" w:type="dxa"/>
            <w:bottom w:w="0" w:type="dxa"/>
            <w:right w:w="108" w:type="dxa"/>
          </w:tblCellMar>
        </w:tblPrEx>
        <w:trPr>
          <w:trHeight w:val="736"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虚拟样板间（720°精装漫游）</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客厅、餐厅、厨房、卫生间及所有房间的3D建模及720°渲染，室内各个精致平滑漫游。</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预计350</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每平方</w:t>
            </w:r>
          </w:p>
        </w:tc>
      </w:tr>
      <w:tr>
        <w:tblPrEx>
          <w:tblCellMar>
            <w:top w:w="0" w:type="dxa"/>
            <w:left w:w="108" w:type="dxa"/>
            <w:bottom w:w="0" w:type="dxa"/>
            <w:right w:w="108" w:type="dxa"/>
          </w:tblCellMar>
        </w:tblPrEx>
        <w:trPr>
          <w:trHeight w:val="855"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6</w:t>
            </w:r>
          </w:p>
        </w:tc>
        <w:tc>
          <w:tcPr>
            <w:tcW w:w="738"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户外园林</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3D常规漫游</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用定点全景机位提前展现完工后的园林景观</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4</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每个</w:t>
            </w:r>
          </w:p>
        </w:tc>
      </w:tr>
      <w:tr>
        <w:tblPrEx>
          <w:tblCellMar>
            <w:top w:w="0" w:type="dxa"/>
            <w:left w:w="108" w:type="dxa"/>
            <w:bottom w:w="0" w:type="dxa"/>
            <w:right w:w="108" w:type="dxa"/>
          </w:tblCellMar>
        </w:tblPrEx>
        <w:trPr>
          <w:trHeight w:val="473"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7</w:t>
            </w:r>
          </w:p>
        </w:tc>
        <w:tc>
          <w:tcPr>
            <w:tcW w:w="738"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视频播放器</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视频播放</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可以直接导入视频进行播放支持多种格式</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项</w:t>
            </w:r>
          </w:p>
        </w:tc>
      </w:tr>
      <w:tr>
        <w:tblPrEx>
          <w:tblCellMar>
            <w:top w:w="0" w:type="dxa"/>
            <w:left w:w="108" w:type="dxa"/>
            <w:bottom w:w="0" w:type="dxa"/>
            <w:right w:w="108" w:type="dxa"/>
          </w:tblCellMar>
        </w:tblPrEx>
        <w:trPr>
          <w:trHeight w:val="496" w:hRule="atLeast"/>
          <w:jc w:val="center"/>
        </w:trPr>
        <w:tc>
          <w:tcPr>
            <w:tcW w:w="247"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8</w:t>
            </w:r>
          </w:p>
        </w:tc>
        <w:tc>
          <w:tcPr>
            <w:tcW w:w="73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销控系统</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置业计划书</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可以通过房贷计算器自动生成职业计划书</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项</w:t>
            </w:r>
          </w:p>
        </w:tc>
      </w:tr>
      <w:tr>
        <w:tblPrEx>
          <w:tblCellMar>
            <w:top w:w="0" w:type="dxa"/>
            <w:left w:w="108" w:type="dxa"/>
            <w:bottom w:w="0" w:type="dxa"/>
            <w:right w:w="108" w:type="dxa"/>
          </w:tblCellMar>
        </w:tblPrEx>
        <w:trPr>
          <w:trHeight w:val="43"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房贷计算器</w:t>
            </w:r>
          </w:p>
        </w:tc>
        <w:tc>
          <w:tcPr>
            <w:tcW w:w="1672"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按揭计算销控系统数据后台管理</w:t>
            </w:r>
          </w:p>
        </w:tc>
        <w:tc>
          <w:tcPr>
            <w:tcW w:w="83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tcBorders>
              <w:top w:val="nil"/>
              <w:left w:val="nil"/>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每个项目</w:t>
            </w:r>
          </w:p>
        </w:tc>
      </w:tr>
      <w:tr>
        <w:tblPrEx>
          <w:tblCellMar>
            <w:top w:w="0" w:type="dxa"/>
            <w:left w:w="108" w:type="dxa"/>
            <w:bottom w:w="0" w:type="dxa"/>
            <w:right w:w="108" w:type="dxa"/>
          </w:tblCellMar>
        </w:tblPrEx>
        <w:trPr>
          <w:trHeight w:val="364" w:hRule="atLeast"/>
          <w:jc w:val="center"/>
        </w:trPr>
        <w:tc>
          <w:tcPr>
            <w:tcW w:w="247"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b/>
                <w:bCs/>
                <w:kern w:val="0"/>
                <w:szCs w:val="21"/>
              </w:rPr>
            </w:pPr>
            <w:r>
              <w:rPr>
                <w:rFonts w:hint="eastAsia" w:ascii="等线" w:hAnsi="等线" w:cs="宋体"/>
                <w:b/>
                <w:bCs/>
                <w:kern w:val="0"/>
                <w:szCs w:val="21"/>
              </w:rPr>
              <w:t>9</w:t>
            </w:r>
          </w:p>
        </w:tc>
        <w:tc>
          <w:tcPr>
            <w:tcW w:w="73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微信小程序+云间系统</w:t>
            </w: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线上微沙盘</w:t>
            </w:r>
          </w:p>
        </w:tc>
        <w:tc>
          <w:tcPr>
            <w:tcW w:w="1672"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420"/>
              <w:jc w:val="center"/>
              <w:rPr>
                <w:rFonts w:ascii="等线" w:hAnsi="等线" w:cs="宋体"/>
                <w:kern w:val="0"/>
                <w:szCs w:val="21"/>
              </w:rPr>
            </w:pPr>
            <w:r>
              <w:rPr>
                <w:rFonts w:hint="eastAsia" w:ascii="等线" w:hAnsi="等线" w:cs="宋体"/>
                <w:kern w:val="0"/>
                <w:szCs w:val="21"/>
              </w:rPr>
              <w:t>针对置业顾问提供分享传播、访客意向数据分析、客源管理的地产营销解决方案。以线上微沙盘作为置业顾问分享传播的电子化物料，降低开发商拓客成本，提高成交率。云间系统是针对置业顾问提供分享传播、访客数据分析、客源管理的地产营销解决方案。以线上微沙盘作为置业顾问分享传播的电子化物料；将置业顾问的个人信息，包括：手机号、微信等信息与线上微沙盘进行绑定；通过对访客进行标识让置业顾问分享可追溯，通过记录、分析访客访问行为数据，刻画访客画像，识别高质量的访客，降低开发商拓客成本，提高成交率</w:t>
            </w:r>
          </w:p>
        </w:tc>
        <w:tc>
          <w:tcPr>
            <w:tcW w:w="83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1</w:t>
            </w:r>
          </w:p>
        </w:tc>
        <w:tc>
          <w:tcPr>
            <w:tcW w:w="85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ind w:firstLine="420"/>
              <w:jc w:val="center"/>
              <w:rPr>
                <w:rFonts w:ascii="等线" w:hAnsi="等线" w:cs="宋体"/>
                <w:kern w:val="0"/>
                <w:szCs w:val="21"/>
              </w:rPr>
            </w:pPr>
            <w:r>
              <w:rPr>
                <w:rFonts w:hint="eastAsia" w:ascii="等线" w:hAnsi="等线" w:cs="宋体"/>
                <w:kern w:val="0"/>
                <w:szCs w:val="21"/>
              </w:rPr>
              <w:t>每个项目</w:t>
            </w:r>
          </w:p>
        </w:tc>
      </w:tr>
      <w:tr>
        <w:tblPrEx>
          <w:tblCellMar>
            <w:top w:w="0" w:type="dxa"/>
            <w:left w:w="108" w:type="dxa"/>
            <w:bottom w:w="0" w:type="dxa"/>
            <w:right w:w="108" w:type="dxa"/>
          </w:tblCellMar>
        </w:tblPrEx>
        <w:trPr>
          <w:trHeight w:val="765"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云间后台大数据分析</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235"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一键拨号</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402"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即时在线沟通</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360"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客户管理</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258"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重点意向客户电话获取</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298"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lang w:val="en-US" w:eastAsia="zh-CN"/>
              </w:rPr>
              <w:t>资讯</w:t>
            </w:r>
            <w:bookmarkStart w:id="1" w:name="_GoBack"/>
            <w:bookmarkEnd w:id="1"/>
            <w:r>
              <w:rPr>
                <w:rFonts w:hint="eastAsia" w:ascii="等线" w:hAnsi="等线" w:cs="宋体"/>
                <w:kern w:val="0"/>
                <w:szCs w:val="21"/>
              </w:rPr>
              <w:t>自媒体传播</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196"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房贷计算器</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409"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置业计划书分享</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54"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单独模块分享</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360"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红包转发功能</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r>
        <w:tblPrEx>
          <w:tblCellMar>
            <w:top w:w="0" w:type="dxa"/>
            <w:left w:w="108" w:type="dxa"/>
            <w:bottom w:w="0" w:type="dxa"/>
            <w:right w:w="108" w:type="dxa"/>
          </w:tblCellMar>
        </w:tblPrEx>
        <w:trPr>
          <w:trHeight w:val="259" w:hRule="atLeast"/>
          <w:jc w:val="center"/>
        </w:trPr>
        <w:tc>
          <w:tcPr>
            <w:tcW w:w="247" w:type="pct"/>
            <w:vMerge w:val="continue"/>
            <w:tcBorders>
              <w:top w:val="nil"/>
              <w:left w:val="single" w:color="auto" w:sz="4" w:space="0"/>
              <w:bottom w:val="single" w:color="auto" w:sz="4" w:space="0"/>
              <w:right w:val="single" w:color="auto" w:sz="4" w:space="0"/>
            </w:tcBorders>
            <w:vAlign w:val="center"/>
          </w:tcPr>
          <w:p>
            <w:pPr>
              <w:widowControl/>
              <w:ind w:firstLine="422"/>
              <w:jc w:val="left"/>
              <w:rPr>
                <w:rFonts w:ascii="等线" w:hAnsi="等线" w:cs="宋体"/>
                <w:b/>
                <w:bCs/>
                <w:kern w:val="0"/>
                <w:szCs w:val="21"/>
              </w:rPr>
            </w:pPr>
          </w:p>
        </w:tc>
        <w:tc>
          <w:tcPr>
            <w:tcW w:w="738"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649" w:type="pct"/>
            <w:tcBorders>
              <w:top w:val="nil"/>
              <w:left w:val="nil"/>
              <w:bottom w:val="single" w:color="auto" w:sz="4" w:space="0"/>
              <w:right w:val="single" w:color="auto" w:sz="4" w:space="0"/>
            </w:tcBorders>
            <w:shd w:val="clear" w:color="auto" w:fill="auto"/>
            <w:vAlign w:val="center"/>
          </w:tcPr>
          <w:p>
            <w:pPr>
              <w:widowControl/>
              <w:rPr>
                <w:rFonts w:ascii="等线" w:hAnsi="等线" w:cs="宋体"/>
                <w:kern w:val="0"/>
                <w:szCs w:val="21"/>
              </w:rPr>
            </w:pPr>
            <w:r>
              <w:rPr>
                <w:rFonts w:hint="eastAsia" w:ascii="等线" w:hAnsi="等线" w:cs="宋体"/>
                <w:kern w:val="0"/>
                <w:szCs w:val="21"/>
              </w:rPr>
              <w:t>优惠券</w:t>
            </w:r>
          </w:p>
        </w:tc>
        <w:tc>
          <w:tcPr>
            <w:tcW w:w="1672"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3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c>
          <w:tcPr>
            <w:tcW w:w="857" w:type="pct"/>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等线" w:hAnsi="等线" w:cs="宋体"/>
                <w:kern w:val="0"/>
                <w:szCs w:val="21"/>
              </w:rPr>
            </w:pPr>
          </w:p>
        </w:tc>
      </w:tr>
    </w:tbl>
    <w:p>
      <w:pPr>
        <w:pStyle w:val="13"/>
        <w:numPr>
          <w:ilvl w:val="0"/>
          <w:numId w:val="0"/>
        </w:numPr>
        <w:tabs>
          <w:tab w:val="left" w:pos="284"/>
          <w:tab w:val="clear" w:pos="993"/>
        </w:tabs>
        <w:ind w:left="840" w:hanging="420"/>
        <w:rPr>
          <w:rFonts w:ascii="新宋体" w:hAnsi="新宋体" w:eastAsia="新宋体" w:cs="微软雅黑"/>
          <w:kern w:val="0"/>
          <w:szCs w:val="21"/>
        </w:rPr>
      </w:pPr>
    </w:p>
    <w:p>
      <w:pPr>
        <w:pStyle w:val="13"/>
        <w:numPr>
          <w:ilvl w:val="0"/>
          <w:numId w:val="0"/>
        </w:numPr>
        <w:tabs>
          <w:tab w:val="left" w:pos="284"/>
          <w:tab w:val="clear" w:pos="993"/>
        </w:tabs>
        <w:ind w:left="840" w:hanging="420"/>
        <w:rPr>
          <w:rFonts w:ascii="新宋体" w:hAnsi="新宋体" w:eastAsia="新宋体" w:cs="微软雅黑"/>
          <w:b/>
          <w:bCs/>
          <w:kern w:val="0"/>
          <w:szCs w:val="21"/>
        </w:rPr>
      </w:pPr>
      <w:r>
        <w:rPr>
          <w:rFonts w:hint="eastAsia" w:ascii="新宋体" w:hAnsi="新宋体" w:eastAsia="新宋体" w:cs="微软雅黑"/>
          <w:b/>
          <w:bCs/>
          <w:kern w:val="0"/>
          <w:szCs w:val="21"/>
        </w:rPr>
        <w:t>（二）制作周期</w:t>
      </w:r>
    </w:p>
    <w:p>
      <w:pPr>
        <w:adjustRightInd w:val="0"/>
        <w:snapToGrid w:val="0"/>
        <w:spacing w:line="440" w:lineRule="exact"/>
        <w:ind w:firstLine="560"/>
        <w:rPr>
          <w:rFonts w:ascii="宋体" w:hAnsi="宋体" w:eastAsia="宋体" w:cs="宋体"/>
          <w:sz w:val="24"/>
          <w:szCs w:val="24"/>
          <w:lang w:val="zh-CN"/>
        </w:rPr>
      </w:pPr>
      <w:r>
        <w:rPr>
          <w:rFonts w:hint="eastAsia" w:ascii="新宋体" w:hAnsi="新宋体" w:eastAsia="新宋体" w:cs="微软雅黑"/>
          <w:kern w:val="0"/>
          <w:szCs w:val="21"/>
        </w:rPr>
        <w:t>暂定</w:t>
      </w:r>
      <w:r>
        <w:rPr>
          <w:rFonts w:ascii="新宋体" w:hAnsi="新宋体" w:eastAsia="新宋体" w:cs="微软雅黑"/>
          <w:kern w:val="0"/>
          <w:szCs w:val="21"/>
        </w:rPr>
        <w:t>30</w:t>
      </w:r>
      <w:r>
        <w:rPr>
          <w:rFonts w:hint="eastAsia" w:ascii="新宋体" w:hAnsi="新宋体" w:eastAsia="新宋体" w:cs="微软雅黑"/>
          <w:kern w:val="0"/>
          <w:szCs w:val="21"/>
        </w:rPr>
        <w:t>个日历天</w:t>
      </w:r>
    </w:p>
    <w:p>
      <w:pPr>
        <w:spacing w:line="360" w:lineRule="auto"/>
        <w:ind w:firstLine="720" w:firstLineChars="300"/>
        <w:rPr>
          <w:rFonts w:ascii="宋体" w:hAnsi="宋体" w:eastAsia="宋体" w:cs="宋体"/>
          <w:kern w:val="0"/>
          <w:sz w:val="24"/>
          <w:szCs w:val="24"/>
        </w:rPr>
      </w:pPr>
    </w:p>
    <w:sectPr>
      <w:pgSz w:w="11906" w:h="16838"/>
      <w:pgMar w:top="1440" w:right="16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EnclosedCircle"/>
      <w:lvlText w:val="%1"/>
      <w:lvlJc w:val="left"/>
      <w:pPr>
        <w:ind w:left="360" w:hanging="360"/>
      </w:pPr>
      <w:rPr>
        <w:rFonts w:hint="default"/>
      </w:rPr>
    </w:lvl>
    <w:lvl w:ilvl="1" w:tentative="0">
      <w:start w:val="1"/>
      <w:numFmt w:val="lowerLetter"/>
      <w:pStyle w:val="1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7404CB"/>
    <w:multiLevelType w:val="multilevel"/>
    <w:tmpl w:val="297404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811DE1"/>
    <w:multiLevelType w:val="multilevel"/>
    <w:tmpl w:val="5C811DE1"/>
    <w:lvl w:ilvl="0" w:tentative="0">
      <w:start w:val="1"/>
      <w:numFmt w:val="decimalEnclosedCircle"/>
      <w:pStyle w:val="1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mMzhiMTAyNjQ1OTIxMmNkMWE1ZjZlZDhhNzQzY2YifQ=="/>
  </w:docVars>
  <w:rsids>
    <w:rsidRoot w:val="00B72872"/>
    <w:rsid w:val="000037DB"/>
    <w:rsid w:val="000333E5"/>
    <w:rsid w:val="00096451"/>
    <w:rsid w:val="000C41E1"/>
    <w:rsid w:val="000E63DD"/>
    <w:rsid w:val="00156B02"/>
    <w:rsid w:val="002D64B3"/>
    <w:rsid w:val="004C3528"/>
    <w:rsid w:val="004F07A7"/>
    <w:rsid w:val="005B36D8"/>
    <w:rsid w:val="005E0B88"/>
    <w:rsid w:val="00617AAF"/>
    <w:rsid w:val="00625BE6"/>
    <w:rsid w:val="006350CD"/>
    <w:rsid w:val="00754CBF"/>
    <w:rsid w:val="007E0408"/>
    <w:rsid w:val="00852C5C"/>
    <w:rsid w:val="008C4C1A"/>
    <w:rsid w:val="008D0DB0"/>
    <w:rsid w:val="00A927AB"/>
    <w:rsid w:val="00AB5DDD"/>
    <w:rsid w:val="00B0716A"/>
    <w:rsid w:val="00B22BFE"/>
    <w:rsid w:val="00B2651F"/>
    <w:rsid w:val="00B72872"/>
    <w:rsid w:val="00C53F53"/>
    <w:rsid w:val="00D66A48"/>
    <w:rsid w:val="00D7600B"/>
    <w:rsid w:val="00E40DCC"/>
    <w:rsid w:val="00EC6016"/>
    <w:rsid w:val="00EE2AF5"/>
    <w:rsid w:val="011E0236"/>
    <w:rsid w:val="01B42948"/>
    <w:rsid w:val="04D95E5D"/>
    <w:rsid w:val="0545043A"/>
    <w:rsid w:val="06014EEE"/>
    <w:rsid w:val="06530DF9"/>
    <w:rsid w:val="072D1B30"/>
    <w:rsid w:val="08400A92"/>
    <w:rsid w:val="097D729A"/>
    <w:rsid w:val="09F901CF"/>
    <w:rsid w:val="0A210B5D"/>
    <w:rsid w:val="0AA07FEE"/>
    <w:rsid w:val="0AF21F8D"/>
    <w:rsid w:val="0B994FA4"/>
    <w:rsid w:val="0BC1302E"/>
    <w:rsid w:val="0F0A6EFA"/>
    <w:rsid w:val="123E24E6"/>
    <w:rsid w:val="13C0517C"/>
    <w:rsid w:val="141034E9"/>
    <w:rsid w:val="153B087B"/>
    <w:rsid w:val="17DC30EC"/>
    <w:rsid w:val="18803AE9"/>
    <w:rsid w:val="19B01C6C"/>
    <w:rsid w:val="1A271B9C"/>
    <w:rsid w:val="1ABF06C9"/>
    <w:rsid w:val="1B395510"/>
    <w:rsid w:val="1BB95D8B"/>
    <w:rsid w:val="1CD6211D"/>
    <w:rsid w:val="1CEA4D45"/>
    <w:rsid w:val="1D0E3533"/>
    <w:rsid w:val="1D4C708C"/>
    <w:rsid w:val="1E2157BE"/>
    <w:rsid w:val="1EAF37C4"/>
    <w:rsid w:val="20120B41"/>
    <w:rsid w:val="20E019CB"/>
    <w:rsid w:val="212E7BC9"/>
    <w:rsid w:val="22B50AF6"/>
    <w:rsid w:val="24EE6EE2"/>
    <w:rsid w:val="253935CF"/>
    <w:rsid w:val="29CD5935"/>
    <w:rsid w:val="2CB300B1"/>
    <w:rsid w:val="2D723692"/>
    <w:rsid w:val="2F7E3DDB"/>
    <w:rsid w:val="2F8B5F1A"/>
    <w:rsid w:val="2F925158"/>
    <w:rsid w:val="34313801"/>
    <w:rsid w:val="34F11FA2"/>
    <w:rsid w:val="35192AC1"/>
    <w:rsid w:val="35BD0F4F"/>
    <w:rsid w:val="35C351E8"/>
    <w:rsid w:val="35E604FC"/>
    <w:rsid w:val="3D170B64"/>
    <w:rsid w:val="3ED332DD"/>
    <w:rsid w:val="40D60803"/>
    <w:rsid w:val="4176581F"/>
    <w:rsid w:val="4317108C"/>
    <w:rsid w:val="4584409C"/>
    <w:rsid w:val="4757658C"/>
    <w:rsid w:val="4CD45972"/>
    <w:rsid w:val="50F7415E"/>
    <w:rsid w:val="51621BB9"/>
    <w:rsid w:val="5488205E"/>
    <w:rsid w:val="54892480"/>
    <w:rsid w:val="563F2119"/>
    <w:rsid w:val="568A6961"/>
    <w:rsid w:val="579B1525"/>
    <w:rsid w:val="599C1DB3"/>
    <w:rsid w:val="5A210B10"/>
    <w:rsid w:val="5A8569CC"/>
    <w:rsid w:val="5B555777"/>
    <w:rsid w:val="5B6D5E79"/>
    <w:rsid w:val="5C1535B3"/>
    <w:rsid w:val="5DF80B0C"/>
    <w:rsid w:val="5E4915C3"/>
    <w:rsid w:val="68514226"/>
    <w:rsid w:val="6B3970FD"/>
    <w:rsid w:val="6DB04169"/>
    <w:rsid w:val="6DBD54CE"/>
    <w:rsid w:val="72502EA9"/>
    <w:rsid w:val="72C304AB"/>
    <w:rsid w:val="742402D2"/>
    <w:rsid w:val="74343E6D"/>
    <w:rsid w:val="74AB5538"/>
    <w:rsid w:val="75C63825"/>
    <w:rsid w:val="75FF4891"/>
    <w:rsid w:val="77157BFE"/>
    <w:rsid w:val="77445A06"/>
    <w:rsid w:val="77A334A9"/>
    <w:rsid w:val="7DB81B2F"/>
    <w:rsid w:val="7DB8318F"/>
    <w:rsid w:val="7FB1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2"/>
    <w:qFormat/>
    <w:uiPriority w:val="0"/>
    <w:pPr>
      <w:adjustRightInd w:val="0"/>
      <w:ind w:firstLine="420"/>
      <w:textAlignment w:val="baseline"/>
    </w:pPr>
    <w:rPr>
      <w:rFonts w:ascii="宋体" w:hAnsi="Times New Roman" w:eastAsia="仿宋"/>
      <w:kern w:val="0"/>
      <w:sz w:val="24"/>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1"/>
    <w:basedOn w:val="1"/>
    <w:qFormat/>
    <w:uiPriority w:val="0"/>
  </w:style>
  <w:style w:type="character" w:customStyle="1" w:styleId="12">
    <w:name w:val="正文缩进 字符"/>
    <w:link w:val="2"/>
    <w:qFormat/>
    <w:uiPriority w:val="0"/>
    <w:rPr>
      <w:rFonts w:ascii="宋体" w:hAnsi="Times New Roman" w:eastAsia="仿宋"/>
      <w:sz w:val="24"/>
      <w:szCs w:val="21"/>
    </w:rPr>
  </w:style>
  <w:style w:type="paragraph" w:customStyle="1" w:styleId="13">
    <w:name w:val="二级正文内容"/>
    <w:basedOn w:val="1"/>
    <w:qFormat/>
    <w:uiPriority w:val="0"/>
    <w:pPr>
      <w:numPr>
        <w:ilvl w:val="1"/>
        <w:numId w:val="1"/>
      </w:numPr>
      <w:tabs>
        <w:tab w:val="left" w:pos="993"/>
      </w:tabs>
      <w:adjustRightInd w:val="0"/>
      <w:snapToGrid w:val="0"/>
      <w:spacing w:line="360" w:lineRule="auto"/>
    </w:pPr>
    <w:rPr>
      <w:rFonts w:ascii="Times New Roman" w:hAnsi="Times New Roman" w:eastAsia="宋体" w:cs="Times New Roman"/>
      <w:szCs w:val="24"/>
    </w:rPr>
  </w:style>
  <w:style w:type="paragraph" w:customStyle="1" w:styleId="14">
    <w:name w:val="小标题"/>
    <w:basedOn w:val="1"/>
    <w:next w:val="13"/>
    <w:qFormat/>
    <w:uiPriority w:val="0"/>
    <w:pPr>
      <w:numPr>
        <w:ilvl w:val="0"/>
        <w:numId w:val="2"/>
      </w:numPr>
      <w:tabs>
        <w:tab w:val="left" w:pos="568"/>
      </w:tabs>
      <w:adjustRightInd w:val="0"/>
      <w:snapToGrid w:val="0"/>
      <w:spacing w:after="156" w:afterLines="50" w:line="440" w:lineRule="exact"/>
      <w:outlineLvl w:val="0"/>
    </w:pPr>
    <w:rPr>
      <w:rFonts w:ascii="宋体" w:hAnsi="宋体" w:eastAsia="宋体" w:cs="Times New Roman"/>
      <w:b/>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2482</Words>
  <Characters>2565</Characters>
  <Lines>29</Lines>
  <Paragraphs>8</Paragraphs>
  <TotalTime>2</TotalTime>
  <ScaleCrop>false</ScaleCrop>
  <LinksUpToDate>false</LinksUpToDate>
  <CharactersWithSpaces>2565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2021-07-30T08:11:00Z</dcterms:created>
  <dc:creator>乾</dc:creator>
  <cp:lastModifiedBy>钟怡</cp:lastModifiedBy>
  <dcterms:modified xsi:type="dcterms:W3CDTF">2022-04-29T07:38:12Z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5F7C94D08D024FB5831245755652D9AC</vt:lpwstr>
  </property>
</Properties>
</file>