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73" w:lineRule="exact"/>
        <w:ind w:right="367"/>
        <w:jc w:val="right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color w:val="FFFFFF"/>
          <w:sz w:val="94"/>
          <w:szCs w:val="94"/>
        </w:rPr>
        <w:t>海口江东新区管理局</w:t>
      </w:r>
    </w:p>
    <w:p>
      <w:pPr>
        <w:spacing w:after="0" w:line="20" w:lineRule="exact"/>
        <w:rPr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ind w:right="258" w:rightChars="123" w:firstLine="5120" w:firstLineChars="160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海</w:t>
      </w:r>
      <w:r>
        <w:rPr>
          <w:rFonts w:hint="eastAsia" w:eastAsia="仿宋_GB2312"/>
          <w:sz w:val="32"/>
          <w:lang w:val="en-US" w:eastAsia="zh-CN"/>
        </w:rPr>
        <w:t>江东</w:t>
      </w:r>
      <w:r>
        <w:rPr>
          <w:rFonts w:hint="eastAsia" w:eastAsia="仿宋_GB2312"/>
          <w:sz w:val="32"/>
        </w:rPr>
        <w:t>审〔</w:t>
      </w:r>
      <w:r>
        <w:rPr>
          <w:rFonts w:hint="default" w:ascii="Times New Roman" w:hAnsi="Times New Roman" w:eastAsia="仿宋_GB2312" w:cs="Times New Roman"/>
          <w:sz w:val="32"/>
        </w:rPr>
        <w:t>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67</w:t>
      </w:r>
      <w:r>
        <w:rPr>
          <w:rFonts w:hint="eastAsia" w:eastAsia="仿宋_GB2312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海口江东新区管理局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关于批复中铁十局项目配套砂石料加工站项目（灵山镇仙月仙村、仙月红村）环境影响报告表的函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海口君和再生资源有限公司：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你单位报送的《建设项目环境影响评价文件申报审批服务表》及委托海南人驰环境咨询有限公司编制的《</w:t>
      </w:r>
      <w:r>
        <w:rPr>
          <w:rFonts w:hint="eastAsia" w:ascii="Times New Roman" w:hAnsi="宋体" w:eastAsia="仿宋_GB2312" w:cs="Times New Roman"/>
          <w:sz w:val="32"/>
          <w:lang w:val="en-US" w:eastAsia="zh-CN"/>
        </w:rPr>
        <w:t>中铁十局项目配套砂石料加工站项目（灵山镇仙月仙村、仙月红村）</w:t>
      </w:r>
      <w:r>
        <w:rPr>
          <w:rFonts w:hint="eastAsia" w:hAnsi="宋体" w:eastAsia="仿宋_GB2312"/>
          <w:sz w:val="32"/>
          <w:lang w:val="en-US" w:eastAsia="zh-CN"/>
        </w:rPr>
        <w:t>环境影响报告表》（以下简称《报告表》）及评审意见等材料收悉。经审查，现函复如下：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outlineLvl w:val="9"/>
        <w:rPr>
          <w:rFonts w:hint="default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一、该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项目位于海口市美兰区</w:t>
      </w:r>
      <w:r>
        <w:rPr>
          <w:rFonts w:hint="eastAsia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灵山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镇</w:t>
      </w:r>
      <w:r>
        <w:rPr>
          <w:rFonts w:hint="eastAsia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林昌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村</w:t>
      </w:r>
      <w:r>
        <w:rPr>
          <w:rFonts w:hint="eastAsia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委会仙月仙村、仙月红村临椰海大道路边土地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，用地面积为</w:t>
      </w:r>
      <w:r>
        <w:rPr>
          <w:rFonts w:hint="eastAsia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10594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.</w:t>
      </w:r>
      <w:r>
        <w:rPr>
          <w:rFonts w:hint="eastAsia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09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m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vertAlign w:val="superscript"/>
          <w:lang w:val="en-US" w:eastAsia="zh-CN" w:bidi="ar-SA"/>
        </w:rPr>
        <w:t>2</w:t>
      </w:r>
      <w:r>
        <w:rPr>
          <w:rFonts w:hint="default" w:ascii="Times New Roman" w:hAnsi="宋体" w:eastAsia="仿宋_GB2312" w:cs="Times New Roman"/>
          <w:kern w:val="2"/>
          <w:sz w:val="32"/>
          <w:szCs w:val="24"/>
          <w:lang w:val="en-US" w:eastAsia="zh-CN" w:bidi="ar-SA"/>
        </w:rPr>
        <w:t>，属于江东新区地下综合管廊项目（一期）-空港环路地下综合管廊项目配套砂石料加工项目。原料为渣土及片石，其中渣土来源于江东新区地下综合管廊项目（一期）-空港环路地下综合管廊项目建设产生的废弃渣土，片石外购。通过破碎、筛分、洗砂等工艺，生产机制砂及碎石，本项目产品不外售，用于江东新区地下综合管廊项目（一期）-空港环路地下综合管廊项目的建设。本项目共设三条生产线，其中两条制砂生产线，一条石料生产线。项目各生产线均布置于全封闭钢结构厂房内。渣土制砂生产线原料为渣土，处理规模为8万t/a渣土，采用水洗工艺，生产2.8万t/a机制砂；片石制砂生产线原料为片石，处理规模为4.44万t/a片石，采用水洗工艺，生产4万t/a机制砂；石料生产线原料为片石，处理规模为5.56万t/a片石，采用破碎、筛分工艺，生产碎石5万t/a。项目建成后，总处理规模为10万t/a片石及8万t/a渣土，共生产6.8万t/a机制砂及5万t/a碎石。</w:t>
      </w:r>
      <w:r>
        <w:rPr>
          <w:rFonts w:hint="eastAsia" w:hAnsi="宋体" w:eastAsia="仿宋_GB2312"/>
          <w:sz w:val="32"/>
          <w:lang w:val="en-US" w:eastAsia="zh-CN"/>
        </w:rPr>
        <w:t>根据《报告表》的综合结论，在全面落实《报告表》提出的各项防治环境污染措施的前提下，项目建设对环境的不利影响能够得到缓解和控制。从环境保护角度分析，项目建设是可行的。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二、项目执行的环境质量标准、污染物排放标准和主要污染物总量控制指标要求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（一）环境质量标准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项目大气环境质量执行《环境空气质量标准》（GB3095-2012）及其修改单中的二级标准。项目周边水环境执行《地表水环境质量标准》（GB3838-2002）中的IV类标准。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污染物排放标准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项目施工期扬尘执行《大气污染物综合排放标准》（GB16297-1996）表2中无组织排放监控浓度限值，项目有组织排放的粉尘参照执行《水泥工业污染控制标准》（DB46/524-2021）表1中大气污染物有组织排放源最高允许浓度限值，无组织排放的粉尘参照执行《水泥工业污染控制标准》（DB46/524-2021）表3中大气污染物无组织排放限值，项目燃油机械产生的废气执行《非道路移动机械用柴油机排气污染物排放限值及测量方法（中国第三、四阶段）》（GB20891-2014）及修改单中的相关标准，排气烟度执行《非道路移动柴油机械排气烟度限值及测量方法（GB36886-2018）》表1中的Ⅲ标准。项目施工期噪声执行《建筑施工场界环境噪声排放标准》（GB12523-2011）中的相关标准，项目东南侧厂界噪声执行《工业企业厂界环境噪声排放标准》（GB12348-2008）中的4类标准，其余区域执行2类标准。一般工业固体废物执行《一般工业固体废物贮存和填埋污染控制标准》（GB18599-2020）中的相关标准，危险废物执行《危险废物贮存污染控制标准》（GB18597-2001）及其修改单中有关规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污染物排放总量控制指标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本项目不设置污染物排放总量控制指标。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eastAsia="仿宋_GB2312"/>
          <w:kern w:val="2"/>
          <w:sz w:val="32"/>
          <w:szCs w:val="24"/>
          <w:lang w:val="en-US" w:eastAsia="zh-CN" w:bidi="ar-SA"/>
        </w:rPr>
      </w:pPr>
      <w:r>
        <w:rPr>
          <w:rFonts w:hint="eastAsia" w:hAnsi="宋体" w:eastAsia="仿宋_GB2312"/>
          <w:kern w:val="2"/>
          <w:sz w:val="32"/>
          <w:szCs w:val="24"/>
          <w:lang w:val="en-US" w:eastAsia="zh-CN" w:bidi="ar-SA"/>
        </w:rPr>
        <w:t>项目设计、建设和运营中应重点做好以下工作：</w:t>
      </w:r>
    </w:p>
    <w:p>
      <w:pPr>
        <w:pStyle w:val="3"/>
        <w:tabs>
          <w:tab w:val="left" w:pos="1554"/>
        </w:tabs>
        <w:spacing w:after="0" w:line="560" w:lineRule="exact"/>
        <w:ind w:left="0" w:leftChars="0" w:firstLine="640" w:firstLineChars="200"/>
        <w:jc w:val="both"/>
        <w:rPr>
          <w:rFonts w:hint="eastAsia" w:hAnsi="宋体" w:eastAsia="仿宋_GB2312"/>
          <w:kern w:val="2"/>
          <w:sz w:val="32"/>
          <w:szCs w:val="24"/>
          <w:lang w:val="en-US" w:eastAsia="zh-CN" w:bidi="ar-SA"/>
        </w:rPr>
      </w:pPr>
      <w:r>
        <w:rPr>
          <w:rFonts w:hint="eastAsia" w:hAnsi="宋体" w:eastAsia="仿宋_GB2312"/>
          <w:kern w:val="2"/>
          <w:sz w:val="32"/>
          <w:szCs w:val="24"/>
          <w:lang w:val="en-US" w:eastAsia="zh-CN" w:bidi="ar-SA"/>
        </w:rPr>
        <w:t>（一）加大施工期的环境管理力度，做到文明施工，要按照《防治城市扬尘污染技术规范》（HJ/T393-2007）要求，防止和减轻施工扬尘等对周围环境的影响。陆上运输应采取封闭、遮挡、喷淋等措施，避免泄漏；要及时恢复施工过程中受到破坏的环境，将施工带来的环境影响和对城市交通、居民工作生活造成的不便减少到最低限度。</w:t>
      </w:r>
    </w:p>
    <w:p>
      <w:pPr>
        <w:pStyle w:val="3"/>
        <w:tabs>
          <w:tab w:val="left" w:pos="1554"/>
        </w:tabs>
        <w:spacing w:after="0" w:line="560" w:lineRule="exact"/>
        <w:ind w:left="0" w:leftChars="0" w:firstLine="640" w:firstLineChars="200"/>
        <w:jc w:val="both"/>
        <w:rPr>
          <w:rFonts w:hint="eastAsia" w:hAnsi="宋体" w:eastAsia="仿宋_GB2312"/>
          <w:kern w:val="2"/>
          <w:sz w:val="32"/>
          <w:szCs w:val="24"/>
          <w:lang w:val="en-US" w:eastAsia="zh-CN" w:bidi="ar-SA"/>
        </w:rPr>
      </w:pPr>
      <w:r>
        <w:rPr>
          <w:rFonts w:hint="eastAsia" w:hAnsi="宋体" w:eastAsia="仿宋_GB2312"/>
          <w:kern w:val="2"/>
          <w:sz w:val="32"/>
          <w:szCs w:val="24"/>
          <w:lang w:val="en-US" w:eastAsia="zh-CN" w:bidi="ar-SA"/>
        </w:rPr>
        <w:t>（二）制定施工期环境保护手册，禁止盲目施工。施工营地、材料堆场、堆土（泥）点应避开周边居住区等环境敏感点，并做好环保防护措施。</w:t>
      </w:r>
    </w:p>
    <w:p>
      <w:pPr>
        <w:pStyle w:val="3"/>
        <w:tabs>
          <w:tab w:val="left" w:pos="1554"/>
        </w:tabs>
        <w:spacing w:after="0" w:line="560" w:lineRule="exact"/>
        <w:ind w:left="0" w:leftChars="0" w:firstLine="640" w:firstLineChars="200"/>
        <w:jc w:val="both"/>
        <w:rPr>
          <w:rFonts w:hint="eastAsia"/>
          <w:kern w:val="2"/>
          <w:sz w:val="32"/>
          <w:szCs w:val="24"/>
          <w:lang w:val="en-US" w:eastAsia="zh-CN" w:bidi="ar-SA"/>
        </w:rPr>
      </w:pPr>
      <w:r>
        <w:rPr>
          <w:rFonts w:hint="eastAsia" w:hAnsi="宋体" w:eastAsia="仿宋_GB2312"/>
          <w:kern w:val="2"/>
          <w:sz w:val="32"/>
          <w:szCs w:val="24"/>
          <w:lang w:val="en-US" w:eastAsia="zh-CN" w:bidi="ar-SA"/>
        </w:rPr>
        <w:t>（三）固体废物应分类收集，并及时做好清运工作。生活垃圾交由环卫部门处理，危险固废由有资质的单位处理，不外排，</w:t>
      </w:r>
      <w:r>
        <w:rPr>
          <w:rFonts w:hint="eastAsia"/>
          <w:kern w:val="2"/>
          <w:sz w:val="32"/>
          <w:szCs w:val="24"/>
          <w:lang w:val="en-US" w:eastAsia="zh-CN" w:bidi="ar-SA"/>
        </w:rPr>
        <w:t>并按相关要求设置危废暂存间。</w:t>
      </w:r>
    </w:p>
    <w:p>
      <w:pPr>
        <w:pStyle w:val="3"/>
        <w:tabs>
          <w:tab w:val="left" w:pos="1554"/>
        </w:tabs>
        <w:spacing w:after="0" w:line="560" w:lineRule="exact"/>
        <w:ind w:left="0" w:leftChars="0" w:firstLine="640" w:firstLineChars="200"/>
        <w:jc w:val="both"/>
        <w:rPr>
          <w:rFonts w:hint="default"/>
          <w:kern w:val="2"/>
          <w:sz w:val="32"/>
          <w:szCs w:val="24"/>
          <w:lang w:val="en-US" w:eastAsia="zh-CN" w:bidi="ar-SA"/>
        </w:rPr>
      </w:pPr>
      <w:r>
        <w:rPr>
          <w:rFonts w:hint="eastAsia"/>
          <w:kern w:val="2"/>
          <w:sz w:val="32"/>
          <w:szCs w:val="24"/>
          <w:lang w:val="en-US" w:eastAsia="zh-CN" w:bidi="ar-SA"/>
        </w:rPr>
        <w:t>（四）项目堆场应做好围挡，并设置喷淋装置，大风条件下禁止生产。破碎、筛分等工序设置集气罩，并设布袋除尘器，防止粉尘扩散。此外，物料进出端和输送带须为封闭式的。</w:t>
      </w:r>
    </w:p>
    <w:p>
      <w:pPr>
        <w:pStyle w:val="3"/>
        <w:tabs>
          <w:tab w:val="left" w:pos="1554"/>
        </w:tabs>
        <w:spacing w:after="0" w:line="560" w:lineRule="exact"/>
        <w:ind w:left="0" w:leftChars="0" w:firstLine="640" w:firstLineChars="200"/>
        <w:jc w:val="both"/>
        <w:rPr>
          <w:rFonts w:hint="eastAsia"/>
          <w:kern w:val="2"/>
          <w:sz w:val="32"/>
          <w:szCs w:val="24"/>
          <w:lang w:val="en-US" w:eastAsia="zh-CN" w:bidi="ar-SA"/>
        </w:rPr>
      </w:pPr>
      <w:r>
        <w:rPr>
          <w:rFonts w:hint="eastAsia"/>
          <w:kern w:val="2"/>
          <w:sz w:val="32"/>
          <w:szCs w:val="24"/>
          <w:lang w:val="en-US" w:eastAsia="zh-CN" w:bidi="ar-SA"/>
        </w:rPr>
        <w:t>（五）项目噪声主要来源于施工机械和运营期机械设备。应采用低噪声设备，设置减振底座、柔性接头。</w:t>
      </w:r>
    </w:p>
    <w:p>
      <w:pPr>
        <w:pStyle w:val="3"/>
        <w:tabs>
          <w:tab w:val="left" w:pos="1554"/>
        </w:tabs>
        <w:spacing w:after="0" w:line="560" w:lineRule="exact"/>
        <w:ind w:left="0" w:leftChars="0" w:firstLine="640" w:firstLineChars="200"/>
        <w:jc w:val="both"/>
        <w:rPr>
          <w:rFonts w:hint="eastAsia"/>
          <w:kern w:val="2"/>
          <w:sz w:val="32"/>
          <w:szCs w:val="24"/>
          <w:lang w:val="en-US" w:eastAsia="zh-CN" w:bidi="ar-SA"/>
        </w:rPr>
      </w:pPr>
      <w:r>
        <w:rPr>
          <w:rFonts w:hint="eastAsia"/>
          <w:kern w:val="2"/>
          <w:sz w:val="32"/>
          <w:szCs w:val="24"/>
          <w:lang w:val="en-US" w:eastAsia="zh-CN" w:bidi="ar-SA"/>
        </w:rPr>
        <w:t>（六）施工过程中，需设置雨水收集池，有组织疏导地表水就近排放至雨水管或雨水渠，生产废水需通过污水池处理后循环回用，不外排；生活污水需通过化粪池收集处理后回用。</w:t>
      </w:r>
    </w:p>
    <w:p>
      <w:pPr>
        <w:pStyle w:val="3"/>
        <w:tabs>
          <w:tab w:val="left" w:pos="1554"/>
        </w:tabs>
        <w:spacing w:after="0" w:line="560" w:lineRule="exact"/>
        <w:ind w:left="0" w:leftChars="0" w:firstLine="640" w:firstLineChars="200"/>
        <w:jc w:val="both"/>
        <w:rPr>
          <w:rFonts w:hint="default"/>
          <w:kern w:val="2"/>
          <w:sz w:val="32"/>
          <w:szCs w:val="24"/>
          <w:vertAlign w:val="baseline"/>
          <w:lang w:val="en-US" w:eastAsia="zh-CN" w:bidi="ar-SA"/>
        </w:rPr>
      </w:pPr>
      <w:r>
        <w:rPr>
          <w:rFonts w:hint="eastAsia"/>
          <w:kern w:val="2"/>
          <w:sz w:val="32"/>
          <w:szCs w:val="24"/>
          <w:lang w:val="en-US" w:eastAsia="zh-CN" w:bidi="ar-SA"/>
        </w:rPr>
        <w:t>（七）项目需做好防渗措施，危废暂存间、三级化粪池、污水池应按照分区防渗原则，落实相关防渗措施</w:t>
      </w:r>
      <w:r>
        <w:rPr>
          <w:rFonts w:hint="eastAsia"/>
          <w:kern w:val="2"/>
          <w:sz w:val="32"/>
          <w:szCs w:val="24"/>
          <w:vertAlign w:val="baseline"/>
          <w:lang w:val="en-US" w:eastAsia="zh-CN" w:bidi="ar-SA"/>
        </w:rPr>
        <w:t>；加工生产区、堆料区、办公生活区和道路应采用地面硬化处理。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（八）加强项目环境管理，建立健全各项环保规章制度和岗位操作规程，落实相应的环保管理人员，确保各项污染物排放稳定达标。加强环境事故风险防范，认真落实应急处理措施。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四、涉及法律、法规规定需要办理的其他相关手续应按规定办理。项目的性质、规模、地点或者污染防治、防止生态破坏的措施发生重大变动的，应按照法律法规的规定，重新履行相关环保审批手续。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 xml:space="preserve">五、要严格执行环境保护“三同时”制度，切实落实《报告表》及本批复函提出的各项污染防治设施和措施。项目竣工后，建设单位必须依照《建设项目环境保护管理条例》等法规要求进行验收合格后，方可投入使用。建设单位须遵守《中华人民共和国海南自由贸易港法》、《海口江东新区生态环境保护条例》等法律法规的相关规定，严格执行环保的各项标准，并自觉接受相关主管部门的监督检查。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>海口江东新区管理局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hAnsi="宋体" w:eastAsia="仿宋_GB2312"/>
          <w:sz w:val="32"/>
          <w:lang w:val="en-US" w:eastAsia="zh-CN"/>
        </w:rPr>
      </w:pPr>
      <w:r>
        <w:rPr>
          <w:rFonts w:hint="eastAsia" w:hAnsi="宋体" w:eastAsia="仿宋_GB2312"/>
          <w:sz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hAnsi="宋体" w:eastAsia="仿宋_GB2312"/>
          <w:sz w:val="32"/>
          <w:lang w:val="en-US" w:eastAsia="zh-CN"/>
        </w:rPr>
        <w:t>年4月15日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8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hAnsi="宋体" w:eastAsia="仿宋_GB2312"/>
                <w:sz w:val="32"/>
                <w:vertAlign w:val="baseline"/>
              </w:rPr>
            </w:pPr>
            <w:r>
              <w:rPr>
                <w:rFonts w:hint="eastAsia" w:hAnsi="宋体" w:eastAsia="仿宋_GB2312"/>
                <w:sz w:val="32"/>
              </w:rPr>
              <w:t>抄送：海口市</w:t>
            </w:r>
            <w:r>
              <w:rPr>
                <w:rFonts w:hint="eastAsia" w:hAnsi="宋体" w:eastAsia="仿宋_GB2312"/>
                <w:sz w:val="32"/>
                <w:lang w:val="en-US" w:eastAsia="zh-CN"/>
              </w:rPr>
              <w:t>生态环境局，海南人驰环境咨询有限公司</w:t>
            </w:r>
            <w:r>
              <w:rPr>
                <w:rFonts w:hint="eastAsia" w:hAnsi="宋体" w:eastAsia="仿宋_GB2312"/>
                <w:sz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2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hAnsi="宋体" w:eastAsia="仿宋_GB2312"/>
                <w:sz w:val="32"/>
                <w:vertAlign w:val="baseline"/>
                <w:lang w:val="en-US" w:eastAsia="zh-CN"/>
              </w:rPr>
            </w:pPr>
            <w:r>
              <w:rPr>
                <w:rFonts w:hint="eastAsia" w:hAnsi="宋体" w:eastAsia="仿宋_GB2312"/>
                <w:sz w:val="32"/>
                <w:vertAlign w:val="baseline"/>
                <w:lang w:val="en-US" w:eastAsia="zh-CN"/>
              </w:rPr>
              <w:t xml:space="preserve">海口江东新区管理局                </w:t>
            </w:r>
            <w:r>
              <w:rPr>
                <w:rFonts w:hint="default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2</w:t>
            </w:r>
            <w:r>
              <w:rPr>
                <w:rFonts w:hint="eastAsia" w:hAnsi="宋体" w:eastAsia="仿宋_GB2312"/>
                <w:sz w:val="32"/>
                <w:vertAlign w:val="baseline"/>
                <w:lang w:val="en-US" w:eastAsia="zh-CN"/>
              </w:rPr>
              <w:t>年4月</w:t>
            </w:r>
            <w:r>
              <w:rPr>
                <w:rFonts w:hint="eastAsia" w:ascii="Times New Roman" w:hAnsi="Times New Roman" w:eastAsia="仿宋_GB2312" w:cs="Times New Roman"/>
                <w:sz w:val="32"/>
                <w:vertAlign w:val="baseline"/>
                <w:lang w:val="en-US" w:eastAsia="zh-CN"/>
              </w:rPr>
              <w:t>15</w:t>
            </w:r>
            <w:r>
              <w:rPr>
                <w:rFonts w:hint="eastAsia" w:hAnsi="宋体" w:eastAsia="仿宋_GB2312"/>
                <w:sz w:val="32"/>
                <w:vertAlign w:val="baseline"/>
                <w:lang w:val="en-US" w:eastAsia="zh-CN"/>
              </w:rPr>
              <w:t>日印发</w:t>
            </w:r>
          </w:p>
        </w:tc>
      </w:tr>
    </w:tbl>
    <w:p>
      <w:pPr>
        <w:tabs>
          <w:tab w:val="left" w:pos="3960"/>
          <w:tab w:val="right" w:pos="8900"/>
        </w:tabs>
        <w:adjustRightInd w:val="0"/>
        <w:snapToGrid w:val="0"/>
        <w:spacing w:line="360" w:lineRule="auto"/>
        <w:jc w:val="left"/>
        <w:rPr>
          <w:rFonts w:hint="eastAsia" w:hAnsi="宋体" w:eastAsia="仿宋_GB2312"/>
          <w:sz w:val="32"/>
        </w:rPr>
      </w:pP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803D5"/>
    <w:multiLevelType w:val="singleLevel"/>
    <w:tmpl w:val="8B6803D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3388F19"/>
    <w:multiLevelType w:val="singleLevel"/>
    <w:tmpl w:val="F3388F1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33683"/>
    <w:rsid w:val="24A3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sz w:val="44"/>
    </w:rPr>
  </w:style>
  <w:style w:type="paragraph" w:styleId="3">
    <w:name w:val="Body Text Indent 2"/>
    <w:basedOn w:val="1"/>
    <w:uiPriority w:val="0"/>
    <w:pPr>
      <w:ind w:firstLine="735"/>
    </w:pPr>
    <w:rPr>
      <w:rFonts w:hAnsi="宋体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18"/>
      <w:szCs w:val="18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2022-05-09T12:35:00Z</dcterms:created>
  <dc:creator>阳光一生</dc:creator>
  <cp:lastModifiedBy>阳光一生</cp:lastModifiedBy>
  <dcterms:modified xsi:type="dcterms:W3CDTF">2022-05-09T12:36:09Z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BEF42647DCD543299BF1E58D9DE8B56D</vt:lpwstr>
  </property>
</Properties>
</file>