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2021年东寨新居配套路网项目支出绩效评价报告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业主单位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海口江东新区基础建设有限公司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，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项目位于海口江东新区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东寨港大道以东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。共包含支路2条，道路总长2704.191m，红线宽度18m。规划一号路：起点接现状东寨港大道，终点穿过104县道，建设长度为2015.843m，红线宽度18m，城市支路，设计速度20km/h；规划二号路：起点接现状东寨港大道，终点平交规划一号路，建设长度为688.348m，红线宽度18m，城市支路，设计速度20km/h。项目建设内容包括道路工程、交通工程、给排水工程、电气工程、绿化工程。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项目工期为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2021年4月11日-2022年7月5日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。项目总投资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10140.97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万元，其中建设总投资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6729.46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万元，征地拆迁费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2121.34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万元。该项目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截止2021年底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共计获得地债资金</w:t>
      </w:r>
      <w:r>
        <w:rPr>
          <w:rFonts w:ascii="仿宋_GB2312" w:hAnsi="Times New Roman" w:eastAsia="仿宋_GB2312" w:cs="仿宋_GB2312"/>
          <w:sz w:val="32"/>
          <w:szCs w:val="32"/>
          <w:highlight w:val="none"/>
          <w:lang w:bidi="ar"/>
        </w:rPr>
        <w:t>15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00万元，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截止目前，均已支出完毕。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总体目标：项目按工期计划完成东寨新居配套路网项目道路建设内容的建设，将极大地完善东寨新居一期、二期以及机场二期安置区（演丰片区）周边的市政基础设施配套，保证了居民的日常出行及生活需求。年度绩效目标如下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48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指标类型</w:t>
            </w:r>
          </w:p>
        </w:tc>
        <w:tc>
          <w:tcPr>
            <w:tcW w:w="26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指标名称</w:t>
            </w:r>
          </w:p>
        </w:tc>
        <w:tc>
          <w:tcPr>
            <w:tcW w:w="1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262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1185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项目具有工作面长度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≥0.1公里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项目按计划完工率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效益指标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项目受益人数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≥30000人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满意度指标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受益群体满意度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  <w:tab w:val="left" w:pos="360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 w:val="24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≥85%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对东寨新居配套路网项目开展部门评价，促进部门提升预算绩效管理工作水平，强化部门支出责任，规范资金管理行为，提高财政资金使用效益。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1.绩效评价原则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从项目决策、项目管理、项目绩效等三大指标开展部门评价。</w:t>
      </w:r>
    </w:p>
    <w:tbl>
      <w:tblPr>
        <w:tblStyle w:val="6"/>
        <w:tblW w:w="7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4.评价标准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本次部门评价以年初的目标、计划、预算、定额等作为评价标准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1.对《项目支出绩效评价管理办法》（财预〔2020〕10号）进行研读，对部门评价有基本的把握和了解，归纳出进一步评价所需的信息。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99分，评价等次为优，达到了预期设定的项目绩效目标。</w:t>
      </w:r>
    </w:p>
    <w:tbl>
      <w:tblPr>
        <w:tblStyle w:val="6"/>
        <w:tblW w:w="85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分值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szCs w:val="21"/>
                <w:highlight w:val="none"/>
              </w:rPr>
              <w:instrText xml:space="preserve">INCLUDEPICTURE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\*MERGEFORMAT</w:instrText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szCs w:val="21"/>
                <w:highlight w:val="none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Cs w:val="21"/>
                <w:highlight w:val="none"/>
              </w:rPr>
              <w:t>评价等次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的建设符合海口总规的规划发展目标，不仅有利于城市发展空间的拓展，增加市区与江东新区的快速连通，将规划片区内各个功能分区，形成合理、通达、便捷的路网布局，提升片区的交通服务水平及城市道路景观效果，完善道路沿线市政管线布设，为周边地块开发提供便利，而且能够解决周边居民的交通出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问题，完善该片区路网结构，改善该片区的交通出行条件和交通服务水平。本项目建设后，使规划区内交通网络更加完善合理，构筑集高铁、公路、城市道路于一体的现代交通网络体系，有利于完善市政基础设施配套，改善投资环境，带动区域经济的发展，改善城镇环境品质，提高城镇形象。改善当地居民的生活环境，提高生活质量。基于以上背景，特提出建设本项目。该项目列入2021年海口市政府投资项目计划。项目设定了绩效目标，绩效目标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（二）项目过程情况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2020年我局制定并印发了《政府投资项目管理办法（试行）》，建立了有效的项目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该项目2021年获得财政资金1500万元，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val="en-US" w:eastAsia="zh-CN" w:bidi="ar"/>
        </w:rPr>
        <w:t>当年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  <w:lang w:bidi="ar"/>
        </w:rPr>
        <w:t>支出1076.20万元，支出71.75%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（三）项目产出情况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该项目资金到位及时，项目顺利实施，2021年项目现阶段已提供600m工作面，为后续的雨污水和道路施工提供施工前提条件，保障东寨新居一期、二期以及机场二期安置区（演丰片区）的雨污水排放和居民日常出行需要。项目完成程度较好，实现了预定预算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本项目的建设将极大地完善东寨新居一期、二期以及机场二期安置区（演丰片区）周边的市政基础设施配套，保证了居民的日常出行及生活需求，建成后对区域路网结构的完善、周边地块的开发、江东自贸港的经济建设等起到极其重要的作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TgyYTM4OWQ0ZWI5ZGUyNzQzMDc1YzJkMjRhZTYifQ=="/>
  </w:docVars>
  <w:rsids>
    <w:rsidRoot w:val="00172A27"/>
    <w:rsid w:val="0099227F"/>
    <w:rsid w:val="009F2517"/>
    <w:rsid w:val="00C73B65"/>
    <w:rsid w:val="00E933FA"/>
    <w:rsid w:val="00EB38FD"/>
    <w:rsid w:val="02233DF4"/>
    <w:rsid w:val="023A5912"/>
    <w:rsid w:val="02CB6390"/>
    <w:rsid w:val="040B460D"/>
    <w:rsid w:val="04621786"/>
    <w:rsid w:val="0626600A"/>
    <w:rsid w:val="06F95DEE"/>
    <w:rsid w:val="08093106"/>
    <w:rsid w:val="08AF5C9C"/>
    <w:rsid w:val="0A092149"/>
    <w:rsid w:val="0A787E3B"/>
    <w:rsid w:val="0AC273C6"/>
    <w:rsid w:val="0AC94BD1"/>
    <w:rsid w:val="0BD17C84"/>
    <w:rsid w:val="0BDE5F87"/>
    <w:rsid w:val="0DBB40F2"/>
    <w:rsid w:val="0DE47EA0"/>
    <w:rsid w:val="0E9A79D6"/>
    <w:rsid w:val="111C1707"/>
    <w:rsid w:val="126332E8"/>
    <w:rsid w:val="12AB34F1"/>
    <w:rsid w:val="135734FF"/>
    <w:rsid w:val="14B51D19"/>
    <w:rsid w:val="14FA1115"/>
    <w:rsid w:val="154455E1"/>
    <w:rsid w:val="15481788"/>
    <w:rsid w:val="1652225F"/>
    <w:rsid w:val="16630DA5"/>
    <w:rsid w:val="1682257B"/>
    <w:rsid w:val="180C39B2"/>
    <w:rsid w:val="190A44B1"/>
    <w:rsid w:val="19263C3A"/>
    <w:rsid w:val="19316574"/>
    <w:rsid w:val="19795372"/>
    <w:rsid w:val="19AA72EE"/>
    <w:rsid w:val="1AC1553C"/>
    <w:rsid w:val="1B007691"/>
    <w:rsid w:val="1CB1400C"/>
    <w:rsid w:val="1DBB2B25"/>
    <w:rsid w:val="1E122B23"/>
    <w:rsid w:val="1E312225"/>
    <w:rsid w:val="1E5510E3"/>
    <w:rsid w:val="1F25228A"/>
    <w:rsid w:val="20281024"/>
    <w:rsid w:val="20B5758E"/>
    <w:rsid w:val="23335B9D"/>
    <w:rsid w:val="23EF1B0E"/>
    <w:rsid w:val="247A1B51"/>
    <w:rsid w:val="27E81586"/>
    <w:rsid w:val="28B735AC"/>
    <w:rsid w:val="29B57C78"/>
    <w:rsid w:val="2AB57C33"/>
    <w:rsid w:val="2AE457DA"/>
    <w:rsid w:val="2B336677"/>
    <w:rsid w:val="2C192B4A"/>
    <w:rsid w:val="2C8221BC"/>
    <w:rsid w:val="2D7160E8"/>
    <w:rsid w:val="2D9F1EA3"/>
    <w:rsid w:val="2DA417DD"/>
    <w:rsid w:val="2E9826F7"/>
    <w:rsid w:val="30483FA0"/>
    <w:rsid w:val="30BB4EA6"/>
    <w:rsid w:val="31437427"/>
    <w:rsid w:val="326C58E4"/>
    <w:rsid w:val="340F7934"/>
    <w:rsid w:val="34C8661B"/>
    <w:rsid w:val="35957398"/>
    <w:rsid w:val="35F728BC"/>
    <w:rsid w:val="3714005C"/>
    <w:rsid w:val="37372992"/>
    <w:rsid w:val="37C51992"/>
    <w:rsid w:val="38042CB3"/>
    <w:rsid w:val="38B37090"/>
    <w:rsid w:val="390C1A27"/>
    <w:rsid w:val="3ABA6910"/>
    <w:rsid w:val="3B0A2EB0"/>
    <w:rsid w:val="3B500164"/>
    <w:rsid w:val="3B59178B"/>
    <w:rsid w:val="3C444B0B"/>
    <w:rsid w:val="3E4B066F"/>
    <w:rsid w:val="3FBB4BCB"/>
    <w:rsid w:val="40473A57"/>
    <w:rsid w:val="405D14CB"/>
    <w:rsid w:val="41253788"/>
    <w:rsid w:val="418D0587"/>
    <w:rsid w:val="41B37671"/>
    <w:rsid w:val="435E1F18"/>
    <w:rsid w:val="449F4DAD"/>
    <w:rsid w:val="44B278BB"/>
    <w:rsid w:val="44B939E4"/>
    <w:rsid w:val="461E0D18"/>
    <w:rsid w:val="464F2DD5"/>
    <w:rsid w:val="467C5C77"/>
    <w:rsid w:val="47C55320"/>
    <w:rsid w:val="49B72F9D"/>
    <w:rsid w:val="49C0331C"/>
    <w:rsid w:val="4AA6125F"/>
    <w:rsid w:val="4B5A13DB"/>
    <w:rsid w:val="4B820499"/>
    <w:rsid w:val="4C1448F5"/>
    <w:rsid w:val="4C625BDA"/>
    <w:rsid w:val="4D2964E8"/>
    <w:rsid w:val="4D650FE4"/>
    <w:rsid w:val="4DFF0279"/>
    <w:rsid w:val="4E414DDC"/>
    <w:rsid w:val="4E583744"/>
    <w:rsid w:val="4FB54242"/>
    <w:rsid w:val="52C426C7"/>
    <w:rsid w:val="54D85B6D"/>
    <w:rsid w:val="54E47B8F"/>
    <w:rsid w:val="54FE4F3A"/>
    <w:rsid w:val="55A57892"/>
    <w:rsid w:val="578A390E"/>
    <w:rsid w:val="57D636C9"/>
    <w:rsid w:val="59D74C62"/>
    <w:rsid w:val="59E1651D"/>
    <w:rsid w:val="5A3B0856"/>
    <w:rsid w:val="5A4B6F13"/>
    <w:rsid w:val="5A6A79F7"/>
    <w:rsid w:val="5BF510A0"/>
    <w:rsid w:val="5F367622"/>
    <w:rsid w:val="5F3F3404"/>
    <w:rsid w:val="5F905550"/>
    <w:rsid w:val="60AF352C"/>
    <w:rsid w:val="617F6B7B"/>
    <w:rsid w:val="62806640"/>
    <w:rsid w:val="63636628"/>
    <w:rsid w:val="65411CA7"/>
    <w:rsid w:val="65694914"/>
    <w:rsid w:val="67B21E4C"/>
    <w:rsid w:val="68024B96"/>
    <w:rsid w:val="68903265"/>
    <w:rsid w:val="6A893A8D"/>
    <w:rsid w:val="6B657B2B"/>
    <w:rsid w:val="6C02565A"/>
    <w:rsid w:val="6C1B6A7B"/>
    <w:rsid w:val="6C8B5B44"/>
    <w:rsid w:val="6D0450E3"/>
    <w:rsid w:val="6E6E68A0"/>
    <w:rsid w:val="6EB377AA"/>
    <w:rsid w:val="6FB6700B"/>
    <w:rsid w:val="701D3C49"/>
    <w:rsid w:val="710022AC"/>
    <w:rsid w:val="725E09BE"/>
    <w:rsid w:val="727437E0"/>
    <w:rsid w:val="74C3652D"/>
    <w:rsid w:val="764C182F"/>
    <w:rsid w:val="7704672F"/>
    <w:rsid w:val="77175582"/>
    <w:rsid w:val="791F742A"/>
    <w:rsid w:val="7B2F66D1"/>
    <w:rsid w:val="7B76655D"/>
    <w:rsid w:val="7BBF5BC9"/>
    <w:rsid w:val="7CE205E6"/>
    <w:rsid w:val="7EDF397E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964" w:firstLineChars="200"/>
    </w:pPr>
    <w:rPr>
      <w:rFonts w:ascii="Calibri" w:hAnsi="Calibri" w:eastAsia="宋体" w:cs="宋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2410</Words>
  <Characters>2566</Characters>
  <Lines>53</Lines>
  <Paragraphs>14</Paragraphs>
  <TotalTime>41</TotalTime>
  <ScaleCrop>false</ScaleCrop>
  <LinksUpToDate>false</LinksUpToDate>
  <CharactersWithSpaces>2566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小李</cp:lastModifiedBy>
  <dcterms:modified xsi:type="dcterms:W3CDTF">2022-10-11T04:05:10Z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11D7DCF270F841A6BD9E828DA1FCCF94</vt:lpwstr>
  </property>
</Properties>
</file>