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海口江东新区管理局</w:t>
      </w:r>
    </w:p>
    <w:p>
      <w:pPr>
        <w:pStyle w:val="6"/>
        <w:keepNext w:val="0"/>
        <w:keepLines w:val="0"/>
        <w:pageBreakBefore w:val="0"/>
        <w:kinsoku/>
        <w:wordWrap/>
        <w:overflowPunct/>
        <w:topLinePunct w:val="0"/>
        <w:autoSpaceDE/>
        <w:bidi w:val="0"/>
        <w:adjustRightInd/>
        <w:snapToGrid/>
        <w:spacing w:line="560" w:lineRule="exact"/>
        <w:rPr>
          <w:rFonts w:ascii="方正小标宋简体" w:eastAsia="方正小标宋简体"/>
          <w:sz w:val="40"/>
          <w:szCs w:val="40"/>
          <w:highlight w:val="none"/>
        </w:rPr>
      </w:pPr>
      <w:r>
        <w:rPr>
          <w:rFonts w:hint="eastAsia" w:ascii="宋体" w:hAnsi="宋体" w:eastAsia="宋体" w:cs="宋体"/>
          <w:sz w:val="44"/>
          <w:szCs w:val="44"/>
          <w:highlight w:val="none"/>
        </w:rPr>
        <w:t>2021年江东新区地下综合管廊项目（一期）—空港环路地下综合管廊项目</w:t>
      </w:r>
    </w:p>
    <w:p>
      <w:pPr>
        <w:keepNext w:val="0"/>
        <w:keepLines w:val="0"/>
        <w:pageBreakBefore w:val="0"/>
        <w:kinsoku/>
        <w:wordWrap/>
        <w:overflowPunct/>
        <w:topLinePunct w:val="0"/>
        <w:autoSpaceDE/>
        <w:bidi w:val="0"/>
        <w:adjustRightInd/>
        <w:snapToGrid/>
        <w:spacing w:line="560" w:lineRule="exact"/>
        <w:jc w:val="center"/>
        <w:rPr>
          <w:b/>
          <w:bCs/>
          <w:sz w:val="44"/>
          <w:szCs w:val="44"/>
          <w:highlight w:val="none"/>
        </w:rPr>
      </w:pPr>
      <w:r>
        <w:rPr>
          <w:rFonts w:hint="eastAsia" w:ascii="宋体" w:hAnsi="宋体" w:eastAsia="宋体" w:cs="宋体"/>
          <w:b/>
          <w:bCs/>
          <w:sz w:val="44"/>
          <w:szCs w:val="44"/>
          <w:highlight w:val="none"/>
        </w:rPr>
        <w:t>支出绩效评价报告</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keepNext w:val="0"/>
        <w:keepLines w:val="0"/>
        <w:pageBreakBefore w:val="0"/>
        <w:widowControl/>
        <w:kinsoku/>
        <w:wordWrap/>
        <w:overflowPunct/>
        <w:topLinePunct w:val="0"/>
        <w:autoSpaceDE/>
        <w:bidi w:val="0"/>
        <w:adjustRightInd/>
        <w:snapToGrid/>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江东新区地下综合管廊项目（一期）—空港环路地下综合管廊项目业主为海口江东新区开发建设有限责任公司，项目拟建三段管廊，总长度约8993m，分别为空港环路西段综合管廊（南渡江大道~桂江大道，全长约3.18公里，双舱支线型综合管廊，现浇标准断面，双舱宽度净宽×净高=（2.6+3.0）m×4.0m）、空港环路中段综合管廊（桂江大道~云美大道，全长约4.70公里，双舱支线型综合管廊，现浇标准断面，双舱宽度净宽×净高=（2.6+4.3）m×4.0m）、空港环路东段综合管廊（云美大道~林田大道，全长约1.11公里，双舱支线型综合管廊，现浇标准断面，双舱宽度净宽×净高=（2.6+3.0）m×4.0m）。主要建设内容包括综合管廊主体结构、附属构筑物、引出排管、内部安装工程（电气、自控、排水、消防、暖通）、标识标牌、支架工程、入廊给水管及再生水管安装、整平管廊所在规划林地约20m宽度范围场地标高至道路人行道标高及简单覆绿等。项目工期为2021年3月22日至2023年12月31日。项目总投资119469.09万元，其中建设总投资费94540.91万元，征地拆迁费9402.54万元。该项目</w:t>
      </w:r>
      <w:r>
        <w:rPr>
          <w:rFonts w:hint="eastAsia" w:ascii="仿宋_GB2312" w:hAnsi="Times New Roman" w:eastAsia="仿宋_GB2312" w:cs="仿宋_GB2312"/>
          <w:sz w:val="32"/>
          <w:szCs w:val="32"/>
          <w:highlight w:val="none"/>
          <w:lang w:val="en-US" w:eastAsia="zh-CN" w:bidi="ar"/>
        </w:rPr>
        <w:t>截止2021年</w:t>
      </w:r>
      <w:r>
        <w:rPr>
          <w:rFonts w:hint="eastAsia" w:ascii="仿宋_GB2312" w:hAnsi="Times New Roman" w:eastAsia="仿宋_GB2312" w:cs="仿宋_GB2312"/>
          <w:sz w:val="32"/>
          <w:szCs w:val="32"/>
          <w:highlight w:val="none"/>
          <w:lang w:bidi="ar"/>
        </w:rPr>
        <w:t>共计获得资金26000万元，其中获得地债资金19000万元和园区资金7000万元</w:t>
      </w:r>
      <w:r>
        <w:rPr>
          <w:rFonts w:hint="eastAsia" w:ascii="仿宋_GB2312" w:hAnsi="Times New Roman" w:eastAsia="仿宋_GB2312" w:cs="仿宋_GB2312"/>
          <w:sz w:val="32"/>
          <w:szCs w:val="32"/>
          <w:highlight w:val="none"/>
          <w:lang w:eastAsia="zh-CN" w:bidi="ar"/>
        </w:rPr>
        <w:t>。</w:t>
      </w:r>
      <w:r>
        <w:rPr>
          <w:rFonts w:hint="eastAsia" w:ascii="仿宋_GB2312" w:hAnsi="Times New Roman" w:eastAsia="仿宋_GB2312" w:cs="仿宋_GB2312"/>
          <w:sz w:val="32"/>
          <w:szCs w:val="32"/>
          <w:highlight w:val="none"/>
          <w:lang w:val="en-US" w:eastAsia="zh-CN" w:bidi="ar"/>
        </w:rPr>
        <w:t>截止目前，均已支出完毕</w:t>
      </w:r>
      <w:r>
        <w:rPr>
          <w:rFonts w:hint="eastAsia" w:ascii="仿宋_GB2312" w:hAnsi="Times New Roman" w:eastAsia="仿宋_GB2312" w:cs="仿宋_GB2312"/>
          <w:sz w:val="32"/>
          <w:szCs w:val="32"/>
          <w:highlight w:val="none"/>
          <w:lang w:bidi="ar"/>
        </w:rPr>
        <w:t>。</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（二）项目绩效目标</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该项目总体目标:项目按工期计划推动江东新区地下综合管廊项目（一期）—空港环路地下综合管廊项目2公里的工作面提交，推进地下综合管廊建设，完善基础设施，解决江东新区临空片区水电配套需求</w:t>
      </w:r>
      <w:r>
        <w:rPr>
          <w:rFonts w:hint="eastAsia"/>
          <w:highlight w:val="none"/>
        </w:rPr>
        <w:t>。</w:t>
      </w:r>
      <w:r>
        <w:rPr>
          <w:rFonts w:hint="eastAsia" w:ascii="仿宋_GB2312" w:hAnsi="仿宋_GB2312" w:eastAsia="仿宋_GB2312" w:cs="仿宋_GB2312"/>
          <w:sz w:val="32"/>
          <w:szCs w:val="32"/>
          <w:highlight w:val="none"/>
        </w:rPr>
        <w:t>年度绩效目标如下：</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Merge w:val="restar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指标类型</w:t>
            </w:r>
          </w:p>
        </w:tc>
        <w:tc>
          <w:tcPr>
            <w:tcW w:w="2630" w:type="pct"/>
            <w:vMerge w:val="restar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指标名称</w:t>
            </w:r>
          </w:p>
        </w:tc>
        <w:tc>
          <w:tcPr>
            <w:tcW w:w="1185" w:type="pct"/>
            <w:vMerge w:val="restar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Merge w:val="continue"/>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2630" w:type="pct"/>
            <w:vMerge w:val="continue"/>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1185" w:type="pct"/>
            <w:vMerge w:val="continue"/>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获得工作面长度</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sz w:val="24"/>
                <w:highlight w:val="none"/>
              </w:rPr>
              <w:t>≥2公里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超概算项目比例</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hint="eastAsia" w:ascii="宋体" w:hAnsi="宋体"/>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效益指标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项目受益人数</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sz w:val="24"/>
                <w:highlight w:val="none"/>
              </w:rPr>
              <w:t>≥1000人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满意度指标</w:t>
            </w:r>
          </w:p>
        </w:tc>
        <w:tc>
          <w:tcPr>
            <w:tcW w:w="2630"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受益群体满意度</w:t>
            </w:r>
          </w:p>
        </w:tc>
        <w:tc>
          <w:tcPr>
            <w:tcW w:w="1185" w:type="pct"/>
            <w:vAlign w:val="center"/>
          </w:tcPr>
          <w:p>
            <w:pPr>
              <w:keepNext w:val="0"/>
              <w:keepLines w:val="0"/>
              <w:pageBreakBefore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szCs w:val="22"/>
                <w:highlight w:val="none"/>
              </w:rPr>
            </w:pPr>
            <w:r>
              <w:rPr>
                <w:rFonts w:hint="eastAsia" w:ascii="宋体" w:hAnsi="宋体"/>
                <w:sz w:val="24"/>
                <w:highlight w:val="none"/>
              </w:rPr>
              <w:t>≥85%</w:t>
            </w:r>
          </w:p>
        </w:tc>
      </w:tr>
    </w:tbl>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（一）绩效评价目的、对象、范围</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w:t>
      </w:r>
      <w:r>
        <w:rPr>
          <w:rFonts w:hint="eastAsia" w:ascii="仿宋_GB2312" w:hAnsi="Times New Roman" w:eastAsia="仿宋_GB2312" w:cs="仿宋_GB2312"/>
          <w:sz w:val="32"/>
          <w:szCs w:val="32"/>
          <w:highlight w:val="none"/>
          <w:lang w:bidi="ar"/>
        </w:rPr>
        <w:t>江东新区地下综合管廊项目（一期）—空港环路地下综合管廊项目</w:t>
      </w:r>
      <w:r>
        <w:rPr>
          <w:rFonts w:hint="eastAsia" w:ascii="仿宋_GB2312" w:hAnsi="仿宋_GB2312" w:eastAsia="仿宋_GB2312" w:cs="仿宋_GB2312"/>
          <w:sz w:val="32"/>
          <w:szCs w:val="32"/>
          <w:highlight w:val="none"/>
        </w:rPr>
        <w:t>开展部门评价，促进部门提升预算绩效管理工作水平，强化部门支出责任，规范资金管理行为，提高财政资金使用效益。</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（二）绩效评价原则、评价指标体系、评价方法、评价标准</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1.绩效评价原则</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本次部门评价坚持运用科学合理的方法，按照规范的程序，对项目绩效进行客观、公正的反映。</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2.评价指标体系</w:t>
      </w:r>
    </w:p>
    <w:tbl>
      <w:tblPr>
        <w:tblStyle w:val="7"/>
        <w:tblpPr w:leftFromText="180" w:rightFromText="180" w:vertAnchor="text" w:horzAnchor="page" w:tblpX="2364" w:tblpY="1239"/>
        <w:tblOverlap w:val="never"/>
        <w:tblW w:w="7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r>
    </w:tbl>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从项目决策、项目管理、项目绩效等三大指标开展部门评价。</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3.评价方法</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本次部门评价采用比较法，将项目实施情况与绩效目标情况进行比较。</w:t>
      </w:r>
    </w:p>
    <w:p>
      <w:pPr>
        <w:keepNext w:val="0"/>
        <w:keepLines w:val="0"/>
        <w:pageBreakBefore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4.评价标准</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本次部门评价以年初的目标、计划、预算、定额等作为评价标准</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（三）绩效评价工作过程</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评价小组对评价资料进行认真梳理，测算分析各项指标，汇总评分并形成评价报告。</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1.对《项目支出绩效评价管理办法》（财预〔2020〕10号）进行研读，对部门评价有基本的把握和了解，归纳出进一步评价所需的信息。</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2.集中对各个评价指标逐一进行分析。</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3.评价小组汇总分析评价过程中发现的问题并对存在问题进行讨论，分别计算各评价指标所得分数，形成评价结果。</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4.根据评价结果，撰写评价报告。</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7"/>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bCs/>
                <w:szCs w:val="21"/>
                <w:highlight w:val="none"/>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szCs w:val="21"/>
                <w:highlight w:val="none"/>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snapToGrid/>
              <w:spacing w:line="560" w:lineRule="exact"/>
              <w:jc w:val="center"/>
              <w:textAlignment w:val="center"/>
              <w:rPr>
                <w:rFonts w:ascii="宋体" w:hAnsi="宋体"/>
                <w:bCs/>
                <w:szCs w:val="21"/>
                <w:highlight w:val="none"/>
              </w:rPr>
            </w:pPr>
            <w:r>
              <w:rPr>
                <w:rFonts w:hint="eastAsia" w:ascii="宋体" w:hAnsi="宋体"/>
                <w:bCs/>
                <w:szCs w:val="21"/>
                <w:highlight w:val="none"/>
              </w:rPr>
              <w:t>优</w:t>
            </w:r>
          </w:p>
        </w:tc>
      </w:tr>
    </w:tbl>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ascii="仿宋_GB2312" w:hAnsi="Calibri" w:eastAsia="仿宋_GB2312" w:cs="仿宋_GB2312"/>
          <w:kern w:val="0"/>
          <w:sz w:val="32"/>
          <w:szCs w:val="32"/>
          <w:highlight w:val="none"/>
          <w:lang w:bidi="ar"/>
        </w:rPr>
        <w:t>根据《海口市江东新区地下综合管廊专项规划》，本项目为江东新区综合管廊"一环多支"主干系统，同为江东新区主要能源输送通道的重要组成部分，是现状江东变电站(220kV)、规划潭连变(220kV)、龙泉变(220kV)、空港变(110kV)之间的高压电力通道，也是临空片区重要的市政管线主通道</w:t>
      </w:r>
      <w:r>
        <w:rPr>
          <w:rFonts w:hint="eastAsia" w:ascii="仿宋_GB2312" w:hAnsi="仿宋_GB2312" w:eastAsia="仿宋_GB2312" w:cs="仿宋_GB2312"/>
          <w:sz w:val="32"/>
          <w:szCs w:val="32"/>
          <w:highlight w:val="none"/>
        </w:rPr>
        <w:t>。该项目列入2020年海口市政府投资项目计划。项目设定了绩效目标，绩效目标与实际工作内容具有相关性。项目预算编制科学合理，预算资金分配依据充分。</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2021年共到位</w:t>
      </w:r>
      <w:r>
        <w:rPr>
          <w:rFonts w:hint="eastAsia" w:ascii="仿宋_GB2312" w:hAnsi="仿宋_GB2312" w:eastAsia="仿宋_GB2312" w:cs="仿宋_GB2312"/>
          <w:sz w:val="32"/>
          <w:szCs w:val="32"/>
          <w:highlight w:val="none"/>
          <w:lang w:val="en-US" w:eastAsia="zh-CN"/>
        </w:rPr>
        <w:t>地债</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000万元，</w:t>
      </w:r>
      <w:r>
        <w:rPr>
          <w:rFonts w:hint="eastAsia" w:ascii="仿宋_GB2312" w:hAnsi="Times New Roman" w:eastAsia="仿宋_GB2312" w:cs="仿宋_GB2312"/>
          <w:sz w:val="32"/>
          <w:szCs w:val="32"/>
          <w:highlight w:val="none"/>
          <w:lang w:val="en-US" w:eastAsia="zh-CN" w:bidi="ar"/>
        </w:rPr>
        <w:t>当年</w:t>
      </w:r>
      <w:r>
        <w:rPr>
          <w:rFonts w:hint="eastAsia" w:ascii="仿宋_GB2312" w:hAnsi="Times New Roman" w:eastAsia="仿宋_GB2312" w:cs="仿宋_GB2312"/>
          <w:sz w:val="32"/>
          <w:szCs w:val="32"/>
          <w:highlight w:val="none"/>
          <w:lang w:bidi="ar"/>
        </w:rPr>
        <w:t>支出</w:t>
      </w:r>
      <w:r>
        <w:rPr>
          <w:rFonts w:hint="eastAsia" w:ascii="仿宋_GB2312" w:hAnsi="Times New Roman" w:eastAsia="仿宋_GB2312" w:cs="仿宋_GB2312"/>
          <w:sz w:val="32"/>
          <w:szCs w:val="32"/>
          <w:highlight w:val="none"/>
          <w:lang w:val="en-US" w:eastAsia="zh-CN" w:bidi="ar"/>
        </w:rPr>
        <w:t>2217</w:t>
      </w:r>
      <w:r>
        <w:rPr>
          <w:rFonts w:hint="eastAsia" w:ascii="仿宋_GB2312" w:hAnsi="Times New Roman" w:eastAsia="仿宋_GB2312" w:cs="仿宋_GB2312"/>
          <w:sz w:val="32"/>
          <w:szCs w:val="32"/>
          <w:highlight w:val="none"/>
          <w:lang w:bidi="ar"/>
        </w:rPr>
        <w:t>万元，支出</w:t>
      </w:r>
      <w:r>
        <w:rPr>
          <w:rFonts w:hint="eastAsia" w:ascii="仿宋_GB2312" w:hAnsi="Times New Roman" w:eastAsia="仿宋_GB2312" w:cs="仿宋_GB2312"/>
          <w:sz w:val="32"/>
          <w:szCs w:val="32"/>
          <w:highlight w:val="none"/>
          <w:lang w:val="en-US" w:eastAsia="zh-CN" w:bidi="ar"/>
        </w:rPr>
        <w:t>74</w:t>
      </w:r>
      <w:r>
        <w:rPr>
          <w:rFonts w:hint="eastAsia" w:ascii="仿宋_GB2312" w:hAnsi="Times New Roman" w:eastAsia="仿宋_GB2312" w:cs="仿宋_GB2312"/>
          <w:sz w:val="32"/>
          <w:szCs w:val="32"/>
          <w:highlight w:val="none"/>
          <w:lang w:bidi="ar"/>
        </w:rPr>
        <w:t>%</w:t>
      </w:r>
      <w:bookmarkStart w:id="0" w:name="_GoBack"/>
      <w:bookmarkEnd w:id="0"/>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（三）项目产出情况</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该项目资金到位及时，项目顺利实施，目前已完成项目总体21%的形象进度。项目完成程度较好，实现了预定预算目标。</w:t>
      </w:r>
    </w:p>
    <w:p>
      <w:pPr>
        <w:keepNext w:val="0"/>
        <w:keepLines w:val="0"/>
        <w:pageBreakBefore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p>
    <w:p>
      <w:pPr>
        <w:keepNext w:val="0"/>
        <w:keepLines w:val="0"/>
        <w:pageBreakBefore w:val="0"/>
        <w:widowControl/>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Calibri" w:eastAsia="仿宋_GB2312" w:cs="仿宋_GB2312"/>
          <w:kern w:val="0"/>
          <w:sz w:val="32"/>
          <w:szCs w:val="32"/>
          <w:highlight w:val="none"/>
          <w:lang w:val="en-US" w:eastAsia="zh-CN" w:bidi="ar"/>
        </w:rPr>
        <w:t>项目</w:t>
      </w:r>
      <w:r>
        <w:rPr>
          <w:rFonts w:ascii="仿宋_GB2312" w:hAnsi="Calibri" w:eastAsia="仿宋_GB2312" w:cs="仿宋_GB2312"/>
          <w:kern w:val="0"/>
          <w:sz w:val="32"/>
          <w:szCs w:val="32"/>
          <w:highlight w:val="none"/>
          <w:lang w:bidi="ar"/>
        </w:rPr>
        <w:t>为江东新区计划于2022年投产的谭连变电站以及现状江东变电站提供第二路供电电源的输送通道，项目建成后将有效保障江东新区能源供应的安全性和可靠性。</w:t>
      </w:r>
      <w:r>
        <w:rPr>
          <w:rFonts w:hint="eastAsia" w:ascii="仿宋_GB2312" w:hAnsi="仿宋_GB2312" w:eastAsia="仿宋_GB2312" w:cs="仿宋_GB2312"/>
          <w:sz w:val="32"/>
          <w:szCs w:val="32"/>
          <w:highlight w:val="none"/>
        </w:rPr>
        <w:t>该项目建成后将实现由老城区把电引入机场的功能需求，优化片区排水方案，满足沿线的管网建设需求。项目现阶段正在进行管廊主体施工。</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六、有关建议</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keepNext w:val="0"/>
        <w:keepLines w:val="0"/>
        <w:pageBreakBefore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ZTgyYTM4OWQ0ZWI5ZGUyNzQzMDc1YzJkMjRhZTYifQ=="/>
  </w:docVars>
  <w:rsids>
    <w:rsidRoot w:val="435E1F18"/>
    <w:rsid w:val="003B3E31"/>
    <w:rsid w:val="006D65BE"/>
    <w:rsid w:val="00BE4EB8"/>
    <w:rsid w:val="00D4065E"/>
    <w:rsid w:val="00D57EB4"/>
    <w:rsid w:val="02233DF4"/>
    <w:rsid w:val="023A5912"/>
    <w:rsid w:val="02CB6390"/>
    <w:rsid w:val="040B460D"/>
    <w:rsid w:val="04621786"/>
    <w:rsid w:val="05787E8E"/>
    <w:rsid w:val="0626600A"/>
    <w:rsid w:val="06F95DEE"/>
    <w:rsid w:val="08093106"/>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80C39B2"/>
    <w:rsid w:val="190A44B1"/>
    <w:rsid w:val="19263C3A"/>
    <w:rsid w:val="19316574"/>
    <w:rsid w:val="19795372"/>
    <w:rsid w:val="19AA72EE"/>
    <w:rsid w:val="1AC1553C"/>
    <w:rsid w:val="1B007691"/>
    <w:rsid w:val="1CB1400C"/>
    <w:rsid w:val="1DBB2B25"/>
    <w:rsid w:val="1E122B23"/>
    <w:rsid w:val="1E312225"/>
    <w:rsid w:val="1E5510E3"/>
    <w:rsid w:val="1F25228A"/>
    <w:rsid w:val="20281024"/>
    <w:rsid w:val="20B5758E"/>
    <w:rsid w:val="23335B9D"/>
    <w:rsid w:val="23EF1B0E"/>
    <w:rsid w:val="247A1B51"/>
    <w:rsid w:val="27E81586"/>
    <w:rsid w:val="28B735AC"/>
    <w:rsid w:val="29B57C78"/>
    <w:rsid w:val="2AB57C33"/>
    <w:rsid w:val="2AE457DA"/>
    <w:rsid w:val="2B336677"/>
    <w:rsid w:val="2C192B4A"/>
    <w:rsid w:val="2C8221BC"/>
    <w:rsid w:val="2D7160E8"/>
    <w:rsid w:val="2D9F1EA3"/>
    <w:rsid w:val="2DA417DD"/>
    <w:rsid w:val="2E9826F7"/>
    <w:rsid w:val="2F3E191F"/>
    <w:rsid w:val="30483FA0"/>
    <w:rsid w:val="30BB4EA6"/>
    <w:rsid w:val="31437427"/>
    <w:rsid w:val="326C58E4"/>
    <w:rsid w:val="340F7934"/>
    <w:rsid w:val="34C8661B"/>
    <w:rsid w:val="35F728BC"/>
    <w:rsid w:val="3714005C"/>
    <w:rsid w:val="37372992"/>
    <w:rsid w:val="377161F1"/>
    <w:rsid w:val="37C51992"/>
    <w:rsid w:val="38042CB3"/>
    <w:rsid w:val="38B37090"/>
    <w:rsid w:val="390C1A27"/>
    <w:rsid w:val="3ABA6910"/>
    <w:rsid w:val="3B0A2EB0"/>
    <w:rsid w:val="3B500164"/>
    <w:rsid w:val="3B59178B"/>
    <w:rsid w:val="3C444B0B"/>
    <w:rsid w:val="3E4B066F"/>
    <w:rsid w:val="3FBB4BCB"/>
    <w:rsid w:val="405D14CB"/>
    <w:rsid w:val="41253788"/>
    <w:rsid w:val="418D0587"/>
    <w:rsid w:val="41B37671"/>
    <w:rsid w:val="435E1F18"/>
    <w:rsid w:val="44273DE2"/>
    <w:rsid w:val="449F4DAD"/>
    <w:rsid w:val="44B278BB"/>
    <w:rsid w:val="44B939E4"/>
    <w:rsid w:val="461E0D18"/>
    <w:rsid w:val="464F2DD5"/>
    <w:rsid w:val="467C5C77"/>
    <w:rsid w:val="47C55320"/>
    <w:rsid w:val="49B72F9D"/>
    <w:rsid w:val="49C0331C"/>
    <w:rsid w:val="4AA6125F"/>
    <w:rsid w:val="4B5A13DB"/>
    <w:rsid w:val="4B820499"/>
    <w:rsid w:val="4C1448F5"/>
    <w:rsid w:val="4C625BDA"/>
    <w:rsid w:val="4CEE2D06"/>
    <w:rsid w:val="4D2F07A0"/>
    <w:rsid w:val="4D650FE4"/>
    <w:rsid w:val="4DF033CB"/>
    <w:rsid w:val="4DFF0279"/>
    <w:rsid w:val="4E414DDC"/>
    <w:rsid w:val="4E583744"/>
    <w:rsid w:val="4FB54242"/>
    <w:rsid w:val="52C426C7"/>
    <w:rsid w:val="54D85B6D"/>
    <w:rsid w:val="54E47B8F"/>
    <w:rsid w:val="54FE4F3A"/>
    <w:rsid w:val="55A57892"/>
    <w:rsid w:val="578A390E"/>
    <w:rsid w:val="57D636C9"/>
    <w:rsid w:val="59D74C62"/>
    <w:rsid w:val="59E1651D"/>
    <w:rsid w:val="5A3B0856"/>
    <w:rsid w:val="5A4B6F13"/>
    <w:rsid w:val="5A6A79F7"/>
    <w:rsid w:val="5BF510A0"/>
    <w:rsid w:val="5F367622"/>
    <w:rsid w:val="5F3F3404"/>
    <w:rsid w:val="5F905550"/>
    <w:rsid w:val="61394EFD"/>
    <w:rsid w:val="617F6B7B"/>
    <w:rsid w:val="61AB5485"/>
    <w:rsid w:val="62806640"/>
    <w:rsid w:val="63636628"/>
    <w:rsid w:val="65411CA7"/>
    <w:rsid w:val="65694914"/>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57F5777"/>
    <w:rsid w:val="764C182F"/>
    <w:rsid w:val="7654409C"/>
    <w:rsid w:val="7704672F"/>
    <w:rsid w:val="77175582"/>
    <w:rsid w:val="791F742A"/>
    <w:rsid w:val="7A193BC2"/>
    <w:rsid w:val="7B2F66D1"/>
    <w:rsid w:val="7B76655D"/>
    <w:rsid w:val="7BBF5BC9"/>
    <w:rsid w:val="7CE205E6"/>
    <w:rsid w:val="7D1D1C9F"/>
    <w:rsid w:val="7DF43B68"/>
    <w:rsid w:val="7EDF397E"/>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p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pPr>
    <w:rPr>
      <w:rFonts w:asciiTheme="majorHAnsi" w:hAnsiTheme="majorHAnsi" w:eastAsiaTheme="majorEastAsia" w:cstheme="majorBidi"/>
      <w:b/>
      <w:bCs/>
      <w:szCs w:val="32"/>
    </w:rPr>
  </w:style>
  <w:style w:type="character" w:styleId="9">
    <w:name w:val="annotation reference"/>
    <w:basedOn w:val="8"/>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2324</Words>
  <Characters>2518</Characters>
  <Lines>53</Lines>
  <Paragraphs>14</Paragraphs>
  <TotalTime>11</TotalTime>
  <ScaleCrop>false</ScaleCrop>
  <LinksUpToDate>false</LinksUpToDate>
  <CharactersWithSpaces>2518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小李</cp:lastModifiedBy>
  <dcterms:modified xsi:type="dcterms:W3CDTF">2022-10-11T05:01:19Z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97C89657209A4A16AF42DCEDE06073A6</vt:lpwstr>
  </property>
</Properties>
</file>