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海口江东新区管理局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rPr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2021年消费精品制造产业园配套路网项目支出绩效评价报告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业主单位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为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海口江东新区基础建设有限公司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，项目位于海口市江东新区离岸创新创业组团桂林洋片区的南部，北与现状桂高路相接，南至兴洋三横路，西至海涛一横路，东至现状美善路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。本项目共含有8条市政道路，其中1条城市主干路、3条城市次干路、4条城市支路，路网道路全长3.09km，红线宽度16~30米；主要建设内容包括道路工程、给水工程、排水工程、交通工程、照明工程（含多杆合一）、电力管沟工程、缆线型管廊工程及绿化工程，其中电讯、燃气等其它市政管线工程本项目仅预留管位。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项目工期为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bidi="ar"/>
        </w:rPr>
        <w:t>2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bidi="ar"/>
        </w:rPr>
        <w:t>2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bidi="ar"/>
        </w:rPr>
        <w:t>0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日至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2023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bidi="ar"/>
        </w:rPr>
        <w:t>12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bidi="ar"/>
        </w:rPr>
        <w:t>30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日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。项目总投资96878.01万元，其中建设总投资12795.44万元，征地拆迁费82210.56万元。该项目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截止2021年底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共计获得地债资金3900万元，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截止目前，均已支出完毕。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该项目总体目标为项目按工期计划推进3.09km的程建设，服务于江东离岸创新创业组团，完善精品消费区的片区路网结构，提升改善周边居民及工厂交通出行的条件。年度绩效目标如下：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4480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4"/>
                <w:highlight w:val="none"/>
              </w:rPr>
              <w:t>指标类型</w:t>
            </w:r>
          </w:p>
        </w:tc>
        <w:tc>
          <w:tcPr>
            <w:tcW w:w="262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4"/>
                <w:highlight w:val="none"/>
              </w:rPr>
              <w:t>指标名称</w:t>
            </w:r>
          </w:p>
        </w:tc>
        <w:tc>
          <w:tcPr>
            <w:tcW w:w="11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4"/>
                <w:highlight w:val="none"/>
              </w:rPr>
              <w:t>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b/>
                <w:sz w:val="24"/>
                <w:highlight w:val="none"/>
              </w:rPr>
            </w:pPr>
          </w:p>
        </w:tc>
        <w:tc>
          <w:tcPr>
            <w:tcW w:w="2629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b/>
                <w:sz w:val="24"/>
                <w:highlight w:val="none"/>
              </w:rPr>
            </w:pPr>
          </w:p>
        </w:tc>
        <w:tc>
          <w:tcPr>
            <w:tcW w:w="1185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产出指标</w:t>
            </w:r>
          </w:p>
        </w:tc>
        <w:tc>
          <w:tcPr>
            <w:tcW w:w="2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获得可研、概算批复数量</w:t>
            </w:r>
          </w:p>
        </w:tc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=2件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产出指标</w:t>
            </w:r>
          </w:p>
        </w:tc>
        <w:tc>
          <w:tcPr>
            <w:tcW w:w="2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ascii="宋体" w:hAnsi="宋体" w:eastAsia="宋体"/>
                <w:sz w:val="24"/>
                <w:highlight w:val="none"/>
              </w:rPr>
              <w:t>超概算比例</w:t>
            </w:r>
          </w:p>
        </w:tc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≤5%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效益指标</w:t>
            </w:r>
          </w:p>
        </w:tc>
        <w:tc>
          <w:tcPr>
            <w:tcW w:w="2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项目收益人数</w:t>
            </w:r>
          </w:p>
        </w:tc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≥1500人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满意度指标</w:t>
            </w:r>
          </w:p>
        </w:tc>
        <w:tc>
          <w:tcPr>
            <w:tcW w:w="2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受益群体满意度</w:t>
            </w:r>
          </w:p>
        </w:tc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≥85%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二、绩效评价工作开展情况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（一）绩效评价目的、对象、范围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对消费精品制造产业园配套路网项目开展部门评价，促进部门提升预算绩效管理工作水平，强化部门支出责任，规范资金管理行为，提高财政资金使用效益。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（二）绩效评价原则、评价指标体系、评价方法、评价标准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1.绩效评价原则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本次部门评价坚持运用科学合理的方法，按照规范的程序，对项目绩效进行客观、公正的反映。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2.评价指标体系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从项目决策、项目管理、项目绩效等三大指标开展部门评价。</w:t>
      </w:r>
    </w:p>
    <w:tbl>
      <w:tblPr>
        <w:tblStyle w:val="5"/>
        <w:tblW w:w="7403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927"/>
        <w:gridCol w:w="1325"/>
        <w:gridCol w:w="829"/>
        <w:gridCol w:w="1770"/>
        <w:gridCol w:w="1176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一级指标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分值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二级指标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分值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三级指标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分值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项目决策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项目目标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1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2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3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5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目标内容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决策过程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决策依据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决策程序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资金分配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分配办法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分配结果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项目管理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25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资金到位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到位率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到位时效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资金管理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资金使用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财务管理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组织实施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组织机构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管理制度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项目绩效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55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项目产出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产出数量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产出质量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产出时效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产出成本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项目效益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经济效益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社会效益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环境效益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可持续影响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服务对象满意度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总分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100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100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3.评价方法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本次部门评价采用比较法，将项目实施情况与绩效目标情况进行比较。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4.评价标准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本次部门评价以年初的目标、计划、预算、定额等作为评价标准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（三）绩效评价工作过程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评价小组对评价资料进行认真梳理，测算分析各项指标，汇总评分并形成评价报告。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1.对《项目支出绩效评价管理办法》（财预〔2020〕10号）进行研读，对部门评价有基本的把握和了解，归纳出进一步评价所需的信息。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2.集中对各个评价指标逐一进行分析。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3.评价小组汇总分析评价过程中发现的问题并对存在问题进行讨论，分别计算各评价指标所得分数，形成评价结果。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4.根据评价结果，撰写评价报告。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三、综合评价情况及评价结论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绩效评价工作小组从项目决策、项目管理、项目绩效三方面分别对该项目进行评价，项目目标设定、决策过程、资金分配、资金到位、资金管理、组织实施、项目效果等方面落实情况较好，评价得分99分，评价等次为优，达到了预期设定的项目绩效目标。</w:t>
      </w:r>
    </w:p>
    <w:tbl>
      <w:tblPr>
        <w:tblStyle w:val="5"/>
        <w:tblW w:w="8579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927"/>
        <w:gridCol w:w="1325"/>
        <w:gridCol w:w="829"/>
        <w:gridCol w:w="1770"/>
        <w:gridCol w:w="1176"/>
        <w:gridCol w:w="1176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一级指标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分值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二级指标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分值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三级指标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分值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项目决策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项目目标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1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2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1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3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5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目标内容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决策过程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决策依据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决策程序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资金分配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分配办法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分配结果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项目管理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25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资金到位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到位率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到位时效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资金管理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资金使用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财务管理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组织实施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组织机构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管理制度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项目绩效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55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项目产出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15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产出数量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产出质量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产出时效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产出成本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项目效益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经济效益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社会效益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环境效益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可持续影响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服务对象满意度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总分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100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100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100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99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评价等次</w:t>
            </w:r>
          </w:p>
        </w:tc>
        <w:tc>
          <w:tcPr>
            <w:tcW w:w="4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（一）项目决策情况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项目的建设可改善周边居民的出行条件，提升周边地块的开发利用价值，满足雨污水排放需求，促进江东离岸创新创业组团快速发展。该项目列入2021年海口市政府投资项目计划。项目设定了绩效目标，绩效目标与实际工作内容具有相关性。项目预算编制科学合理，预算资金分配依据充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（二）项目过程情况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2020年我局制定并印发了《政府投资项目管理办法（试行）》，建立了有效的项目管理制度，保证了项目安全有效运行，确保了项目顺利实施，取得明显成效。项目资金支付严格履行审批程序，使用规范，会计核算结果真实、准确。此次绩效评价过程中未发现挤占或挪用项目资金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该项目2021年获得地债资金3900万元，已支出3900万元，支出100%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（三）项目产出情况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该项目资金到位及时，项目顺利实施，2021年消费精品制造产业园配套路网项目完成程度较好，实现了预定预算目标。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（四）项目效益情况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该项目建成后将服务于江东离岸创新创业组团，完善精品消费区的片区路网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结构，提升改善周边居民及工厂交通出行的条件，保障路网内的电力、通信、排水需求。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五、主要经验及做法、存在的问题及原因分析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六、有关建议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七、其他需要说明的问题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ZTgyYTM4OWQ0ZWI5ZGUyNzQzMDc1YzJkMjRhZTYifQ=="/>
  </w:docVars>
  <w:rsids>
    <w:rsidRoot w:val="00172A27"/>
    <w:rsid w:val="0026189E"/>
    <w:rsid w:val="0028274A"/>
    <w:rsid w:val="0053585D"/>
    <w:rsid w:val="00580977"/>
    <w:rsid w:val="006B3B97"/>
    <w:rsid w:val="00C10763"/>
    <w:rsid w:val="00D66E05"/>
    <w:rsid w:val="00D833C3"/>
    <w:rsid w:val="00E856E4"/>
    <w:rsid w:val="02233DF4"/>
    <w:rsid w:val="023A5912"/>
    <w:rsid w:val="02CB6390"/>
    <w:rsid w:val="040B460D"/>
    <w:rsid w:val="04621786"/>
    <w:rsid w:val="0626600A"/>
    <w:rsid w:val="06F95DEE"/>
    <w:rsid w:val="08093106"/>
    <w:rsid w:val="08AF5C9C"/>
    <w:rsid w:val="09674FEE"/>
    <w:rsid w:val="0A092149"/>
    <w:rsid w:val="0A787E3B"/>
    <w:rsid w:val="0AC273C6"/>
    <w:rsid w:val="0AC94BD1"/>
    <w:rsid w:val="0BD17C84"/>
    <w:rsid w:val="0BDE5F87"/>
    <w:rsid w:val="0C867A68"/>
    <w:rsid w:val="0DBB40F2"/>
    <w:rsid w:val="0DE47EA0"/>
    <w:rsid w:val="0E9A79D6"/>
    <w:rsid w:val="111C1707"/>
    <w:rsid w:val="126332E8"/>
    <w:rsid w:val="12AB34F1"/>
    <w:rsid w:val="135734FF"/>
    <w:rsid w:val="14B51D19"/>
    <w:rsid w:val="14FA1115"/>
    <w:rsid w:val="154455E1"/>
    <w:rsid w:val="15481788"/>
    <w:rsid w:val="15AF597D"/>
    <w:rsid w:val="1652225F"/>
    <w:rsid w:val="16630DA5"/>
    <w:rsid w:val="1682257B"/>
    <w:rsid w:val="180C39B2"/>
    <w:rsid w:val="190A44B1"/>
    <w:rsid w:val="19263C3A"/>
    <w:rsid w:val="19316574"/>
    <w:rsid w:val="19795372"/>
    <w:rsid w:val="19AA72EE"/>
    <w:rsid w:val="1AC1553C"/>
    <w:rsid w:val="1B007691"/>
    <w:rsid w:val="1CB1400C"/>
    <w:rsid w:val="1DBB2B25"/>
    <w:rsid w:val="1E122B23"/>
    <w:rsid w:val="1E312225"/>
    <w:rsid w:val="1E5510E3"/>
    <w:rsid w:val="1F25228A"/>
    <w:rsid w:val="20281024"/>
    <w:rsid w:val="20B5758E"/>
    <w:rsid w:val="23335B9D"/>
    <w:rsid w:val="23EF1B0E"/>
    <w:rsid w:val="247A1B51"/>
    <w:rsid w:val="27E81586"/>
    <w:rsid w:val="28B735AC"/>
    <w:rsid w:val="29B57C78"/>
    <w:rsid w:val="2AB57C33"/>
    <w:rsid w:val="2AE457DA"/>
    <w:rsid w:val="2B336677"/>
    <w:rsid w:val="2C192B4A"/>
    <w:rsid w:val="2C8221BC"/>
    <w:rsid w:val="2D7160E8"/>
    <w:rsid w:val="2D9F1EA3"/>
    <w:rsid w:val="2DA417DD"/>
    <w:rsid w:val="2E04071C"/>
    <w:rsid w:val="2E9826F7"/>
    <w:rsid w:val="30483FA0"/>
    <w:rsid w:val="30BB4EA6"/>
    <w:rsid w:val="31437427"/>
    <w:rsid w:val="326C58E4"/>
    <w:rsid w:val="340F7934"/>
    <w:rsid w:val="34C8661B"/>
    <w:rsid w:val="34E154E1"/>
    <w:rsid w:val="35F728BC"/>
    <w:rsid w:val="3714005C"/>
    <w:rsid w:val="37372992"/>
    <w:rsid w:val="37C51992"/>
    <w:rsid w:val="38042CB3"/>
    <w:rsid w:val="3809382C"/>
    <w:rsid w:val="38B37090"/>
    <w:rsid w:val="390C1A27"/>
    <w:rsid w:val="3ABA6910"/>
    <w:rsid w:val="3B0A2EB0"/>
    <w:rsid w:val="3B500164"/>
    <w:rsid w:val="3B59178B"/>
    <w:rsid w:val="3C444B0B"/>
    <w:rsid w:val="3E4B066F"/>
    <w:rsid w:val="3FBB4BCB"/>
    <w:rsid w:val="405D14CB"/>
    <w:rsid w:val="41253788"/>
    <w:rsid w:val="418D0587"/>
    <w:rsid w:val="41B37671"/>
    <w:rsid w:val="429D2ACD"/>
    <w:rsid w:val="435E1F18"/>
    <w:rsid w:val="449F4DAD"/>
    <w:rsid w:val="44B278BB"/>
    <w:rsid w:val="44B939E4"/>
    <w:rsid w:val="461E0D18"/>
    <w:rsid w:val="464F2DD5"/>
    <w:rsid w:val="467C5C77"/>
    <w:rsid w:val="47C55320"/>
    <w:rsid w:val="49B72F9D"/>
    <w:rsid w:val="49C0331C"/>
    <w:rsid w:val="4AA6125F"/>
    <w:rsid w:val="4B5A13DB"/>
    <w:rsid w:val="4B820499"/>
    <w:rsid w:val="4C1448F5"/>
    <w:rsid w:val="4C625BDA"/>
    <w:rsid w:val="4D650FE4"/>
    <w:rsid w:val="4DFF0279"/>
    <w:rsid w:val="4E414DDC"/>
    <w:rsid w:val="4E583744"/>
    <w:rsid w:val="4FB54242"/>
    <w:rsid w:val="52C426C7"/>
    <w:rsid w:val="54D85B6D"/>
    <w:rsid w:val="54E47B8F"/>
    <w:rsid w:val="54FE4F3A"/>
    <w:rsid w:val="55A57892"/>
    <w:rsid w:val="578A390E"/>
    <w:rsid w:val="57D636C9"/>
    <w:rsid w:val="59D74C62"/>
    <w:rsid w:val="59E1651D"/>
    <w:rsid w:val="5A3B0856"/>
    <w:rsid w:val="5A4B6F13"/>
    <w:rsid w:val="5A6A79F7"/>
    <w:rsid w:val="5AC53F7C"/>
    <w:rsid w:val="5B1B1952"/>
    <w:rsid w:val="5BF510A0"/>
    <w:rsid w:val="5F367622"/>
    <w:rsid w:val="5F3F3404"/>
    <w:rsid w:val="5F905550"/>
    <w:rsid w:val="5FA55CBA"/>
    <w:rsid w:val="617F6B7B"/>
    <w:rsid w:val="62806640"/>
    <w:rsid w:val="63636628"/>
    <w:rsid w:val="65411CA7"/>
    <w:rsid w:val="65694914"/>
    <w:rsid w:val="67B21E4C"/>
    <w:rsid w:val="68024B96"/>
    <w:rsid w:val="68903265"/>
    <w:rsid w:val="6A893A8D"/>
    <w:rsid w:val="6B657B2B"/>
    <w:rsid w:val="6C02565A"/>
    <w:rsid w:val="6C8B5B44"/>
    <w:rsid w:val="6E6E68A0"/>
    <w:rsid w:val="6EB377AA"/>
    <w:rsid w:val="6FB6700B"/>
    <w:rsid w:val="701D3C49"/>
    <w:rsid w:val="710022AC"/>
    <w:rsid w:val="725E09BE"/>
    <w:rsid w:val="727437E0"/>
    <w:rsid w:val="74C3652D"/>
    <w:rsid w:val="764C182F"/>
    <w:rsid w:val="7704672F"/>
    <w:rsid w:val="77175582"/>
    <w:rsid w:val="791F742A"/>
    <w:rsid w:val="7B2F66D1"/>
    <w:rsid w:val="7B76655D"/>
    <w:rsid w:val="7BBF5BC9"/>
    <w:rsid w:val="7CE205E6"/>
    <w:rsid w:val="7EDF397E"/>
    <w:rsid w:val="7FA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qFormat/>
    <w:uiPriority w:val="0"/>
    <w:rPr>
      <w:sz w:val="21"/>
      <w:szCs w:val="21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1976</Words>
  <Characters>2097</Characters>
  <Lines>49</Lines>
  <Paragraphs>14</Paragraphs>
  <TotalTime>30</TotalTime>
  <ScaleCrop>false</ScaleCrop>
  <LinksUpToDate>false</LinksUpToDate>
  <CharactersWithSpaces>2097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2021-09-30T09:36:00Z</dcterms:created>
  <dc:creator>恋</dc:creator>
  <cp:lastModifiedBy>小李</cp:lastModifiedBy>
  <dcterms:modified xsi:type="dcterms:W3CDTF">2022-10-11T05:09:09Z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8D7F81E3B53F4350A14390B2FB88DE1D</vt:lpwstr>
  </property>
</Properties>
</file>