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cs="宋体"/>
          <w:b/>
          <w:bCs/>
          <w:sz w:val="44"/>
          <w:szCs w:val="44"/>
          <w:highlight w:val="none"/>
        </w:rPr>
      </w:pPr>
      <w:r>
        <w:rPr>
          <w:rFonts w:hint="eastAsia" w:ascii="宋体" w:hAnsi="宋体" w:eastAsia="宋体" w:cs="宋体"/>
          <w:b/>
          <w:bCs/>
          <w:sz w:val="44"/>
          <w:szCs w:val="44"/>
          <w:highlight w:val="none"/>
        </w:rPr>
        <w:t>海口江东新区管理局</w:t>
      </w:r>
    </w:p>
    <w:p>
      <w:pPr>
        <w:keepNext w:val="0"/>
        <w:keepLines w:val="0"/>
        <w:pageBreakBefore w:val="0"/>
        <w:widowControl w:val="0"/>
        <w:kinsoku/>
        <w:wordWrap/>
        <w:overflowPunct/>
        <w:topLinePunct w:val="0"/>
        <w:bidi w:val="0"/>
        <w:adjustRightInd/>
        <w:snapToGrid/>
        <w:spacing w:line="560" w:lineRule="exact"/>
        <w:jc w:val="center"/>
        <w:rPr>
          <w:b/>
          <w:bCs/>
          <w:sz w:val="44"/>
          <w:szCs w:val="44"/>
          <w:highlight w:val="none"/>
        </w:rPr>
      </w:pPr>
      <w:r>
        <w:rPr>
          <w:rFonts w:hint="eastAsia" w:ascii="宋体" w:hAnsi="宋体" w:eastAsia="宋体" w:cs="宋体"/>
          <w:b/>
          <w:bCs/>
          <w:sz w:val="44"/>
          <w:szCs w:val="44"/>
          <w:highlight w:val="none"/>
        </w:rPr>
        <w:t>2021年</w:t>
      </w:r>
      <w:bookmarkStart w:id="0" w:name="_Hlk112428361"/>
      <w:r>
        <w:rPr>
          <w:rFonts w:hint="eastAsia" w:ascii="宋体" w:hAnsi="宋体" w:eastAsia="宋体" w:cs="宋体"/>
          <w:b/>
          <w:bCs/>
          <w:sz w:val="44"/>
          <w:szCs w:val="44"/>
          <w:highlight w:val="none"/>
        </w:rPr>
        <w:t>江东新区局部排水管网补建及配套路网</w:t>
      </w:r>
      <w:bookmarkEnd w:id="0"/>
      <w:r>
        <w:rPr>
          <w:rFonts w:hint="eastAsia" w:ascii="宋体" w:hAnsi="宋体" w:eastAsia="宋体" w:cs="宋体"/>
          <w:b/>
          <w:bCs/>
          <w:sz w:val="44"/>
          <w:szCs w:val="44"/>
          <w:highlight w:val="none"/>
        </w:rPr>
        <w:t>项目支出绩效评价报告</w:t>
      </w: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一、基本情况</w:t>
      </w:r>
    </w:p>
    <w:p>
      <w:pPr>
        <w:keepNext w:val="0"/>
        <w:keepLines w:val="0"/>
        <w:pageBreakBefore w:val="0"/>
        <w:widowControl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（一）项目概况</w:t>
      </w:r>
    </w:p>
    <w:p>
      <w:pPr>
        <w:keepNext w:val="0"/>
        <w:keepLines w:val="0"/>
        <w:pageBreakBefore w:val="0"/>
        <w:widowControl w:val="0"/>
        <w:kinsoku/>
        <w:wordWrap/>
        <w:overflowPunct/>
        <w:topLinePunct w:val="0"/>
        <w:autoSpaceDE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ascii="仿宋_GB2312" w:hAnsi="Times New Roman" w:eastAsia="仿宋_GB2312" w:cs="仿宋_GB2312"/>
          <w:sz w:val="32"/>
          <w:szCs w:val="32"/>
          <w:highlight w:val="none"/>
          <w:lang w:bidi="ar"/>
        </w:rPr>
        <w:t>业主单位</w:t>
      </w:r>
      <w:r>
        <w:rPr>
          <w:rFonts w:hint="eastAsia" w:ascii="仿宋_GB2312" w:hAnsi="Times New Roman" w:eastAsia="仿宋_GB2312" w:cs="仿宋_GB2312"/>
          <w:sz w:val="32"/>
          <w:szCs w:val="32"/>
          <w:highlight w:val="none"/>
          <w:lang w:bidi="ar"/>
        </w:rPr>
        <w:t>为</w:t>
      </w:r>
      <w:r>
        <w:rPr>
          <w:rFonts w:ascii="仿宋_GB2312" w:hAnsi="Times New Roman" w:eastAsia="仿宋_GB2312" w:cs="仿宋_GB2312"/>
          <w:sz w:val="32"/>
          <w:szCs w:val="32"/>
          <w:highlight w:val="none"/>
          <w:lang w:bidi="ar"/>
        </w:rPr>
        <w:t>海口江东新区基础建设有限公司</w:t>
      </w:r>
      <w:r>
        <w:rPr>
          <w:rFonts w:hint="eastAsia" w:ascii="仿宋_GB2312" w:hAnsi="Times New Roman" w:eastAsia="仿宋_GB2312" w:cs="仿宋_GB2312"/>
          <w:sz w:val="32"/>
          <w:szCs w:val="32"/>
          <w:highlight w:val="none"/>
          <w:lang w:bidi="ar"/>
        </w:rPr>
        <w:t>，项目位于</w:t>
      </w:r>
      <w:r>
        <w:rPr>
          <w:rFonts w:ascii="仿宋_GB2312" w:hAnsi="Times New Roman" w:eastAsia="仿宋_GB2312" w:cs="仿宋_GB2312"/>
          <w:sz w:val="32"/>
          <w:szCs w:val="32"/>
          <w:highlight w:val="none"/>
          <w:lang w:bidi="ar"/>
        </w:rPr>
        <w:t>江东新区</w:t>
      </w:r>
      <w:r>
        <w:rPr>
          <w:rFonts w:hint="eastAsia" w:ascii="仿宋_GB2312" w:hAnsi="Times New Roman" w:eastAsia="仿宋_GB2312" w:cs="仿宋_GB2312"/>
          <w:sz w:val="32"/>
          <w:szCs w:val="32"/>
          <w:highlight w:val="none"/>
          <w:lang w:bidi="ar"/>
        </w:rPr>
        <w:t>白驹大道</w:t>
      </w:r>
      <w:r>
        <w:rPr>
          <w:rFonts w:ascii="仿宋_GB2312" w:hAnsi="Times New Roman" w:eastAsia="仿宋_GB2312" w:cs="仿宋_GB2312"/>
          <w:sz w:val="32"/>
          <w:szCs w:val="32"/>
          <w:highlight w:val="none"/>
          <w:lang w:bidi="ar"/>
        </w:rPr>
        <w:t>以西，椰海大道以</w:t>
      </w:r>
      <w:r>
        <w:rPr>
          <w:rFonts w:hint="eastAsia" w:ascii="仿宋_GB2312" w:hAnsi="Times New Roman" w:eastAsia="仿宋_GB2312" w:cs="仿宋_GB2312"/>
          <w:sz w:val="32"/>
          <w:szCs w:val="32"/>
          <w:highlight w:val="none"/>
          <w:lang w:bidi="ar"/>
        </w:rPr>
        <w:t>南</w:t>
      </w:r>
      <w:r>
        <w:rPr>
          <w:rFonts w:ascii="仿宋_GB2312" w:hAnsi="Times New Roman" w:eastAsia="仿宋_GB2312" w:cs="仿宋_GB2312"/>
          <w:sz w:val="32"/>
          <w:szCs w:val="32"/>
          <w:highlight w:val="none"/>
          <w:lang w:bidi="ar"/>
        </w:rPr>
        <w:t>。</w:t>
      </w:r>
      <w:r>
        <w:rPr>
          <w:rFonts w:hint="eastAsia" w:ascii="仿宋_GB2312" w:hAnsi="Times New Roman" w:eastAsia="仿宋_GB2312" w:cs="仿宋_GB2312"/>
          <w:sz w:val="32"/>
          <w:szCs w:val="32"/>
          <w:highlight w:val="none"/>
          <w:lang w:bidi="ar"/>
        </w:rPr>
        <w:t>项目主要内容包括6号地块安置房北侧规划路、6号地块安置房西侧规划路、海涛大道排水管道项目、滨江2#泵站项目、灵山泵站及配套管网项目、江东大道和琼山大道污水收集工程、白驹大道排水收集项目、管道改造修复工程、电白安置房南侧道路污水管道改</w:t>
      </w:r>
      <w:bookmarkStart w:id="1" w:name="_GoBack"/>
      <w:bookmarkEnd w:id="1"/>
      <w:r>
        <w:rPr>
          <w:rFonts w:hint="eastAsia" w:ascii="仿宋_GB2312" w:hAnsi="Times New Roman" w:eastAsia="仿宋_GB2312" w:cs="仿宋_GB2312"/>
          <w:sz w:val="32"/>
          <w:szCs w:val="32"/>
          <w:highlight w:val="none"/>
          <w:lang w:bidi="ar"/>
        </w:rPr>
        <w:t>造项目等9个子项</w:t>
      </w:r>
      <w:r>
        <w:rPr>
          <w:rFonts w:ascii="仿宋_GB2312" w:hAnsi="Times New Roman" w:eastAsia="仿宋_GB2312" w:cs="仿宋_GB2312"/>
          <w:sz w:val="32"/>
          <w:szCs w:val="32"/>
          <w:highlight w:val="none"/>
          <w:lang w:bidi="ar"/>
        </w:rPr>
        <w:t>。</w:t>
      </w:r>
      <w:r>
        <w:rPr>
          <w:rFonts w:hint="eastAsia" w:ascii="仿宋_GB2312" w:hAnsi="Times New Roman" w:eastAsia="仿宋_GB2312" w:cs="仿宋_GB2312"/>
          <w:sz w:val="32"/>
          <w:szCs w:val="32"/>
          <w:highlight w:val="none"/>
          <w:lang w:bidi="ar"/>
        </w:rPr>
        <w:t>项目工期为</w:t>
      </w:r>
      <w:r>
        <w:rPr>
          <w:rFonts w:hint="eastAsia" w:ascii="仿宋_GB2312" w:hAnsi="Times New Roman" w:eastAsia="仿宋_GB2312" w:cs="仿宋_GB2312"/>
          <w:sz w:val="32"/>
          <w:szCs w:val="32"/>
          <w:highlight w:val="none"/>
          <w:lang w:bidi="ar"/>
        </w:rPr>
        <w:t>2021</w:t>
      </w:r>
      <w:r>
        <w:rPr>
          <w:rFonts w:ascii="仿宋_GB2312" w:hAnsi="Times New Roman" w:eastAsia="仿宋_GB2312" w:cs="仿宋_GB2312"/>
          <w:sz w:val="32"/>
          <w:szCs w:val="32"/>
          <w:highlight w:val="none"/>
          <w:lang w:bidi="ar"/>
        </w:rPr>
        <w:t>年</w:t>
      </w:r>
      <w:r>
        <w:rPr>
          <w:rFonts w:hint="eastAsia" w:ascii="仿宋_GB2312" w:hAnsi="Times New Roman" w:eastAsia="仿宋_GB2312" w:cs="仿宋_GB2312"/>
          <w:sz w:val="32"/>
          <w:szCs w:val="32"/>
          <w:highlight w:val="none"/>
          <w:lang w:bidi="ar"/>
        </w:rPr>
        <w:t>8</w:t>
      </w:r>
      <w:r>
        <w:rPr>
          <w:rFonts w:ascii="仿宋_GB2312" w:hAnsi="Times New Roman" w:eastAsia="仿宋_GB2312" w:cs="仿宋_GB2312"/>
          <w:sz w:val="32"/>
          <w:szCs w:val="32"/>
          <w:highlight w:val="none"/>
          <w:lang w:bidi="ar"/>
        </w:rPr>
        <w:t>月</w:t>
      </w:r>
      <w:r>
        <w:rPr>
          <w:rFonts w:hint="eastAsia" w:ascii="仿宋_GB2312" w:hAnsi="Times New Roman" w:eastAsia="仿宋_GB2312" w:cs="仿宋_GB2312"/>
          <w:sz w:val="32"/>
          <w:szCs w:val="32"/>
          <w:highlight w:val="none"/>
          <w:lang w:bidi="ar"/>
        </w:rPr>
        <w:t>20</w:t>
      </w:r>
      <w:r>
        <w:rPr>
          <w:rFonts w:ascii="仿宋_GB2312" w:hAnsi="Times New Roman" w:eastAsia="仿宋_GB2312" w:cs="仿宋_GB2312"/>
          <w:sz w:val="32"/>
          <w:szCs w:val="32"/>
          <w:highlight w:val="none"/>
          <w:lang w:bidi="ar"/>
        </w:rPr>
        <w:t>日至</w:t>
      </w:r>
      <w:r>
        <w:rPr>
          <w:rFonts w:hint="eastAsia" w:ascii="仿宋_GB2312" w:hAnsi="Times New Roman" w:eastAsia="仿宋_GB2312" w:cs="仿宋_GB2312"/>
          <w:sz w:val="32"/>
          <w:szCs w:val="32"/>
          <w:highlight w:val="none"/>
          <w:lang w:bidi="ar"/>
        </w:rPr>
        <w:t>2023</w:t>
      </w:r>
      <w:r>
        <w:rPr>
          <w:rFonts w:ascii="仿宋_GB2312" w:hAnsi="Times New Roman" w:eastAsia="仿宋_GB2312" w:cs="仿宋_GB2312"/>
          <w:sz w:val="32"/>
          <w:szCs w:val="32"/>
          <w:highlight w:val="none"/>
          <w:lang w:bidi="ar"/>
        </w:rPr>
        <w:t>年</w:t>
      </w:r>
      <w:r>
        <w:rPr>
          <w:rFonts w:hint="eastAsia" w:ascii="仿宋_GB2312" w:hAnsi="Times New Roman" w:eastAsia="仿宋_GB2312" w:cs="仿宋_GB2312"/>
          <w:sz w:val="32"/>
          <w:szCs w:val="32"/>
          <w:highlight w:val="none"/>
          <w:lang w:bidi="ar"/>
        </w:rPr>
        <w:t>2</w:t>
      </w:r>
      <w:r>
        <w:rPr>
          <w:rFonts w:ascii="仿宋_GB2312" w:hAnsi="Times New Roman" w:eastAsia="仿宋_GB2312" w:cs="仿宋_GB2312"/>
          <w:sz w:val="32"/>
          <w:szCs w:val="32"/>
          <w:highlight w:val="none"/>
          <w:lang w:bidi="ar"/>
        </w:rPr>
        <w:t>月</w:t>
      </w:r>
      <w:r>
        <w:rPr>
          <w:rFonts w:hint="eastAsia" w:ascii="仿宋_GB2312" w:hAnsi="Times New Roman" w:eastAsia="仿宋_GB2312" w:cs="仿宋_GB2312"/>
          <w:sz w:val="32"/>
          <w:szCs w:val="32"/>
          <w:highlight w:val="none"/>
          <w:lang w:bidi="ar"/>
        </w:rPr>
        <w:t>20</w:t>
      </w:r>
      <w:r>
        <w:rPr>
          <w:rFonts w:ascii="仿宋_GB2312" w:hAnsi="Times New Roman" w:eastAsia="仿宋_GB2312" w:cs="仿宋_GB2312"/>
          <w:sz w:val="32"/>
          <w:szCs w:val="32"/>
          <w:highlight w:val="none"/>
          <w:lang w:bidi="ar"/>
        </w:rPr>
        <w:t>日</w:t>
      </w:r>
      <w:r>
        <w:rPr>
          <w:rFonts w:hint="eastAsia" w:ascii="仿宋_GB2312" w:hAnsi="Times New Roman" w:eastAsia="仿宋_GB2312" w:cs="仿宋_GB2312"/>
          <w:sz w:val="32"/>
          <w:szCs w:val="32"/>
          <w:highlight w:val="none"/>
          <w:lang w:bidi="ar"/>
        </w:rPr>
        <w:t>。项目总投资35329.15万元</w:t>
      </w:r>
      <w:r>
        <w:rPr>
          <w:rFonts w:hint="eastAsia" w:ascii="仿宋_GB2312" w:hAnsi="Times New Roman" w:eastAsia="仿宋_GB2312" w:cs="仿宋_GB2312"/>
          <w:sz w:val="32"/>
          <w:szCs w:val="32"/>
          <w:highlight w:val="none"/>
          <w:lang w:eastAsia="zh-CN" w:bidi="ar"/>
        </w:rPr>
        <w:t>，</w:t>
      </w:r>
      <w:r>
        <w:rPr>
          <w:rFonts w:hint="eastAsia" w:ascii="仿宋_GB2312" w:hAnsi="Times New Roman" w:eastAsia="仿宋_GB2312" w:cs="仿宋_GB2312"/>
          <w:sz w:val="32"/>
          <w:szCs w:val="32"/>
          <w:highlight w:val="none"/>
          <w:lang w:bidi="ar"/>
        </w:rPr>
        <w:t>该项目</w:t>
      </w:r>
      <w:r>
        <w:rPr>
          <w:rFonts w:hint="eastAsia" w:ascii="仿宋_GB2312" w:hAnsi="仿宋_GB2312" w:eastAsia="仿宋_GB2312" w:cs="仿宋_GB2312"/>
          <w:sz w:val="32"/>
          <w:szCs w:val="32"/>
        </w:rPr>
        <w:t>截止2021年底</w:t>
      </w:r>
      <w:r>
        <w:rPr>
          <w:rFonts w:hint="eastAsia" w:ascii="仿宋_GB2312" w:hAnsi="Times New Roman" w:eastAsia="仿宋_GB2312" w:cs="仿宋_GB2312"/>
          <w:sz w:val="32"/>
          <w:szCs w:val="32"/>
          <w:highlight w:val="none"/>
          <w:lang w:bidi="ar"/>
        </w:rPr>
        <w:t>共计获得地债资金110</w:t>
      </w:r>
      <w:r>
        <w:rPr>
          <w:rFonts w:ascii="仿宋_GB2312" w:hAnsi="Times New Roman" w:eastAsia="仿宋_GB2312" w:cs="仿宋_GB2312"/>
          <w:sz w:val="32"/>
          <w:szCs w:val="32"/>
          <w:highlight w:val="none"/>
          <w:lang w:bidi="ar"/>
        </w:rPr>
        <w:t>00</w:t>
      </w:r>
      <w:r>
        <w:rPr>
          <w:rFonts w:hint="eastAsia" w:ascii="仿宋_GB2312" w:hAnsi="Times New Roman" w:eastAsia="仿宋_GB2312" w:cs="仿宋_GB2312"/>
          <w:sz w:val="32"/>
          <w:szCs w:val="32"/>
          <w:highlight w:val="none"/>
          <w:lang w:bidi="ar"/>
        </w:rPr>
        <w:t>万元，</w:t>
      </w:r>
      <w:r>
        <w:rPr>
          <w:rFonts w:hint="eastAsia" w:ascii="仿宋_GB2312" w:hAnsi="Times New Roman" w:eastAsia="仿宋_GB2312" w:cs="仿宋_GB2312"/>
          <w:sz w:val="32"/>
          <w:szCs w:val="32"/>
          <w:lang w:bidi="ar"/>
        </w:rPr>
        <w:t>截止目前，均已支出完毕</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（二）项目绩效目标</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总体目标：项目按工期计划推动江东新区局部排水管网补建及配套路网项目道路1345米，管线11310米建设内容的建设，完善基础设施，建成后解决江东污水排放至江东污水处理厂的路由需求，解决灵山镇污水全收集问题。年度绩效目标如下：</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9"/>
        <w:gridCol w:w="44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Merge w:val="restar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指标类型</w:t>
            </w:r>
          </w:p>
        </w:tc>
        <w:tc>
          <w:tcPr>
            <w:tcW w:w="2630" w:type="pct"/>
            <w:vMerge w:val="restar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指标名称</w:t>
            </w:r>
          </w:p>
        </w:tc>
        <w:tc>
          <w:tcPr>
            <w:tcW w:w="1185" w:type="pct"/>
            <w:vMerge w:val="restar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b/>
                <w:sz w:val="24"/>
                <w:highlight w:val="none"/>
              </w:rPr>
            </w:pPr>
            <w:r>
              <w:rPr>
                <w:rFonts w:hint="eastAsia" w:ascii="宋体" w:hAnsi="宋体" w:eastAsia="宋体"/>
                <w:b/>
                <w:sz w:val="24"/>
                <w:highlight w:val="none"/>
              </w:rPr>
              <w:t>绩效目标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Merge w:val="continue"/>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b/>
                <w:sz w:val="24"/>
                <w:highlight w:val="none"/>
              </w:rPr>
            </w:pPr>
          </w:p>
        </w:tc>
        <w:tc>
          <w:tcPr>
            <w:tcW w:w="2630" w:type="pct"/>
            <w:vMerge w:val="continue"/>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b/>
                <w:sz w:val="24"/>
                <w:highlight w:val="none"/>
              </w:rPr>
            </w:pPr>
          </w:p>
        </w:tc>
        <w:tc>
          <w:tcPr>
            <w:tcW w:w="1185" w:type="pct"/>
            <w:vMerge w:val="continue"/>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b/>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highlight w:val="none"/>
              </w:rPr>
            </w:pPr>
            <w:r>
              <w:rPr>
                <w:rFonts w:hint="eastAsia"/>
                <w:highlight w:val="none"/>
              </w:rPr>
              <w:t>产出指标</w:t>
            </w:r>
          </w:p>
        </w:tc>
        <w:tc>
          <w:tcPr>
            <w:tcW w:w="263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sz w:val="24"/>
                <w:highlight w:val="none"/>
              </w:rPr>
            </w:pPr>
            <w:r>
              <w:rPr>
                <w:rFonts w:hint="eastAsia"/>
                <w:highlight w:val="none"/>
              </w:rPr>
              <w:t>建设(改造、修缮)工程量</w:t>
            </w:r>
          </w:p>
        </w:tc>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sz w:val="24"/>
                <w:highlight w:val="none"/>
              </w:rPr>
            </w:pPr>
            <w:r>
              <w:rPr>
                <w:rFonts w:hint="eastAsia"/>
                <w:highlight w:val="none"/>
              </w:rPr>
              <w:t>≥</w:t>
            </w:r>
            <w:r>
              <w:rPr>
                <w:highlight w:val="none"/>
              </w:rPr>
              <w:t>100</w:t>
            </w:r>
            <w:r>
              <w:rPr>
                <w:rFonts w:hint="eastAsia"/>
                <w:highlight w:val="none"/>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highlight w:val="none"/>
              </w:rPr>
            </w:pPr>
            <w:r>
              <w:rPr>
                <w:rFonts w:hint="eastAsia"/>
                <w:highlight w:val="none"/>
              </w:rPr>
              <w:t>产出指标</w:t>
            </w:r>
          </w:p>
        </w:tc>
        <w:tc>
          <w:tcPr>
            <w:tcW w:w="263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sz w:val="24"/>
                <w:highlight w:val="none"/>
              </w:rPr>
            </w:pPr>
            <w:r>
              <w:rPr>
                <w:rFonts w:hint="eastAsia"/>
                <w:highlight w:val="none"/>
              </w:rPr>
              <w:t>竣工验收合格率</w:t>
            </w:r>
          </w:p>
        </w:tc>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sz w:val="24"/>
                <w:highlight w:val="none"/>
              </w:rPr>
            </w:pPr>
            <w:r>
              <w:rPr>
                <w:rFonts w:hint="eastAsia"/>
                <w:highlight w:val="none"/>
              </w:rPr>
              <w:t>≥</w:t>
            </w:r>
            <w:r>
              <w:rPr>
                <w:highlight w:val="none"/>
              </w:rPr>
              <w:t>95</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highlight w:val="none"/>
              </w:rPr>
            </w:pPr>
            <w:r>
              <w:rPr>
                <w:rFonts w:hint="eastAsia"/>
                <w:highlight w:val="none"/>
              </w:rPr>
              <w:t>产出指标</w:t>
            </w:r>
          </w:p>
        </w:tc>
        <w:tc>
          <w:tcPr>
            <w:tcW w:w="263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sz w:val="24"/>
                <w:highlight w:val="none"/>
              </w:rPr>
            </w:pPr>
            <w:r>
              <w:rPr>
                <w:rFonts w:hint="eastAsia"/>
                <w:highlight w:val="none"/>
              </w:rPr>
              <w:t>超概算项目比例</w:t>
            </w:r>
          </w:p>
        </w:tc>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sz w:val="24"/>
                <w:highlight w:val="none"/>
              </w:rPr>
            </w:pPr>
            <w:r>
              <w:rPr>
                <w:rFonts w:hint="eastAsia"/>
                <w:highlight w:val="none"/>
              </w:rPr>
              <w:t>≤</w:t>
            </w:r>
            <w:r>
              <w:rPr>
                <w:highlight w:val="none"/>
              </w:rPr>
              <w:t>5</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highlight w:val="none"/>
              </w:rPr>
            </w:pPr>
            <w:r>
              <w:rPr>
                <w:rFonts w:hint="eastAsia"/>
                <w:highlight w:val="none"/>
              </w:rPr>
              <w:t>效益指标</w:t>
            </w:r>
          </w:p>
        </w:tc>
        <w:tc>
          <w:tcPr>
            <w:tcW w:w="263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sz w:val="24"/>
                <w:highlight w:val="none"/>
              </w:rPr>
            </w:pPr>
            <w:r>
              <w:rPr>
                <w:rFonts w:hint="eastAsia"/>
                <w:highlight w:val="none"/>
              </w:rPr>
              <w:t>项目受益人数</w:t>
            </w:r>
          </w:p>
        </w:tc>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sz w:val="24"/>
                <w:highlight w:val="none"/>
              </w:rPr>
            </w:pPr>
            <w:r>
              <w:rPr>
                <w:rFonts w:hint="eastAsia"/>
                <w:highlight w:val="none"/>
              </w:rPr>
              <w:t>≥</w:t>
            </w:r>
            <w:r>
              <w:rPr>
                <w:highlight w:val="none"/>
              </w:rPr>
              <w:t>20000</w:t>
            </w:r>
            <w:r>
              <w:rPr>
                <w:rFonts w:hint="eastAsia"/>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highlight w:val="none"/>
              </w:rPr>
            </w:pPr>
            <w:r>
              <w:rPr>
                <w:rFonts w:hint="eastAsia"/>
                <w:highlight w:val="none"/>
              </w:rPr>
              <w:t>满意度指标</w:t>
            </w:r>
          </w:p>
        </w:tc>
        <w:tc>
          <w:tcPr>
            <w:tcW w:w="2630"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sz w:val="24"/>
                <w:highlight w:val="none"/>
              </w:rPr>
            </w:pPr>
            <w:r>
              <w:rPr>
                <w:rFonts w:hint="eastAsia"/>
                <w:highlight w:val="none"/>
              </w:rPr>
              <w:t>受益群体满意度</w:t>
            </w:r>
          </w:p>
        </w:tc>
        <w:tc>
          <w:tcPr>
            <w:tcW w:w="1185" w:type="pct"/>
            <w:vAlign w:val="center"/>
          </w:tcPr>
          <w:p>
            <w:pPr>
              <w:keepNext w:val="0"/>
              <w:keepLines w:val="0"/>
              <w:pageBreakBefore w:val="0"/>
              <w:widowControl w:val="0"/>
              <w:tabs>
                <w:tab w:val="left" w:pos="720"/>
                <w:tab w:val="left" w:pos="3600"/>
              </w:tabs>
              <w:kinsoku/>
              <w:wordWrap/>
              <w:overflowPunct/>
              <w:topLinePunct w:val="0"/>
              <w:bidi w:val="0"/>
              <w:adjustRightInd/>
              <w:snapToGrid/>
              <w:spacing w:line="560" w:lineRule="exact"/>
              <w:jc w:val="center"/>
              <w:rPr>
                <w:rFonts w:ascii="宋体" w:hAnsi="宋体" w:eastAsia="宋体"/>
                <w:sz w:val="24"/>
                <w:szCs w:val="22"/>
                <w:highlight w:val="none"/>
              </w:rPr>
            </w:pPr>
            <w:r>
              <w:rPr>
                <w:rFonts w:hint="eastAsia"/>
                <w:highlight w:val="none"/>
              </w:rPr>
              <w:t>≥</w:t>
            </w:r>
            <w:r>
              <w:rPr>
                <w:highlight w:val="none"/>
              </w:rPr>
              <w:t>85</w:t>
            </w:r>
            <w:r>
              <w:rPr>
                <w:rFonts w:hint="eastAsia"/>
                <w:highlight w:val="none"/>
              </w:rPr>
              <w:t>％</w:t>
            </w:r>
          </w:p>
        </w:tc>
      </w:tr>
    </w:tbl>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二、绩效评价工作开展情况</w:t>
      </w:r>
    </w:p>
    <w:p>
      <w:pPr>
        <w:keepNext w:val="0"/>
        <w:keepLines w:val="0"/>
        <w:pageBreakBefore w:val="0"/>
        <w:widowControl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（一）绩效评价目的、对象、范围</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对江东新区局部排水管网补建及配套路网项目开展部门评价，促进部门提升预算绩效管理工作水平，强化部门支出责任，规范资金管理行为，提高财政资金使用效益。</w:t>
      </w:r>
    </w:p>
    <w:p>
      <w:pPr>
        <w:keepNext w:val="0"/>
        <w:keepLines w:val="0"/>
        <w:pageBreakBefore w:val="0"/>
        <w:widowControl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（二）绩效评价原则、评价指标体系、评价方法、评价标准</w:t>
      </w:r>
    </w:p>
    <w:p>
      <w:pPr>
        <w:keepNext w:val="0"/>
        <w:keepLines w:val="0"/>
        <w:pageBreakBefore w:val="0"/>
        <w:widowControl w:val="0"/>
        <w:kinsoku/>
        <w:wordWrap/>
        <w:overflowPunct/>
        <w:topLinePunct w:val="0"/>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1.绩效评价原则</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本次部门评价坚持运用科学合理的方法，按照规范的程序，对项目绩效进行客观、公正的反映。</w:t>
      </w:r>
    </w:p>
    <w:p>
      <w:pPr>
        <w:keepNext w:val="0"/>
        <w:keepLines w:val="0"/>
        <w:pageBreakBefore w:val="0"/>
        <w:widowControl w:val="0"/>
        <w:kinsoku/>
        <w:wordWrap/>
        <w:overflowPunct/>
        <w:topLinePunct w:val="0"/>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2.评价指标体系</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t>从项目决策、项目管理、项目绩效等三大指标开展部门评价。</w:t>
      </w:r>
    </w:p>
    <w:tbl>
      <w:tblPr>
        <w:tblStyle w:val="5"/>
        <w:tblW w:w="7403"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INCLUDEPICTURE"H:\\工作\\江东开发公司\\Temporary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INCLUDEPICTURE"H:\\工作\\江东开发公司\\Temporary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INCLUDEPICTURE"H:\\工作\\江东开发公司\\Temporary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INCLUDEPICTURE"H:\\工作\\江东开发公司\\Temporary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r>
    </w:tbl>
    <w:p>
      <w:pPr>
        <w:keepNext w:val="0"/>
        <w:keepLines w:val="0"/>
        <w:pageBreakBefore w:val="0"/>
        <w:widowControl w:val="0"/>
        <w:kinsoku/>
        <w:wordWrap/>
        <w:overflowPunct/>
        <w:topLinePunct w:val="0"/>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3.评价方法</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本次部门评价采用比较法，将项目实施情况与绩效目标情况进行比较。</w:t>
      </w:r>
    </w:p>
    <w:p>
      <w:pPr>
        <w:keepNext w:val="0"/>
        <w:keepLines w:val="0"/>
        <w:pageBreakBefore w:val="0"/>
        <w:widowControl w:val="0"/>
        <w:kinsoku/>
        <w:wordWrap/>
        <w:overflowPunct/>
        <w:topLinePunct w:val="0"/>
        <w:bidi w:val="0"/>
        <w:adjustRightInd/>
        <w:snapToGrid/>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4.评价标准</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本次部门评价以年初的目标、计划、预算、定额等作为评价标准</w:t>
      </w: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楷体_GB2312" w:hAnsi="楷体_GB2312" w:eastAsia="楷体_GB2312" w:cs="楷体_GB2312"/>
          <w:sz w:val="32"/>
          <w:szCs w:val="32"/>
          <w:highlight w:val="none"/>
        </w:rPr>
        <w:t>（三）绩效评价工作过程</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评价小组对评价资料进行认真梳理，测算分析各项指标，汇总评分并形成评价报告。</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1.对《项目支出绩效评价管理办法》（财预〔2020〕10号）进行研读，对部门评价有基本的把握和了解，归纳出进一步评价所需的信息。</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2.集中对各个评价指标逐一进行分析。</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3.评价小组汇总分析评价过程中发现的问题并对存在问题进行讨论，分别计算各评价指标所得分数，形成评价结果。</w:t>
      </w: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4.根据评价结果，撰写评价报告。</w:t>
      </w: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三、综合评价情况及评价结论</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绩效评价工作小组从项目决策、项目管理、项目绩效三方面分别对该项目进行评价，项目目标设定、决策过程、资金分配、资金到位、资金管理、组织实施、项目效果等方面落实情况较好，评价得分99分，评价等次为优，达到了预期设定的项目绩效目标。</w:t>
      </w:r>
    </w:p>
    <w:tbl>
      <w:tblPr>
        <w:tblStyle w:val="5"/>
        <w:tblW w:w="8579" w:type="dxa"/>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376"/>
        <w:gridCol w:w="927"/>
        <w:gridCol w:w="1325"/>
        <w:gridCol w:w="829"/>
        <w:gridCol w:w="1770"/>
        <w:gridCol w:w="1176"/>
        <w:gridCol w:w="1176"/>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一级指标</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二级指标</w:t>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三级指标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分值</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项目决策</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项目目标</w:t>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INCLUDEPICTURE"H:\\工作\\江东开发公司\\Temporary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Files\\DOCUME~1\\ADMINI~1\\LOCALS~1\\Temp\\ksohtml\\clip_image1.png"\*MERGEFORMAT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INCLUDEPICTURE"H:\\工作\\江东开发公司\\Temporary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Files\\DOCUME~1\\ADMINI~1\\LOCALS~1\\Temp\\ksohtml\\clip_image2.png"\*MERGEFORMAT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INCLUDEPICTURE"H:\\工作\\江东开发公司\\Temporary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Files\\DOCUME~1\\ADMINI~1\\LOCALS~1\\Temp\\ksohtml\\clip_image3.png"\*MERGEFORMAT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r>
              <w:rPr>
                <w:rFonts w:hint="eastAsia" w:ascii="宋体" w:hAnsi="宋体" w:eastAsia="宋体"/>
                <w:szCs w:val="21"/>
                <w:highlight w:val="none"/>
              </w:rPr>
              <w:fldChar w:fldCharType="begin"/>
            </w:r>
            <w:r>
              <w:rPr>
                <w:rFonts w:ascii="宋体" w:hAnsi="宋体" w:eastAsia="宋体"/>
                <w:szCs w:val="21"/>
                <w:highlight w:val="none"/>
              </w:rPr>
              <w:instrText xml:space="preserve">INCLUDEPICTURE"H:\\工作\\江东开发公司\\Temporary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Files\\Temporary Internet Files\\DOCUME~1\\ADMINI~1\\LOCALS~1\\Temp\\ksohtml\\clip_image5.png"\*MERGEFORMAT</w:instrText>
            </w:r>
            <w:r>
              <w:rPr>
                <w:rFonts w:hint="eastAsia" w:ascii="宋体" w:hAnsi="宋体" w:eastAsia="宋体"/>
                <w:szCs w:val="21"/>
                <w:highlight w:val="none"/>
              </w:rPr>
              <w:fldChar w:fldCharType="separate"/>
            </w:r>
            <w:r>
              <w:rPr>
                <w:rFonts w:hint="eastAsia" w:ascii="宋体" w:hAnsi="宋体" w:eastAsia="宋体"/>
                <w:szCs w:val="21"/>
                <w:highlight w:val="none"/>
              </w:rPr>
              <w:drawing>
                <wp:inline distT="0" distB="0" distL="114300" distR="114300">
                  <wp:extent cx="19050" cy="19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5"/>
                          <a:stretch>
                            <a:fillRect/>
                          </a:stretch>
                        </pic:blipFill>
                        <pic:spPr>
                          <a:xfrm>
                            <a:off x="0" y="0"/>
                            <a:ext cx="19050" cy="19050"/>
                          </a:xfrm>
                          <a:prstGeom prst="rect">
                            <a:avLst/>
                          </a:prstGeom>
                          <a:noFill/>
                          <a:ln w="9525">
                            <a:noFill/>
                            <a:miter/>
                          </a:ln>
                        </pic:spPr>
                      </pic:pic>
                    </a:graphicData>
                  </a:graphic>
                </wp:inline>
              </w:drawing>
            </w:r>
            <w:r>
              <w:rPr>
                <w:rFonts w:hint="eastAsia" w:ascii="宋体" w:hAnsi="宋体" w:eastAsia="宋体"/>
                <w:szCs w:val="21"/>
                <w:highlight w:val="none"/>
              </w:rPr>
              <w:fldChar w:fldCharType="end"/>
            </w: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目标内容</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决策过程</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决策依据</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决策程序</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资金分配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分配办法</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分配结果</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项目管理</w:t>
            </w:r>
          </w:p>
        </w:tc>
        <w:tc>
          <w:tcPr>
            <w:tcW w:w="92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25</w:t>
            </w: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资金到位</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到位率</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到位时效</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资金管理</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资金使用</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7</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szCs w:val="21"/>
                <w:highlight w:val="none"/>
              </w:rPr>
              <w:t>6</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财务管理</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组织实施</w:t>
            </w:r>
          </w:p>
        </w:tc>
        <w:tc>
          <w:tcPr>
            <w:tcW w:w="829"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组织机构</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927"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325"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829" w:type="dxa"/>
            <w:vMerge w:val="continue"/>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bidi w:val="0"/>
              <w:adjustRightInd/>
              <w:snapToGrid/>
              <w:spacing w:line="560" w:lineRule="exact"/>
              <w:jc w:val="center"/>
              <w:rPr>
                <w:rFonts w:ascii="宋体" w:hAnsi="宋体" w:eastAsia="宋体"/>
                <w:szCs w:val="21"/>
                <w:highlight w:val="none"/>
              </w:rPr>
            </w:pPr>
          </w:p>
        </w:tc>
        <w:tc>
          <w:tcPr>
            <w:tcW w:w="177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管理制度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项目绩效</w:t>
            </w:r>
          </w:p>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55</w:t>
            </w: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项目产出</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15</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产出数量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5</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产出质量</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产出时效</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产出成本</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3</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项目效益</w:t>
            </w:r>
          </w:p>
        </w:tc>
        <w:tc>
          <w:tcPr>
            <w:tcW w:w="82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40</w:t>
            </w: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经济效益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社会效益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环境效益</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可持续影响</w:t>
            </w:r>
          </w:p>
        </w:tc>
        <w:tc>
          <w:tcPr>
            <w:tcW w:w="1176" w:type="dxa"/>
            <w:tcBorders>
              <w:top w:val="single" w:color="000000"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927"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325"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829" w:type="dxa"/>
            <w:vMerge w:val="continue"/>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p>
        </w:tc>
        <w:tc>
          <w:tcPr>
            <w:tcW w:w="177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服务对象满意度</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szCs w:val="21"/>
                <w:highlight w:val="none"/>
              </w:rPr>
            </w:pPr>
            <w:r>
              <w:rPr>
                <w:rFonts w:hint="eastAsia" w:ascii="宋体" w:hAnsi="宋体" w:eastAsia="宋体"/>
                <w:szCs w:val="21"/>
                <w:highlight w:val="none"/>
              </w:rPr>
              <w:t>8</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13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总分</w:t>
            </w:r>
          </w:p>
        </w:tc>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3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p>
        </w:tc>
        <w:tc>
          <w:tcPr>
            <w:tcW w:w="82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77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bCs/>
                <w:szCs w:val="21"/>
                <w:highlight w:val="none"/>
              </w:rPr>
              <w:t>100</w:t>
            </w:r>
          </w:p>
        </w:tc>
        <w:tc>
          <w:tcPr>
            <w:tcW w:w="117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bCs/>
                <w:szCs w:val="21"/>
                <w:highlight w:val="none"/>
              </w:rPr>
              <w:t>99</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54" w:hRule="exact"/>
          <w:jc w:val="center"/>
        </w:trPr>
        <w:tc>
          <w:tcPr>
            <w:tcW w:w="4457"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eastAsia="宋体"/>
                <w:bCs/>
                <w:szCs w:val="21"/>
                <w:highlight w:val="none"/>
              </w:rPr>
            </w:pPr>
            <w:r>
              <w:rPr>
                <w:rFonts w:hint="eastAsia" w:ascii="宋体" w:hAnsi="宋体" w:eastAsia="宋体"/>
                <w:szCs w:val="21"/>
                <w:highlight w:val="none"/>
              </w:rPr>
              <w:t>评价等次</w:t>
            </w:r>
          </w:p>
        </w:tc>
        <w:tc>
          <w:tcPr>
            <w:tcW w:w="4122"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N w:val="0"/>
              <w:bidi w:val="0"/>
              <w:adjustRightInd/>
              <w:snapToGrid/>
              <w:spacing w:line="560" w:lineRule="exact"/>
              <w:jc w:val="center"/>
              <w:textAlignment w:val="center"/>
              <w:rPr>
                <w:rFonts w:ascii="宋体" w:hAnsi="宋体"/>
                <w:bCs/>
                <w:szCs w:val="21"/>
                <w:highlight w:val="none"/>
              </w:rPr>
            </w:pPr>
            <w:r>
              <w:rPr>
                <w:rFonts w:hint="eastAsia" w:ascii="宋体" w:hAnsi="宋体"/>
                <w:bCs/>
                <w:szCs w:val="21"/>
                <w:highlight w:val="none"/>
              </w:rPr>
              <w:t>优</w:t>
            </w:r>
          </w:p>
        </w:tc>
      </w:tr>
    </w:tbl>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四、绩效评价指标分析</w:t>
      </w:r>
    </w:p>
    <w:p>
      <w:pPr>
        <w:keepNext w:val="0"/>
        <w:keepLines w:val="0"/>
        <w:pageBreakBefore w:val="0"/>
        <w:widowControl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（一）项目决策情况</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管理局雨污水排放收集方案及近远期规划。为解决江东污水排放至江东污水处理厂的路由需求，解决片区、安置房污水全收集及雨水排放问题，江东新区管理局决定启动江东新区局部排水管网补建及配套路网项目建设。该项目列入20</w:t>
      </w:r>
      <w:r>
        <w:rPr>
          <w:rFonts w:ascii="仿宋_GB2312" w:hAnsi="仿宋_GB2312" w:eastAsia="仿宋_GB2312" w:cs="仿宋_GB2312"/>
          <w:sz w:val="32"/>
          <w:szCs w:val="32"/>
          <w:highlight w:val="none"/>
        </w:rPr>
        <w:t>21</w:t>
      </w:r>
      <w:r>
        <w:rPr>
          <w:rFonts w:hint="eastAsia" w:ascii="仿宋_GB2312" w:hAnsi="仿宋_GB2312" w:eastAsia="仿宋_GB2312" w:cs="仿宋_GB2312"/>
          <w:sz w:val="32"/>
          <w:szCs w:val="32"/>
          <w:highlight w:val="none"/>
        </w:rPr>
        <w:t>年海口市政府投资项目计划。项目设定了绩效目标，绩效目标与实际工作内容具有相关性。项目预算编制科学合理，预算资金分配依据充分。</w:t>
      </w:r>
    </w:p>
    <w:p>
      <w:pPr>
        <w:keepNext w:val="0"/>
        <w:keepLines w:val="0"/>
        <w:pageBreakBefore w:val="0"/>
        <w:widowControl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（二）项目过程情况</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2020年我局制定并印发了《政府投资项目管理办法（试行）》，建立了有效的项目管理制度，保证了项目安全有效运行，确保了项目顺利实施，取得明显成效。项目资金支付严格履行审批程序，使用规范，会计核算结果真实、准确。此次绩效评价过程中未发现挤占或挪用项目资金的情况。</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Times New Roman" w:eastAsia="仿宋_GB2312" w:cs="仿宋_GB2312"/>
          <w:sz w:val="32"/>
          <w:szCs w:val="32"/>
          <w:highlight w:val="none"/>
          <w:lang w:bidi="ar"/>
        </w:rPr>
        <w:t>该项目2021年获得地债资金110</w:t>
      </w:r>
      <w:r>
        <w:rPr>
          <w:rFonts w:ascii="仿宋_GB2312" w:hAnsi="Times New Roman" w:eastAsia="仿宋_GB2312" w:cs="仿宋_GB2312"/>
          <w:sz w:val="32"/>
          <w:szCs w:val="32"/>
          <w:highlight w:val="none"/>
          <w:lang w:bidi="ar"/>
        </w:rPr>
        <w:t>00</w:t>
      </w:r>
      <w:r>
        <w:rPr>
          <w:rFonts w:hint="eastAsia" w:ascii="仿宋_GB2312" w:hAnsi="Times New Roman" w:eastAsia="仿宋_GB2312" w:cs="仿宋_GB2312"/>
          <w:sz w:val="32"/>
          <w:szCs w:val="32"/>
          <w:highlight w:val="none"/>
          <w:lang w:bidi="ar"/>
        </w:rPr>
        <w:t>万元，</w:t>
      </w:r>
      <w:r>
        <w:rPr>
          <w:rFonts w:hint="eastAsia" w:ascii="仿宋_GB2312" w:hAnsi="Times New Roman" w:eastAsia="仿宋_GB2312" w:cs="仿宋_GB2312"/>
          <w:sz w:val="32"/>
          <w:szCs w:val="32"/>
          <w:highlight w:val="none"/>
          <w:lang w:val="en-US" w:eastAsia="zh-CN" w:bidi="ar"/>
        </w:rPr>
        <w:t>当年</w:t>
      </w:r>
      <w:r>
        <w:rPr>
          <w:rFonts w:hint="eastAsia" w:ascii="仿宋_GB2312" w:hAnsi="Times New Roman" w:eastAsia="仿宋_GB2312" w:cs="仿宋_GB2312"/>
          <w:sz w:val="32"/>
          <w:szCs w:val="32"/>
          <w:highlight w:val="none"/>
          <w:lang w:bidi="ar"/>
        </w:rPr>
        <w:t>支出7739.73万元，支出70.36%</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（三）项目产出情况</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该项目资金到位及时，项目顺利实施，2021年完成道路及管线的建设目标，解决了污水收集问题，已完成年度目标。项目完成程度较好，实现了预定预算目标。</w:t>
      </w:r>
    </w:p>
    <w:p>
      <w:pPr>
        <w:keepNext w:val="0"/>
        <w:keepLines w:val="0"/>
        <w:pageBreakBefore w:val="0"/>
        <w:widowControl w:val="0"/>
        <w:kinsoku/>
        <w:wordWrap/>
        <w:overflowPunct/>
        <w:topLinePunct w:val="0"/>
        <w:bidi w:val="0"/>
        <w:adjustRightInd/>
        <w:snapToGrid/>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（四）项目效益情况</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该项目建成后将解决江东污水排放至江东污水处理厂的路由需求，解决灵山镇污水全收集问题。</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项目现阶段已经完成泵站及部分污水管网的补建，为下一步解决片区污水问题，奠定了坚实的基础。</w:t>
      </w: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五、主要经验及做法、存在的问题及原因分析</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六、有关建议</w:t>
      </w:r>
    </w:p>
    <w:p>
      <w:pPr>
        <w:keepNext w:val="0"/>
        <w:keepLines w:val="0"/>
        <w:pageBreakBefore w:val="0"/>
        <w:widowControl w:val="0"/>
        <w:kinsoku/>
        <w:wordWrap/>
        <w:overflowPunct/>
        <w:topLinePunct w:val="0"/>
        <w:bidi w:val="0"/>
        <w:adjustRightInd/>
        <w:snapToGrid/>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w:t>
      </w: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七、其他需要说明的问题</w:t>
      </w:r>
    </w:p>
    <w:p>
      <w:pPr>
        <w:keepNext w:val="0"/>
        <w:keepLines w:val="0"/>
        <w:pageBreakBefore w:val="0"/>
        <w:widowControl w:val="0"/>
        <w:kinsoku/>
        <w:wordWrap/>
        <w:overflowPunct/>
        <w:topLinePunct w:val="0"/>
        <w:bidi w:val="0"/>
        <w:adjustRightInd/>
        <w:snapToGrid/>
        <w:spacing w:line="560" w:lineRule="exact"/>
        <w:ind w:firstLine="640" w:firstLineChars="200"/>
        <w:rPr>
          <w:rFonts w:ascii="黑体" w:hAnsi="黑体" w:eastAsia="黑体" w:cs="黑体"/>
          <w:sz w:val="32"/>
          <w:szCs w:val="32"/>
          <w:highlight w:val="none"/>
        </w:rPr>
      </w:pPr>
      <w:r>
        <w:rPr>
          <w:rFonts w:hint="eastAsia" w:ascii="仿宋_GB2312" w:hAnsi="仿宋_GB2312" w:eastAsia="仿宋_GB2312" w:cs="仿宋_GB2312"/>
          <w:sz w:val="32"/>
          <w:szCs w:val="32"/>
          <w:highlight w:val="none"/>
        </w:rPr>
        <w:t>无。</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3"/>
                      <w:rPr>
                        <w:rFonts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PAGE  \* MERGEFORMAT </w:instrText>
                    </w:r>
                    <w:r>
                      <w:rPr>
                        <w:rFonts w:hint="eastAsia" w:ascii="宋体" w:hAnsi="宋体" w:eastAsia="宋体" w:cs="宋体"/>
                        <w:sz w:val="24"/>
                      </w:rPr>
                      <w:fldChar w:fldCharType="separate"/>
                    </w:r>
                    <w:r>
                      <w:rPr>
                        <w:rFonts w:hint="eastAsia" w:ascii="宋体" w:hAnsi="宋体" w:eastAsia="宋体" w:cs="宋体"/>
                        <w:sz w:val="24"/>
                      </w:rPr>
                      <w:t>1</w:t>
                    </w:r>
                    <w:r>
                      <w:rPr>
                        <w:rFonts w:hint="eastAsia" w:ascii="宋体" w:hAnsi="宋体" w:eastAsia="宋体" w:cs="宋体"/>
                        <w:sz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4ZTgyYTM4OWQ0ZWI5ZGUyNzQzMDc1YzJkMjRhZTYifQ=="/>
  </w:docVars>
  <w:rsids>
    <w:rsidRoot w:val="00172A27"/>
    <w:rsid w:val="001079E5"/>
    <w:rsid w:val="001F32AF"/>
    <w:rsid w:val="00217C1C"/>
    <w:rsid w:val="004B274A"/>
    <w:rsid w:val="004C1FEF"/>
    <w:rsid w:val="004C4885"/>
    <w:rsid w:val="00505F51"/>
    <w:rsid w:val="00561A07"/>
    <w:rsid w:val="00690D81"/>
    <w:rsid w:val="007B620A"/>
    <w:rsid w:val="00911435"/>
    <w:rsid w:val="009304E4"/>
    <w:rsid w:val="00A34AE9"/>
    <w:rsid w:val="00B96BCB"/>
    <w:rsid w:val="00DF5E93"/>
    <w:rsid w:val="00E51960"/>
    <w:rsid w:val="00E710ED"/>
    <w:rsid w:val="00ED08C9"/>
    <w:rsid w:val="00F7712F"/>
    <w:rsid w:val="02233DF4"/>
    <w:rsid w:val="023A5912"/>
    <w:rsid w:val="02CB6390"/>
    <w:rsid w:val="040B460D"/>
    <w:rsid w:val="04621786"/>
    <w:rsid w:val="0626600A"/>
    <w:rsid w:val="06385107"/>
    <w:rsid w:val="06F95DEE"/>
    <w:rsid w:val="08093106"/>
    <w:rsid w:val="08AF5C9C"/>
    <w:rsid w:val="0A092149"/>
    <w:rsid w:val="0A787E3B"/>
    <w:rsid w:val="0AC273C6"/>
    <w:rsid w:val="0AC94BD1"/>
    <w:rsid w:val="0BD17C84"/>
    <w:rsid w:val="0BDE5F87"/>
    <w:rsid w:val="0DBB40F2"/>
    <w:rsid w:val="0DE47EA0"/>
    <w:rsid w:val="0E9A79D6"/>
    <w:rsid w:val="111C1707"/>
    <w:rsid w:val="126332E8"/>
    <w:rsid w:val="12AB34F1"/>
    <w:rsid w:val="135734FF"/>
    <w:rsid w:val="14B51D19"/>
    <w:rsid w:val="14FA1115"/>
    <w:rsid w:val="154455E1"/>
    <w:rsid w:val="15481788"/>
    <w:rsid w:val="1652225F"/>
    <w:rsid w:val="16630DA5"/>
    <w:rsid w:val="1682257B"/>
    <w:rsid w:val="180C39B2"/>
    <w:rsid w:val="190A44B1"/>
    <w:rsid w:val="19263C3A"/>
    <w:rsid w:val="19316574"/>
    <w:rsid w:val="19795372"/>
    <w:rsid w:val="19AA72EE"/>
    <w:rsid w:val="1AC1553C"/>
    <w:rsid w:val="1B007691"/>
    <w:rsid w:val="1CB1400C"/>
    <w:rsid w:val="1DBB2B25"/>
    <w:rsid w:val="1E122B23"/>
    <w:rsid w:val="1E312225"/>
    <w:rsid w:val="1E5510E3"/>
    <w:rsid w:val="1F25228A"/>
    <w:rsid w:val="20281024"/>
    <w:rsid w:val="20B5758E"/>
    <w:rsid w:val="22F15409"/>
    <w:rsid w:val="23335B9D"/>
    <w:rsid w:val="23EF1B0E"/>
    <w:rsid w:val="247A1B51"/>
    <w:rsid w:val="27E81586"/>
    <w:rsid w:val="28B735AC"/>
    <w:rsid w:val="29B57C78"/>
    <w:rsid w:val="2AB57C33"/>
    <w:rsid w:val="2AE457DA"/>
    <w:rsid w:val="2B336677"/>
    <w:rsid w:val="2C192B4A"/>
    <w:rsid w:val="2C8221BC"/>
    <w:rsid w:val="2D7160E8"/>
    <w:rsid w:val="2D9F1EA3"/>
    <w:rsid w:val="2DA417DD"/>
    <w:rsid w:val="2E9826F7"/>
    <w:rsid w:val="30483FA0"/>
    <w:rsid w:val="30BB4EA6"/>
    <w:rsid w:val="31437427"/>
    <w:rsid w:val="31D2678C"/>
    <w:rsid w:val="326C58E4"/>
    <w:rsid w:val="340F7934"/>
    <w:rsid w:val="34C8661B"/>
    <w:rsid w:val="35F728BC"/>
    <w:rsid w:val="3714005C"/>
    <w:rsid w:val="37372992"/>
    <w:rsid w:val="37742108"/>
    <w:rsid w:val="37C51992"/>
    <w:rsid w:val="38042CB3"/>
    <w:rsid w:val="38B37090"/>
    <w:rsid w:val="390C1A27"/>
    <w:rsid w:val="3ABA6910"/>
    <w:rsid w:val="3B0A2EB0"/>
    <w:rsid w:val="3B500164"/>
    <w:rsid w:val="3B59178B"/>
    <w:rsid w:val="3C444B0B"/>
    <w:rsid w:val="3E4B066F"/>
    <w:rsid w:val="3FBB4BCB"/>
    <w:rsid w:val="405D14CB"/>
    <w:rsid w:val="41253788"/>
    <w:rsid w:val="418D0587"/>
    <w:rsid w:val="41B37671"/>
    <w:rsid w:val="435E1F18"/>
    <w:rsid w:val="449F4DAD"/>
    <w:rsid w:val="44B278BB"/>
    <w:rsid w:val="44B939E4"/>
    <w:rsid w:val="461E0D18"/>
    <w:rsid w:val="464F2DD5"/>
    <w:rsid w:val="467C5C77"/>
    <w:rsid w:val="47C55320"/>
    <w:rsid w:val="49B72F9D"/>
    <w:rsid w:val="49C0331C"/>
    <w:rsid w:val="4AA6125F"/>
    <w:rsid w:val="4B5A13DB"/>
    <w:rsid w:val="4B820499"/>
    <w:rsid w:val="4C1448F5"/>
    <w:rsid w:val="4C625BDA"/>
    <w:rsid w:val="4CE5710B"/>
    <w:rsid w:val="4D650FE4"/>
    <w:rsid w:val="4DFF0279"/>
    <w:rsid w:val="4E414DDC"/>
    <w:rsid w:val="4E583744"/>
    <w:rsid w:val="4FB54242"/>
    <w:rsid w:val="52C426C7"/>
    <w:rsid w:val="54D85B6D"/>
    <w:rsid w:val="54E47B8F"/>
    <w:rsid w:val="54FE4F3A"/>
    <w:rsid w:val="55A57892"/>
    <w:rsid w:val="578A390E"/>
    <w:rsid w:val="57D636C9"/>
    <w:rsid w:val="59D74C62"/>
    <w:rsid w:val="59E1651D"/>
    <w:rsid w:val="5A3B0856"/>
    <w:rsid w:val="5A4B6F13"/>
    <w:rsid w:val="5A6A79F7"/>
    <w:rsid w:val="5BF510A0"/>
    <w:rsid w:val="5F367622"/>
    <w:rsid w:val="5F3F3404"/>
    <w:rsid w:val="5F905550"/>
    <w:rsid w:val="617F6B7B"/>
    <w:rsid w:val="62806640"/>
    <w:rsid w:val="63636628"/>
    <w:rsid w:val="65411CA7"/>
    <w:rsid w:val="65694914"/>
    <w:rsid w:val="67B21E4C"/>
    <w:rsid w:val="68024B96"/>
    <w:rsid w:val="68903265"/>
    <w:rsid w:val="6A893A8D"/>
    <w:rsid w:val="6B657B2B"/>
    <w:rsid w:val="6C02565A"/>
    <w:rsid w:val="6C8B5B44"/>
    <w:rsid w:val="6E6E68A0"/>
    <w:rsid w:val="6EB377AA"/>
    <w:rsid w:val="6FB6700B"/>
    <w:rsid w:val="701D3C49"/>
    <w:rsid w:val="710022AC"/>
    <w:rsid w:val="725E09BE"/>
    <w:rsid w:val="727437E0"/>
    <w:rsid w:val="74C3652D"/>
    <w:rsid w:val="764C182F"/>
    <w:rsid w:val="7704672F"/>
    <w:rsid w:val="77175582"/>
    <w:rsid w:val="791F742A"/>
    <w:rsid w:val="7B2F66D1"/>
    <w:rsid w:val="7B76655D"/>
    <w:rsid w:val="7BBF5BC9"/>
    <w:rsid w:val="7CE205E6"/>
    <w:rsid w:val="7EDF397E"/>
    <w:rsid w:val="7FAF3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qFormat/>
    <w:uiPriority w:val="0"/>
    <w:rPr>
      <w:sz w:val="21"/>
      <w:szCs w:val="21"/>
    </w:rPr>
  </w:style>
  <w:style w:type="character" w:customStyle="1" w:styleId="8">
    <w:name w:val="页眉 字符"/>
    <w:basedOn w:val="6"/>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2048</Words>
  <Characters>2166</Characters>
  <Lines>48</Lines>
  <Paragraphs>13</Paragraphs>
  <TotalTime>6</TotalTime>
  <ScaleCrop>false</ScaleCrop>
  <LinksUpToDate>false</LinksUpToDate>
  <CharactersWithSpaces>2166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2022-08-26T09:54:00Z</dcterms:created>
  <dc:creator>恋</dc:creator>
  <cp:lastModifiedBy>小李</cp:lastModifiedBy>
  <dcterms:modified xsi:type="dcterms:W3CDTF">2022-10-11T04:16:15Z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348B1BB547134692A6A34A240B4AD38D</vt:lpwstr>
  </property>
</Properties>
</file>