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jc w:val="center"/>
        <w:rPr>
          <w:rFonts w:ascii="宋体" w:hAnsi="宋体" w:eastAsia="宋体" w:cs="宋体"/>
          <w:b/>
          <w:bCs/>
          <w:sz w:val="44"/>
          <w:szCs w:val="44"/>
          <w:highlight w:val="none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highlight w:val="none"/>
        </w:rPr>
        <w:t>海口江东新区管理局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jc w:val="center"/>
        <w:rPr>
          <w:b/>
          <w:bCs/>
          <w:sz w:val="44"/>
          <w:szCs w:val="44"/>
          <w:highlight w:val="none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highlight w:val="none"/>
        </w:rPr>
        <w:t>2021年桂秀路（白驹大道至规划海涛大道段）项目支出绩效评价报告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（一）项目概况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bidi w:val="0"/>
        <w:adjustRightInd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业主单位为海口江东新区开发建设有限责任公司，项目位于江东新区，北起白驹大道，南至桂林洋大道（规划海涛大道）。本项目设计红线宽度为40m，道路全长4050m。建设内容包括道路、交通、桥涵、缆线管廊、给排水、照明、智慧市政与绿化工程等。项目工期为2021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年2月1日至2023年4月30日。项目总投资55502.04万元，其中建设总投资38934.89万元，征地拆迁费10126.13万元。该项目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截至2021年底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共计获得地债资金13175.92万元，已支出13175.92万元，支出100%。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（二）项目绩效目标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该项目总体目标为推进桂秀路（白驹大道至规划海涛大道段）项目4.05公里的道路、交通、桥涵、缆线管廊、给排水、照明、智慧市政与绿化工程等建设内容的建设，完善基础设施。年度绩效目标如下：</w:t>
      </w:r>
    </w:p>
    <w:tbl>
      <w:tblPr>
        <w:tblStyle w:val="5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9"/>
        <w:gridCol w:w="4480"/>
        <w:gridCol w:w="2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5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b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b/>
                <w:sz w:val="24"/>
                <w:highlight w:val="none"/>
              </w:rPr>
              <w:t>指标类型</w:t>
            </w:r>
          </w:p>
        </w:tc>
        <w:tc>
          <w:tcPr>
            <w:tcW w:w="262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b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b/>
                <w:sz w:val="24"/>
                <w:highlight w:val="none"/>
              </w:rPr>
              <w:t>指标名称</w:t>
            </w:r>
          </w:p>
        </w:tc>
        <w:tc>
          <w:tcPr>
            <w:tcW w:w="1185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b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b/>
                <w:sz w:val="24"/>
                <w:highlight w:val="none"/>
              </w:rPr>
              <w:t>绩效目标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5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b/>
                <w:sz w:val="24"/>
                <w:highlight w:val="none"/>
              </w:rPr>
            </w:pPr>
          </w:p>
        </w:tc>
        <w:tc>
          <w:tcPr>
            <w:tcW w:w="2629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b/>
                <w:sz w:val="24"/>
                <w:highlight w:val="none"/>
              </w:rPr>
            </w:pPr>
          </w:p>
        </w:tc>
        <w:tc>
          <w:tcPr>
            <w:tcW w:w="1185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产出指标</w:t>
            </w:r>
          </w:p>
        </w:tc>
        <w:tc>
          <w:tcPr>
            <w:tcW w:w="26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建设(改造、修缮)工程量</w:t>
            </w:r>
          </w:p>
        </w:tc>
        <w:tc>
          <w:tcPr>
            <w:tcW w:w="11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≥0.2公里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产出指标</w:t>
            </w:r>
          </w:p>
        </w:tc>
        <w:tc>
          <w:tcPr>
            <w:tcW w:w="26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超概算项目比例</w:t>
            </w:r>
          </w:p>
        </w:tc>
        <w:tc>
          <w:tcPr>
            <w:tcW w:w="11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≤5%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效益指标</w:t>
            </w:r>
          </w:p>
        </w:tc>
        <w:tc>
          <w:tcPr>
            <w:tcW w:w="26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项目受益人数</w:t>
            </w:r>
          </w:p>
        </w:tc>
        <w:tc>
          <w:tcPr>
            <w:tcW w:w="11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≥25000人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满意度指标</w:t>
            </w:r>
          </w:p>
        </w:tc>
        <w:tc>
          <w:tcPr>
            <w:tcW w:w="26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受益群体满意度</w:t>
            </w:r>
          </w:p>
        </w:tc>
        <w:tc>
          <w:tcPr>
            <w:tcW w:w="11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≥85%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二、绩效评价工作开展情况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（一）绩效评价目的、对象、范围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对桂秀路（白驹大道至规划海涛大道段）项目开展部门评价，促进部门提升预算绩效管理工作水平，强化部门支出责任，规范资金管理行为，提高财政资金使用效益。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（二）绩效评价原则、评价指标体系、评价方法、评价标准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1.绩效评价原则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本次部门评价坚持运用科学合理的方法，按照规范的程序，对项目绩效进行客观、公正的反映。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2.评价指标体系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从项目决策、项目管理、项目绩效等三大指标开展部门评价。</w:t>
      </w:r>
    </w:p>
    <w:tbl>
      <w:tblPr>
        <w:tblStyle w:val="5"/>
        <w:tblW w:w="7403" w:type="dxa"/>
        <w:jc w:val="center"/>
        <w:tblBorders>
          <w:top w:val="single" w:color="auto" w:sz="40" w:space="0"/>
          <w:left w:val="single" w:color="auto" w:sz="40" w:space="0"/>
          <w:bottom w:val="single" w:color="auto" w:sz="40" w:space="0"/>
          <w:right w:val="single" w:color="auto" w:sz="40" w:space="0"/>
          <w:insideH w:val="single" w:color="auto" w:sz="40" w:space="0"/>
          <w:insideV w:val="single" w:color="auto" w:sz="4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927"/>
        <w:gridCol w:w="1325"/>
        <w:gridCol w:w="829"/>
        <w:gridCol w:w="1770"/>
        <w:gridCol w:w="1176"/>
      </w:tblGrid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Cs/>
                <w:szCs w:val="21"/>
                <w:highlight w:val="none"/>
              </w:rPr>
              <w:t>一级指标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Cs/>
                <w:szCs w:val="21"/>
                <w:highlight w:val="none"/>
              </w:rPr>
              <w:t>分值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Cs/>
                <w:szCs w:val="21"/>
                <w:highlight w:val="none"/>
              </w:rPr>
              <w:t>二级指标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Cs/>
                <w:szCs w:val="21"/>
                <w:highlight w:val="none"/>
              </w:rPr>
              <w:t>分值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Cs/>
                <w:szCs w:val="21"/>
                <w:highlight w:val="none"/>
              </w:rPr>
              <w:t>三级指标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Cs/>
                <w:szCs w:val="21"/>
                <w:highlight w:val="none"/>
              </w:rPr>
              <w:t>分值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项目决策</w:t>
            </w:r>
          </w:p>
        </w:tc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20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项目目标</w:t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fldChar w:fldCharType="begin"/>
            </w:r>
            <w:r>
              <w:rPr>
                <w:rFonts w:ascii="宋体" w:hAnsi="宋体" w:eastAsia="宋体"/>
                <w:szCs w:val="21"/>
                <w:highlight w:val="none"/>
              </w:rPr>
              <w:instrText xml:space="preserve">INCLUDEPICTURE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1.png"\*MERGEFORMAT</w:instrText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drawing>
                <wp:inline distT="0" distB="0" distL="114300" distR="114300">
                  <wp:extent cx="19050" cy="19050"/>
                  <wp:effectExtent l="0" t="0" r="0" b="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fldChar w:fldCharType="end"/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fldChar w:fldCharType="begin"/>
            </w:r>
            <w:r>
              <w:rPr>
                <w:rFonts w:ascii="宋体" w:hAnsi="宋体" w:eastAsia="宋体"/>
                <w:szCs w:val="21"/>
                <w:highlight w:val="none"/>
              </w:rPr>
              <w:instrText xml:space="preserve">INCLUDEPICTURE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2.png"\*MERGEFORMAT</w:instrText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drawing>
                <wp:inline distT="0" distB="0" distL="114300" distR="114300">
                  <wp:extent cx="19050" cy="19050"/>
                  <wp:effectExtent l="0" t="0" r="0" b="0"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fldChar w:fldCharType="end"/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fldChar w:fldCharType="begin"/>
            </w:r>
            <w:r>
              <w:rPr>
                <w:rFonts w:ascii="宋体" w:hAnsi="宋体" w:eastAsia="宋体"/>
                <w:szCs w:val="21"/>
                <w:highlight w:val="none"/>
              </w:rPr>
              <w:instrText xml:space="preserve">INCLUDEPICTURE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3.png"\*MERGEFORMAT</w:instrText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drawing>
                <wp:inline distT="0" distB="0" distL="114300" distR="114300">
                  <wp:extent cx="19050" cy="19050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fldChar w:fldCharType="end"/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fldChar w:fldCharType="begin"/>
            </w:r>
            <w:r>
              <w:rPr>
                <w:rFonts w:ascii="宋体" w:hAnsi="宋体" w:eastAsia="宋体"/>
                <w:szCs w:val="21"/>
                <w:highlight w:val="none"/>
              </w:rPr>
              <w:instrText xml:space="preserve">INCLUDEPICTURE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5.png"\*MERGEFORMAT</w:instrText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drawing>
                <wp:inline distT="0" distB="0" distL="114300" distR="114300">
                  <wp:extent cx="19050" cy="19050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fldChar w:fldCharType="end"/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目标内容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决策过程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决策依据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决策程序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资金分配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分配办法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分配结果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6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项目管理</w:t>
            </w:r>
          </w:p>
        </w:tc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25</w:t>
            </w: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资金到位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到位率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到位时效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资金管理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10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资金使用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7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财务管理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组织实施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10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组织机构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1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管理制度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9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项目绩效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55</w:t>
            </w: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项目产出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15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产出数量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产出质量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产出时效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产出成本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项目效益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40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经济效益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社会效益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环境效益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可持续影响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服务对象满意度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Cs/>
                <w:szCs w:val="21"/>
                <w:highlight w:val="none"/>
              </w:rPr>
              <w:t>总分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Cs/>
                <w:szCs w:val="21"/>
                <w:highlight w:val="none"/>
              </w:rPr>
              <w:t>100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  <w:highlight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Cs/>
                <w:szCs w:val="21"/>
                <w:highlight w:val="none"/>
              </w:rPr>
              <w:t>100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  <w:highlight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Cs/>
                <w:szCs w:val="21"/>
                <w:highlight w:val="none"/>
              </w:rPr>
              <w:t>100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3.评价方法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本次部门评价采用比较法，将项目实施情况与绩效目标情况进行比较。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4.评价标准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本次部门评价以年初的目标、计划、预算、定额等作为评价标准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（三）绩效评价工作过程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评价小组对评价资料进行认真梳理，测算分析各项指标，汇总评分并形成评价报告。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1.对《项目支出绩效评价管理办法》（财预〔2020〕10号）进行研读，对部门评价有基本的把握和了解，归纳出进一步评价所需的信息。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2.集中对各个评价指标逐一进行分析。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3.评价小组汇总分析评价过程中发现的问题并对存在问题进行讨论，分别计算各评价指标所得分数，形成评价结果。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4.根据评价结果，撰写评价报告。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三、综合评价情况及评价结论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项目绩效评价工作小组从项目决策、项目管理、项目绩效三方面分别对该项目进行评价，项目目标设定、决策过程、资金分配、资金到位、资金管理、组织实施、项目效果等方面落实情况较好，评价得分99分，评价等次为优，达到了预期设定的项目绩效目标。</w:t>
      </w:r>
    </w:p>
    <w:tbl>
      <w:tblPr>
        <w:tblStyle w:val="5"/>
        <w:tblW w:w="8579" w:type="dxa"/>
        <w:jc w:val="center"/>
        <w:tblBorders>
          <w:top w:val="single" w:color="auto" w:sz="40" w:space="0"/>
          <w:left w:val="single" w:color="auto" w:sz="40" w:space="0"/>
          <w:bottom w:val="single" w:color="auto" w:sz="40" w:space="0"/>
          <w:right w:val="single" w:color="auto" w:sz="40" w:space="0"/>
          <w:insideH w:val="single" w:color="auto" w:sz="40" w:space="0"/>
          <w:insideV w:val="single" w:color="auto" w:sz="4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927"/>
        <w:gridCol w:w="1325"/>
        <w:gridCol w:w="829"/>
        <w:gridCol w:w="1770"/>
        <w:gridCol w:w="1176"/>
        <w:gridCol w:w="1176"/>
      </w:tblGrid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Cs/>
                <w:szCs w:val="21"/>
                <w:highlight w:val="none"/>
              </w:rPr>
              <w:t>一级指标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Cs/>
                <w:szCs w:val="21"/>
                <w:highlight w:val="none"/>
              </w:rPr>
              <w:t>分值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Cs/>
                <w:szCs w:val="21"/>
                <w:highlight w:val="none"/>
              </w:rPr>
              <w:t>二级指标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Cs/>
                <w:szCs w:val="21"/>
                <w:highlight w:val="none"/>
              </w:rPr>
              <w:t>分值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Cs/>
                <w:szCs w:val="21"/>
                <w:highlight w:val="none"/>
              </w:rPr>
              <w:t>三级指标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Cs/>
                <w:szCs w:val="21"/>
                <w:highlight w:val="none"/>
              </w:rPr>
              <w:t>分值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Cs/>
                <w:szCs w:val="21"/>
                <w:highlight w:val="none"/>
              </w:rPr>
              <w:t>得分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项目决策</w:t>
            </w:r>
          </w:p>
        </w:tc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20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项目目标</w:t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fldChar w:fldCharType="begin"/>
            </w:r>
            <w:r>
              <w:rPr>
                <w:rFonts w:ascii="宋体" w:hAnsi="宋体" w:eastAsia="宋体"/>
                <w:szCs w:val="21"/>
                <w:highlight w:val="none"/>
              </w:rPr>
              <w:instrText xml:space="preserve">INCLUDEPICTURE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1.png"\*MERGEFORMAT</w:instrText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drawing>
                <wp:inline distT="0" distB="0" distL="114300" distR="114300">
                  <wp:extent cx="19050" cy="19050"/>
                  <wp:effectExtent l="0" t="0" r="0" b="0"/>
                  <wp:docPr id="1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fldChar w:fldCharType="end"/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fldChar w:fldCharType="begin"/>
            </w:r>
            <w:r>
              <w:rPr>
                <w:rFonts w:ascii="宋体" w:hAnsi="宋体" w:eastAsia="宋体"/>
                <w:szCs w:val="21"/>
                <w:highlight w:val="none"/>
              </w:rPr>
              <w:instrText xml:space="preserve">INCLUDEPICTURE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2.png"\*MERGEFORMAT</w:instrText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drawing>
                <wp:inline distT="0" distB="0" distL="114300" distR="114300">
                  <wp:extent cx="19050" cy="19050"/>
                  <wp:effectExtent l="0" t="0" r="0" b="0"/>
                  <wp:docPr id="1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fldChar w:fldCharType="end"/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fldChar w:fldCharType="begin"/>
            </w:r>
            <w:r>
              <w:rPr>
                <w:rFonts w:ascii="宋体" w:hAnsi="宋体" w:eastAsia="宋体"/>
                <w:szCs w:val="21"/>
                <w:highlight w:val="none"/>
              </w:rPr>
              <w:instrText xml:space="preserve">INCLUDEPICTURE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3.png"\*MERGEFORMAT</w:instrText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drawing>
                <wp:inline distT="0" distB="0" distL="114300" distR="114300">
                  <wp:extent cx="19050" cy="19050"/>
                  <wp:effectExtent l="0" t="0" r="0" b="0"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fldChar w:fldCharType="end"/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fldChar w:fldCharType="begin"/>
            </w:r>
            <w:r>
              <w:rPr>
                <w:rFonts w:ascii="宋体" w:hAnsi="宋体" w:eastAsia="宋体"/>
                <w:szCs w:val="21"/>
                <w:highlight w:val="none"/>
              </w:rPr>
              <w:instrText xml:space="preserve">INCLUDEPICTURE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5.png"\*MERGEFORMAT</w:instrText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drawing>
                <wp:inline distT="0" distB="0" distL="114300" distR="114300">
                  <wp:extent cx="19050" cy="19050"/>
                  <wp:effectExtent l="0" t="0" r="0" b="0"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fldChar w:fldCharType="end"/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目标内容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决策过程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决策依据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决策程序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资金分配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分配办法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分配结果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6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6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项目管理</w:t>
            </w:r>
          </w:p>
        </w:tc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25</w:t>
            </w: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资金到位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到位率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到位时效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资金管理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10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资金使用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7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6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财务管理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组织实施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10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组织机构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1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管理制度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9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9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项目绩效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55</w:t>
            </w:r>
          </w:p>
        </w:tc>
        <w:tc>
          <w:tcPr>
            <w:tcW w:w="13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项目产出</w:t>
            </w:r>
          </w:p>
        </w:tc>
        <w:tc>
          <w:tcPr>
            <w:tcW w:w="8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15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产出数量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产出质量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产出时效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产出成本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项目效益</w:t>
            </w:r>
          </w:p>
        </w:tc>
        <w:tc>
          <w:tcPr>
            <w:tcW w:w="8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40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经济效益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社会效益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环境效益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可持续影响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服务对象满意度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Cs/>
                <w:szCs w:val="21"/>
                <w:highlight w:val="none"/>
              </w:rPr>
              <w:t>总分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Cs/>
                <w:szCs w:val="21"/>
                <w:highlight w:val="none"/>
              </w:rPr>
              <w:t>100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  <w:highlight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Cs/>
                <w:szCs w:val="21"/>
                <w:highlight w:val="none"/>
              </w:rPr>
              <w:t>100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  <w:highlight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Cs/>
                <w:szCs w:val="21"/>
                <w:highlight w:val="none"/>
              </w:rPr>
              <w:t>100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99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评价等次</w:t>
            </w:r>
          </w:p>
        </w:tc>
        <w:tc>
          <w:tcPr>
            <w:tcW w:w="41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优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四、绩效评价指标分析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（一）项目决策情况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本项目的建设实施，是为加快建设中国(海南)自由贸易试验区（港）提供基础设施的需求，完善江东新区骨干路网及市政基础设施，是联系离岸创新创业组团及起步区的重要路径，是衔接中心城区重要通道。项目北联江东新区起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，南接离岸创新创业组团和空港组团，中间连接文化交往组团、综合服务组团、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教科研组团，加强了各个组团之间的联系。项目设定了绩效目标，绩效目标与实际工作内容具有相关性。该项目列入202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年海口市政府投资项目计划。项目预算编制科学合理，预算资金分配依据充分。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（二）项目过程情况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2020年我局制定并印发了《政府投资项目管理办法（试行）》，建立了有效的项目管理制度，保证了项目安全有效运行，确保了项目顺利实施，取得明显成效。项目资金支付严格履行审批程序，使用规范，会计核算结果真实、准确。此次绩效评价过程中未发现挤占或挪用项目资金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仿宋_GB2312"/>
          <w:sz w:val="32"/>
          <w:szCs w:val="32"/>
          <w:highlight w:val="none"/>
          <w:lang w:bidi="ar"/>
        </w:rPr>
        <w:t>该项目2021年获得地债资金8000万元，已支出8000万元，支出100%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（三）项目产出情况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该项目资金到位及时，项目顺利实施，2021年项目年度完成情况：累计完成投资7518万，累计完成产值6326万，已完成项目总体19%的形象进度。完成起点段800m管廊、雨水及路基施工，完成桥梁桩基施工30根，道路软基处理换填及水泥搅拌桩全部完成，完成第二段道路路基施工800m。目前严格执行预算，确保质量，未发生安全事故，保质保量完成任务。项目完成程度较好，实现了预定预算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（四）项目效益情况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该项目建成后将北联江东新区起步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，南接离岸创新创业组团和空港组团，中间连接文化交往组团、综合服务组团、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教科研组团，加强了各个组团之间的联系。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五、主要经验及做法、存在的问题及原因分析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六、有关建议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七、其他需要说明的问题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无。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eastAsia="宋体" w:cs="宋体"/>
                              <w:sz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rd1wwqAgAAVw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Mrd1wwqAgAAVw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eastAsia="宋体" w:cs="宋体"/>
                        <w:sz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mNzcwMGNlMmU0NTYwMTdkOTdmNzg0YTQ3YWJmYjYifQ=="/>
  </w:docVars>
  <w:rsids>
    <w:rsidRoot w:val="435E1F18"/>
    <w:rsid w:val="000B0802"/>
    <w:rsid w:val="000F31A0"/>
    <w:rsid w:val="00307D8A"/>
    <w:rsid w:val="003246D5"/>
    <w:rsid w:val="00352602"/>
    <w:rsid w:val="0037290B"/>
    <w:rsid w:val="0073031D"/>
    <w:rsid w:val="00795F5A"/>
    <w:rsid w:val="00873A68"/>
    <w:rsid w:val="00947965"/>
    <w:rsid w:val="0095403A"/>
    <w:rsid w:val="00C81FCF"/>
    <w:rsid w:val="00D20637"/>
    <w:rsid w:val="00D4385E"/>
    <w:rsid w:val="00DA3718"/>
    <w:rsid w:val="00DB6790"/>
    <w:rsid w:val="00E20905"/>
    <w:rsid w:val="00ED42D6"/>
    <w:rsid w:val="02233DF4"/>
    <w:rsid w:val="023A5912"/>
    <w:rsid w:val="02CB6390"/>
    <w:rsid w:val="040B460D"/>
    <w:rsid w:val="04621786"/>
    <w:rsid w:val="05313D3F"/>
    <w:rsid w:val="0626600A"/>
    <w:rsid w:val="06F95DEE"/>
    <w:rsid w:val="08093106"/>
    <w:rsid w:val="08AF5C9C"/>
    <w:rsid w:val="0A092149"/>
    <w:rsid w:val="0A787E3B"/>
    <w:rsid w:val="0AC273C6"/>
    <w:rsid w:val="0AC94BD1"/>
    <w:rsid w:val="0BD17C84"/>
    <w:rsid w:val="0BDE5F87"/>
    <w:rsid w:val="0DBB40F2"/>
    <w:rsid w:val="0DE47EA0"/>
    <w:rsid w:val="0E9A79D6"/>
    <w:rsid w:val="111C1707"/>
    <w:rsid w:val="126332E8"/>
    <w:rsid w:val="12AB34F1"/>
    <w:rsid w:val="135734FF"/>
    <w:rsid w:val="14B51D19"/>
    <w:rsid w:val="14FA1115"/>
    <w:rsid w:val="154455E1"/>
    <w:rsid w:val="15481788"/>
    <w:rsid w:val="1652225F"/>
    <w:rsid w:val="16630DA5"/>
    <w:rsid w:val="1682257B"/>
    <w:rsid w:val="180C39B2"/>
    <w:rsid w:val="190A44B1"/>
    <w:rsid w:val="19263C3A"/>
    <w:rsid w:val="19316574"/>
    <w:rsid w:val="19795372"/>
    <w:rsid w:val="19AA72EE"/>
    <w:rsid w:val="1AC1553C"/>
    <w:rsid w:val="1B007691"/>
    <w:rsid w:val="1CB1400C"/>
    <w:rsid w:val="1D5A0B3D"/>
    <w:rsid w:val="1DBB2B25"/>
    <w:rsid w:val="1E122B23"/>
    <w:rsid w:val="1E312225"/>
    <w:rsid w:val="1E5510E3"/>
    <w:rsid w:val="1F25228A"/>
    <w:rsid w:val="20281024"/>
    <w:rsid w:val="20B5758E"/>
    <w:rsid w:val="23335B9D"/>
    <w:rsid w:val="23EF1B0E"/>
    <w:rsid w:val="247A1B51"/>
    <w:rsid w:val="24FE7C58"/>
    <w:rsid w:val="27E81586"/>
    <w:rsid w:val="28B735AC"/>
    <w:rsid w:val="29B57C78"/>
    <w:rsid w:val="2AB57C33"/>
    <w:rsid w:val="2AE457DA"/>
    <w:rsid w:val="2B336677"/>
    <w:rsid w:val="2B677EF0"/>
    <w:rsid w:val="2C192B4A"/>
    <w:rsid w:val="2C8221BC"/>
    <w:rsid w:val="2D7160E8"/>
    <w:rsid w:val="2D9F1EA3"/>
    <w:rsid w:val="2DA417DD"/>
    <w:rsid w:val="2E9826F7"/>
    <w:rsid w:val="30483FA0"/>
    <w:rsid w:val="30BB4EA6"/>
    <w:rsid w:val="31437427"/>
    <w:rsid w:val="326C58E4"/>
    <w:rsid w:val="32E4531E"/>
    <w:rsid w:val="340F7934"/>
    <w:rsid w:val="34C8661B"/>
    <w:rsid w:val="35F728BC"/>
    <w:rsid w:val="3714005C"/>
    <w:rsid w:val="37372992"/>
    <w:rsid w:val="37C51992"/>
    <w:rsid w:val="38042CB3"/>
    <w:rsid w:val="38657480"/>
    <w:rsid w:val="38B37090"/>
    <w:rsid w:val="390C1A27"/>
    <w:rsid w:val="39DD3219"/>
    <w:rsid w:val="3ABA6910"/>
    <w:rsid w:val="3B0A2EB0"/>
    <w:rsid w:val="3B500164"/>
    <w:rsid w:val="3B59178B"/>
    <w:rsid w:val="3C444B0B"/>
    <w:rsid w:val="3E4B066F"/>
    <w:rsid w:val="3FBB4BCB"/>
    <w:rsid w:val="405D14CB"/>
    <w:rsid w:val="41253788"/>
    <w:rsid w:val="418D0587"/>
    <w:rsid w:val="41B37671"/>
    <w:rsid w:val="435E1F18"/>
    <w:rsid w:val="449F4DAD"/>
    <w:rsid w:val="44B278BB"/>
    <w:rsid w:val="44B939E4"/>
    <w:rsid w:val="461E0D18"/>
    <w:rsid w:val="464F2DD5"/>
    <w:rsid w:val="467C5C77"/>
    <w:rsid w:val="47C55320"/>
    <w:rsid w:val="47D118D7"/>
    <w:rsid w:val="49B72F9D"/>
    <w:rsid w:val="49C0331C"/>
    <w:rsid w:val="4AA6125F"/>
    <w:rsid w:val="4B5A13DB"/>
    <w:rsid w:val="4B820499"/>
    <w:rsid w:val="4C1448F5"/>
    <w:rsid w:val="4C625BDA"/>
    <w:rsid w:val="4D650FE4"/>
    <w:rsid w:val="4DA876E7"/>
    <w:rsid w:val="4DFF0279"/>
    <w:rsid w:val="4E414DDC"/>
    <w:rsid w:val="4E583744"/>
    <w:rsid w:val="4FB54242"/>
    <w:rsid w:val="50953F07"/>
    <w:rsid w:val="52C426C7"/>
    <w:rsid w:val="54D85B6D"/>
    <w:rsid w:val="54E47B8F"/>
    <w:rsid w:val="54FE4F3A"/>
    <w:rsid w:val="55A57892"/>
    <w:rsid w:val="578A390E"/>
    <w:rsid w:val="57D636C9"/>
    <w:rsid w:val="59D74C62"/>
    <w:rsid w:val="59E1651D"/>
    <w:rsid w:val="5A3B0856"/>
    <w:rsid w:val="5A4B6F13"/>
    <w:rsid w:val="5A6A79F7"/>
    <w:rsid w:val="5BF510A0"/>
    <w:rsid w:val="5F367622"/>
    <w:rsid w:val="5F3F3404"/>
    <w:rsid w:val="5F905550"/>
    <w:rsid w:val="617F6B7B"/>
    <w:rsid w:val="62806640"/>
    <w:rsid w:val="63636628"/>
    <w:rsid w:val="65411CA7"/>
    <w:rsid w:val="65694914"/>
    <w:rsid w:val="67B21E4C"/>
    <w:rsid w:val="68024B96"/>
    <w:rsid w:val="68903265"/>
    <w:rsid w:val="6A893A8D"/>
    <w:rsid w:val="6B657B2B"/>
    <w:rsid w:val="6B7409B2"/>
    <w:rsid w:val="6C02565A"/>
    <w:rsid w:val="6C8B5B44"/>
    <w:rsid w:val="6E6E68A0"/>
    <w:rsid w:val="6EB377AA"/>
    <w:rsid w:val="6FB6700B"/>
    <w:rsid w:val="701D3C49"/>
    <w:rsid w:val="710022AC"/>
    <w:rsid w:val="725E09BE"/>
    <w:rsid w:val="727437E0"/>
    <w:rsid w:val="74C3652D"/>
    <w:rsid w:val="764C182F"/>
    <w:rsid w:val="7704672F"/>
    <w:rsid w:val="77175582"/>
    <w:rsid w:val="791F742A"/>
    <w:rsid w:val="7B2F66D1"/>
    <w:rsid w:val="7B76655D"/>
    <w:rsid w:val="7BBF5BC9"/>
    <w:rsid w:val="7CE205E6"/>
    <w:rsid w:val="7EDF397E"/>
    <w:rsid w:val="7FA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annotation reference"/>
    <w:basedOn w:val="6"/>
    <w:qFormat/>
    <w:uiPriority w:val="0"/>
    <w:rPr>
      <w:sz w:val="21"/>
      <w:szCs w:val="21"/>
    </w:rPr>
  </w:style>
  <w:style w:type="character" w:customStyle="1" w:styleId="8">
    <w:name w:val="页眉 字符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2102</Words>
  <Characters>2247</Characters>
  <Lines>50</Lines>
  <Paragraphs>14</Paragraphs>
  <TotalTime>0</TotalTime>
  <ScaleCrop>false</ScaleCrop>
  <LinksUpToDate>false</LinksUpToDate>
  <CharactersWithSpaces>2247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2021-09-30T09:36:00Z</dcterms:created>
  <dc:creator>恋</dc:creator>
  <cp:lastModifiedBy>阳光一生</cp:lastModifiedBy>
  <dcterms:modified xsi:type="dcterms:W3CDTF">2022-10-25T11:58:51Z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49C32F5429A7446FB92CE0E9948CD71E</vt:lpwstr>
  </property>
</Properties>
</file>