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cs="宋体"/>
          <w:b/>
          <w:bCs/>
          <w:sz w:val="44"/>
          <w:szCs w:val="44"/>
        </w:rPr>
      </w:pPr>
      <w:r>
        <w:rPr>
          <w:rFonts w:hint="eastAsia" w:ascii="宋体" w:hAnsi="宋体" w:eastAsia="宋体" w:cs="宋体"/>
          <w:b/>
          <w:bCs/>
          <w:sz w:val="44"/>
          <w:szCs w:val="44"/>
        </w:rPr>
        <w:t>海口江东新区管理局</w:t>
      </w:r>
    </w:p>
    <w:p>
      <w:pPr>
        <w:keepNext w:val="0"/>
        <w:keepLines w:val="0"/>
        <w:pageBreakBefore w:val="0"/>
        <w:widowControl w:val="0"/>
        <w:kinsoku/>
        <w:wordWrap/>
        <w:overflowPunct/>
        <w:topLinePunct w:val="0"/>
        <w:bidi w:val="0"/>
        <w:adjustRightInd/>
        <w:snapToGrid/>
        <w:spacing w:line="580" w:lineRule="exact"/>
        <w:jc w:val="center"/>
        <w:rPr>
          <w:b/>
          <w:bCs/>
          <w:sz w:val="44"/>
          <w:szCs w:val="44"/>
        </w:rPr>
      </w:pPr>
      <w:r>
        <w:rPr>
          <w:rFonts w:hint="eastAsia" w:ascii="宋体" w:hAnsi="宋体" w:eastAsia="宋体" w:cs="宋体"/>
          <w:b/>
          <w:bCs/>
          <w:sz w:val="44"/>
          <w:szCs w:val="44"/>
        </w:rPr>
        <w:t>2021年海口市新琼小学及美兰区青少年活动中心项目支出绩效评价报告</w:t>
      </w:r>
    </w:p>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p>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bidi w:val="0"/>
        <w:adjustRightInd/>
        <w:snapToGrid/>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海口市新琼小学及美兰区青少年活动中心项目业主为海口江东新区基础建设有限公司，项目位于海口市江东新区国际文化交往组团，白驹大道与琼山大道交叉口西北侧约300米。项目用地面积26395平方米，总建筑面积35459.04平方米，其中地上计容面积25831.19平方米，不计容面积9627.85平方米（含人防）。建设内容包括小学教学楼、青少年活动中心大楼、</w:t>
      </w:r>
      <w:bookmarkStart w:id="0" w:name="_GoBack"/>
      <w:bookmarkEnd w:id="0"/>
      <w:r>
        <w:rPr>
          <w:rFonts w:hint="eastAsia" w:ascii="仿宋_GB2312" w:hAnsi="Times New Roman" w:eastAsia="仿宋_GB2312" w:cs="仿宋_GB2312"/>
          <w:sz w:val="32"/>
          <w:szCs w:val="32"/>
          <w:lang w:bidi="ar"/>
        </w:rPr>
        <w:t>综合楼、宿舍楼、体育馆、食堂、门卫等，配套建设给排水、消防、电气、通风及空调等公用工程和室外水电、体育运动场、道路及广场、绿化、围墙等附属工程。项目工期为</w:t>
      </w:r>
      <w:r>
        <w:rPr>
          <w:rFonts w:ascii="仿宋_GB2312" w:hAnsi="Times New Roman" w:eastAsia="仿宋_GB2312" w:cs="仿宋_GB2312"/>
          <w:sz w:val="32"/>
          <w:szCs w:val="32"/>
          <w:lang w:bidi="ar"/>
        </w:rPr>
        <w:t>2021年</w:t>
      </w:r>
      <w:r>
        <w:rPr>
          <w:rFonts w:hint="eastAsia" w:ascii="仿宋_GB2312" w:hAnsi="Times New Roman" w:eastAsia="仿宋_GB2312" w:cs="仿宋_GB2312"/>
          <w:sz w:val="32"/>
          <w:szCs w:val="32"/>
          <w:lang w:bidi="ar"/>
        </w:rPr>
        <w:t>12</w:t>
      </w:r>
      <w:r>
        <w:rPr>
          <w:rFonts w:ascii="仿宋_GB2312" w:hAnsi="Times New Roman" w:eastAsia="仿宋_GB2312" w:cs="仿宋_GB2312"/>
          <w:sz w:val="32"/>
          <w:szCs w:val="32"/>
          <w:lang w:bidi="ar"/>
        </w:rPr>
        <w:t>月</w:t>
      </w:r>
      <w:r>
        <w:rPr>
          <w:rFonts w:hint="eastAsia" w:ascii="仿宋_GB2312" w:hAnsi="Times New Roman" w:eastAsia="仿宋_GB2312" w:cs="仿宋_GB2312"/>
          <w:sz w:val="32"/>
          <w:szCs w:val="32"/>
          <w:lang w:bidi="ar"/>
        </w:rPr>
        <w:t>4</w:t>
      </w:r>
      <w:r>
        <w:rPr>
          <w:rFonts w:ascii="仿宋_GB2312" w:hAnsi="Times New Roman" w:eastAsia="仿宋_GB2312" w:cs="仿宋_GB2312"/>
          <w:sz w:val="32"/>
          <w:szCs w:val="32"/>
          <w:lang w:bidi="ar"/>
        </w:rPr>
        <w:t>日至202</w:t>
      </w:r>
      <w:r>
        <w:rPr>
          <w:rFonts w:hint="eastAsia" w:ascii="仿宋_GB2312" w:hAnsi="Times New Roman" w:eastAsia="仿宋_GB2312" w:cs="仿宋_GB2312"/>
          <w:sz w:val="32"/>
          <w:szCs w:val="32"/>
          <w:lang w:bidi="ar"/>
        </w:rPr>
        <w:t>4</w:t>
      </w:r>
      <w:r>
        <w:rPr>
          <w:rFonts w:ascii="仿宋_GB2312" w:hAnsi="Times New Roman" w:eastAsia="仿宋_GB2312" w:cs="仿宋_GB2312"/>
          <w:sz w:val="32"/>
          <w:szCs w:val="32"/>
          <w:lang w:bidi="ar"/>
        </w:rPr>
        <w:t>年</w:t>
      </w:r>
      <w:r>
        <w:rPr>
          <w:rFonts w:hint="eastAsia" w:ascii="仿宋_GB2312" w:hAnsi="Times New Roman" w:eastAsia="仿宋_GB2312" w:cs="仿宋_GB2312"/>
          <w:sz w:val="32"/>
          <w:szCs w:val="32"/>
          <w:lang w:bidi="ar"/>
        </w:rPr>
        <w:t>5</w:t>
      </w:r>
      <w:r>
        <w:rPr>
          <w:rFonts w:ascii="仿宋_GB2312" w:hAnsi="Times New Roman" w:eastAsia="仿宋_GB2312" w:cs="仿宋_GB2312"/>
          <w:sz w:val="32"/>
          <w:szCs w:val="32"/>
          <w:lang w:bidi="ar"/>
        </w:rPr>
        <w:t>月</w:t>
      </w:r>
      <w:r>
        <w:rPr>
          <w:rFonts w:hint="eastAsia" w:ascii="仿宋_GB2312" w:hAnsi="Times New Roman" w:eastAsia="仿宋_GB2312" w:cs="仿宋_GB2312"/>
          <w:sz w:val="32"/>
          <w:szCs w:val="32"/>
          <w:lang w:bidi="ar"/>
        </w:rPr>
        <w:t>28</w:t>
      </w:r>
      <w:r>
        <w:rPr>
          <w:rFonts w:ascii="仿宋_GB2312" w:hAnsi="Times New Roman" w:eastAsia="仿宋_GB2312" w:cs="仿宋_GB2312"/>
          <w:sz w:val="32"/>
          <w:szCs w:val="32"/>
          <w:lang w:bidi="ar"/>
        </w:rPr>
        <w:t>日</w:t>
      </w:r>
      <w:r>
        <w:rPr>
          <w:rFonts w:hint="eastAsia" w:ascii="仿宋_GB2312" w:hAnsi="Times New Roman" w:eastAsia="仿宋_GB2312" w:cs="仿宋_GB2312"/>
          <w:sz w:val="32"/>
          <w:szCs w:val="32"/>
          <w:lang w:bidi="ar"/>
        </w:rPr>
        <w:t>。项目总投资</w:t>
      </w:r>
      <w:r>
        <w:rPr>
          <w:rStyle w:val="8"/>
          <w:rFonts w:hint="default" w:hAnsi="仿宋_GB2312" w:cs="仿宋_GB2312"/>
          <w:color w:val="auto"/>
        </w:rPr>
        <w:t>20791.67</w:t>
      </w:r>
      <w:r>
        <w:rPr>
          <w:rFonts w:hint="eastAsia" w:ascii="仿宋_GB2312" w:hAnsi="Times New Roman" w:eastAsia="仿宋_GB2312" w:cs="仿宋_GB2312"/>
          <w:sz w:val="32"/>
          <w:szCs w:val="32"/>
          <w:lang w:bidi="ar"/>
        </w:rPr>
        <w:t>万元，其中建设总投资</w:t>
      </w:r>
      <w:r>
        <w:rPr>
          <w:rStyle w:val="8"/>
          <w:rFonts w:hAnsi="仿宋_GB2312" w:cs="仿宋_GB2312"/>
          <w:color w:val="auto"/>
        </w:rPr>
        <w:t>16539.62</w:t>
      </w:r>
      <w:r>
        <w:rPr>
          <w:rFonts w:hint="eastAsia" w:ascii="仿宋_GB2312" w:hAnsi="Times New Roman" w:eastAsia="仿宋_GB2312" w:cs="仿宋_GB2312"/>
          <w:sz w:val="32"/>
          <w:szCs w:val="32"/>
          <w:lang w:bidi="ar"/>
        </w:rPr>
        <w:t>万元。该项目</w:t>
      </w:r>
      <w:r>
        <w:rPr>
          <w:rFonts w:hint="eastAsia" w:ascii="仿宋_GB2312" w:hAnsi="仿宋_GB2312" w:eastAsia="仿宋_GB2312" w:cs="仿宋_GB2312"/>
          <w:sz w:val="32"/>
          <w:szCs w:val="32"/>
        </w:rPr>
        <w:t>截</w:t>
      </w:r>
      <w:r>
        <w:rPr>
          <w:rFonts w:hint="eastAsia" w:ascii="仿宋_GB2312" w:hAnsi="Times New Roman" w:eastAsia="仿宋_GB2312" w:cs="仿宋_GB2312"/>
          <w:sz w:val="32"/>
          <w:szCs w:val="32"/>
          <w:lang w:eastAsia="zh-CN" w:bidi="ar"/>
        </w:rPr>
        <w:t>至</w:t>
      </w:r>
      <w:r>
        <w:rPr>
          <w:rFonts w:hint="eastAsia" w:ascii="仿宋_GB2312" w:hAnsi="仿宋_GB2312" w:eastAsia="仿宋_GB2312" w:cs="仿宋_GB2312"/>
          <w:sz w:val="32"/>
          <w:szCs w:val="32"/>
        </w:rPr>
        <w:t>2021年底</w:t>
      </w:r>
      <w:r>
        <w:rPr>
          <w:rFonts w:hint="eastAsia" w:ascii="仿宋_GB2312" w:hAnsi="Times New Roman" w:eastAsia="仿宋_GB2312" w:cs="仿宋_GB2312"/>
          <w:sz w:val="32"/>
          <w:szCs w:val="32"/>
          <w:lang w:bidi="ar"/>
        </w:rPr>
        <w:t>共计获得地债资金4000万元，截</w:t>
      </w:r>
      <w:r>
        <w:rPr>
          <w:rFonts w:hint="eastAsia" w:ascii="仿宋_GB2312" w:hAnsi="Times New Roman" w:eastAsia="仿宋_GB2312" w:cs="仿宋_GB2312"/>
          <w:sz w:val="32"/>
          <w:szCs w:val="32"/>
          <w:lang w:eastAsia="zh-CN" w:bidi="ar"/>
        </w:rPr>
        <w:t>至</w:t>
      </w:r>
      <w:r>
        <w:rPr>
          <w:rFonts w:hint="eastAsia" w:ascii="仿宋_GB2312" w:hAnsi="Times New Roman" w:eastAsia="仿宋_GB2312" w:cs="仿宋_GB2312"/>
          <w:sz w:val="32"/>
          <w:szCs w:val="32"/>
          <w:lang w:bidi="ar"/>
        </w:rPr>
        <w:t>目前，均已支出完毕。</w:t>
      </w:r>
    </w:p>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r>
        <w:rPr>
          <w:rFonts w:hint="eastAsia" w:ascii="楷体_GB2312" w:hAnsi="楷体_GB2312" w:eastAsia="楷体_GB2312" w:cs="楷体_GB2312"/>
          <w:sz w:val="32"/>
          <w:szCs w:val="32"/>
        </w:rPr>
        <w:t>（二）项目绩效目标</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该项目总体目标项目按工期计划推动海口市新琼小学及美兰区青少年活动中心项目35459.04平方米的教学楼、体育馆、青少年活动中心及午休楼等建设内容的建设，完善基础设施，解决本片区小学学位需求。年度绩效目标如下：</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3221"/>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6" w:type="pct"/>
            <w:vMerge w:val="restar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eastAsia="宋体"/>
                <w:b/>
                <w:sz w:val="24"/>
              </w:rPr>
            </w:pPr>
            <w:r>
              <w:rPr>
                <w:rFonts w:hint="eastAsia" w:ascii="宋体" w:hAnsi="宋体" w:eastAsia="宋体"/>
                <w:b/>
                <w:sz w:val="24"/>
              </w:rPr>
              <w:t>指标类型</w:t>
            </w:r>
          </w:p>
        </w:tc>
        <w:tc>
          <w:tcPr>
            <w:tcW w:w="1890" w:type="pct"/>
            <w:vMerge w:val="restar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eastAsia="宋体"/>
                <w:b/>
                <w:sz w:val="24"/>
              </w:rPr>
            </w:pPr>
            <w:r>
              <w:rPr>
                <w:rFonts w:hint="eastAsia" w:ascii="宋体" w:hAnsi="宋体" w:eastAsia="宋体"/>
                <w:b/>
                <w:sz w:val="24"/>
              </w:rPr>
              <w:t>指标名称</w:t>
            </w:r>
          </w:p>
        </w:tc>
        <w:tc>
          <w:tcPr>
            <w:tcW w:w="2243" w:type="pct"/>
            <w:vMerge w:val="restar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eastAsia="宋体"/>
                <w:b/>
                <w:sz w:val="24"/>
              </w:rPr>
            </w:pPr>
            <w:r>
              <w:rPr>
                <w:rFonts w:hint="eastAsia" w:ascii="宋体" w:hAnsi="宋体" w:eastAsia="宋体"/>
                <w:b/>
                <w:sz w:val="24"/>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66" w:type="pct"/>
            <w:vMerge w:val="continue"/>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eastAsia="宋体"/>
                <w:b/>
                <w:sz w:val="24"/>
              </w:rPr>
            </w:pPr>
          </w:p>
        </w:tc>
        <w:tc>
          <w:tcPr>
            <w:tcW w:w="1890" w:type="pct"/>
            <w:vMerge w:val="continue"/>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eastAsia="宋体"/>
                <w:b/>
                <w:sz w:val="24"/>
              </w:rPr>
            </w:pPr>
          </w:p>
        </w:tc>
        <w:tc>
          <w:tcPr>
            <w:tcW w:w="2243" w:type="pct"/>
            <w:vMerge w:val="continue"/>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6"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产出指标</w:t>
            </w:r>
          </w:p>
        </w:tc>
        <w:tc>
          <w:tcPr>
            <w:tcW w:w="1890"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lang w:val="en-US" w:eastAsia="zh-CN"/>
              </w:rPr>
              <w:t>获得</w:t>
            </w:r>
            <w:r>
              <w:rPr>
                <w:rFonts w:hint="eastAsia" w:ascii="宋体" w:hAnsi="宋体"/>
                <w:sz w:val="24"/>
              </w:rPr>
              <w:t>工作面面积</w:t>
            </w:r>
          </w:p>
        </w:tc>
        <w:tc>
          <w:tcPr>
            <w:tcW w:w="2243"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≥200平方米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66"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产出指标</w:t>
            </w:r>
          </w:p>
        </w:tc>
        <w:tc>
          <w:tcPr>
            <w:tcW w:w="1890"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超概算项目比例</w:t>
            </w:r>
          </w:p>
        </w:tc>
        <w:tc>
          <w:tcPr>
            <w:tcW w:w="2243"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6"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效益指标</w:t>
            </w:r>
          </w:p>
        </w:tc>
        <w:tc>
          <w:tcPr>
            <w:tcW w:w="1890"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项目受益人数</w:t>
            </w:r>
          </w:p>
        </w:tc>
        <w:tc>
          <w:tcPr>
            <w:tcW w:w="2243"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≥1000人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6"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满意度指标</w:t>
            </w:r>
          </w:p>
        </w:tc>
        <w:tc>
          <w:tcPr>
            <w:tcW w:w="1890"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受益群体满意度</w:t>
            </w:r>
          </w:p>
        </w:tc>
        <w:tc>
          <w:tcPr>
            <w:tcW w:w="2243"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80" w:lineRule="exact"/>
              <w:jc w:val="center"/>
              <w:rPr>
                <w:rFonts w:ascii="宋体" w:hAnsi="宋体"/>
                <w:sz w:val="24"/>
              </w:rPr>
            </w:pPr>
            <w:r>
              <w:rPr>
                <w:rFonts w:hint="eastAsia" w:ascii="宋体" w:hAnsi="宋体"/>
                <w:sz w:val="24"/>
              </w:rPr>
              <w:t>≥85%</w:t>
            </w:r>
          </w:p>
        </w:tc>
      </w:tr>
    </w:tbl>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（一）绩效评价目的、对象、范围</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对海口市新琼小学及美兰区青少年活动中心项目开展部门评价，促进部门提升预算绩效管理工作水平，强化部门支出责任，规范资金管理行为，提高财政资金使用效益。</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（二）绩效评价原则、评价指标体系、评价方法、评价标准</w:t>
      </w:r>
    </w:p>
    <w:p>
      <w:pPr>
        <w:keepNext w:val="0"/>
        <w:keepLines w:val="0"/>
        <w:pageBreakBefore w:val="0"/>
        <w:widowControl w:val="0"/>
        <w:kinsoku/>
        <w:wordWrap/>
        <w:overflowPunct/>
        <w:topLinePunct w:val="0"/>
        <w:bidi w:val="0"/>
        <w:adjustRightInd/>
        <w:snapToGrid/>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1.绩效评价原则</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本次部门评价坚持运用科学合理的方法，按照规范的程序，对项目绩效进行客观、公正的反映。</w:t>
      </w:r>
    </w:p>
    <w:p>
      <w:pPr>
        <w:keepNext w:val="0"/>
        <w:keepLines w:val="0"/>
        <w:pageBreakBefore w:val="0"/>
        <w:widowControl w:val="0"/>
        <w:kinsoku/>
        <w:wordWrap/>
        <w:overflowPunct/>
        <w:topLinePunct w:val="0"/>
        <w:bidi w:val="0"/>
        <w:adjustRightInd/>
        <w:snapToGrid/>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2.评价指标体系</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从项目决策、项目管理、项目绩效等三大指标开展部门评价。</w:t>
      </w:r>
    </w:p>
    <w:tbl>
      <w:tblPr>
        <w:tblStyle w:val="6"/>
        <w:tblW w:w="7237"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45"/>
        <w:gridCol w:w="906"/>
        <w:gridCol w:w="1295"/>
        <w:gridCol w:w="810"/>
        <w:gridCol w:w="1731"/>
        <w:gridCol w:w="1150"/>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一级指标</w:t>
            </w: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分值</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二级指标</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分值</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三级指标</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分值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项目决策</w:t>
            </w:r>
          </w:p>
        </w:tc>
        <w:tc>
          <w:tcPr>
            <w:tcW w:w="9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20</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项目目标</w:t>
            </w:r>
            <w:r>
              <w:rPr>
                <w:rFonts w:hint="eastAsia" w:ascii="宋体" w:hAnsi="宋体" w:eastAsia="宋体"/>
                <w:szCs w:val="21"/>
              </w:rPr>
              <w:fldChar w:fldCharType="begin"/>
            </w:r>
            <w:r>
              <w:rPr>
                <w:rFonts w:ascii="宋体" w:hAnsi="宋体" w:eastAsia="宋体"/>
                <w:szCs w:val="21"/>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MERGEFORMAT</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MERGEFORMAT</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MERGEFORMAT</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MERGEFORMAT</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目标内容</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决策过程</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决策依据</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决策程序</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资金分配</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分配办法</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分配结果</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项目管理</w:t>
            </w:r>
          </w:p>
        </w:tc>
        <w:tc>
          <w:tcPr>
            <w:tcW w:w="9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25</w:t>
            </w:r>
          </w:p>
        </w:tc>
        <w:tc>
          <w:tcPr>
            <w:tcW w:w="12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资金到位</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到位率</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到位时效</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资金管理</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10</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资金使用</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7"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财务管理</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组织实施</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10</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组织机构</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2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管理制度</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项目绩效</w:t>
            </w:r>
          </w:p>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55</w:t>
            </w:r>
          </w:p>
        </w:tc>
        <w:tc>
          <w:tcPr>
            <w:tcW w:w="129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项目产出</w:t>
            </w:r>
          </w:p>
        </w:tc>
        <w:tc>
          <w:tcPr>
            <w:tcW w:w="81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15</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产出数量</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29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1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产出质量</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29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1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产出时效</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29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1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产出成本</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29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项目效益</w:t>
            </w:r>
          </w:p>
        </w:tc>
        <w:tc>
          <w:tcPr>
            <w:tcW w:w="81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40</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经济效益</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29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1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社会效益</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29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1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环境效益</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8" w:hRule="exact"/>
          <w:jc w:val="center"/>
        </w:trPr>
        <w:tc>
          <w:tcPr>
            <w:tcW w:w="134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29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1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可持续影响</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6" w:hRule="exact"/>
          <w:jc w:val="center"/>
        </w:trPr>
        <w:tc>
          <w:tcPr>
            <w:tcW w:w="13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0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29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1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服务对象满意度</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1" w:hRule="exac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总分</w:t>
            </w: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100</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100</w:t>
            </w:r>
          </w:p>
        </w:tc>
        <w:tc>
          <w:tcPr>
            <w:tcW w:w="17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100</w:t>
            </w:r>
          </w:p>
        </w:tc>
      </w:tr>
    </w:tbl>
    <w:p>
      <w:pPr>
        <w:keepNext w:val="0"/>
        <w:keepLines w:val="0"/>
        <w:pageBreakBefore w:val="0"/>
        <w:widowControl w:val="0"/>
        <w:kinsoku/>
        <w:wordWrap/>
        <w:overflowPunct/>
        <w:topLinePunct w:val="0"/>
        <w:bidi w:val="0"/>
        <w:adjustRightInd/>
        <w:snapToGrid/>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3.评价方法</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本次部门评价采用比较法，将项目实施情况与绩效目标情况进行比较。</w:t>
      </w:r>
    </w:p>
    <w:p>
      <w:pPr>
        <w:keepNext w:val="0"/>
        <w:keepLines w:val="0"/>
        <w:pageBreakBefore w:val="0"/>
        <w:widowControl w:val="0"/>
        <w:kinsoku/>
        <w:wordWrap/>
        <w:overflowPunct/>
        <w:topLinePunct w:val="0"/>
        <w:bidi w:val="0"/>
        <w:adjustRightInd/>
        <w:snapToGrid/>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4.评价标准</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本次部门评价以年初的目标、计划、预算、定额等作为评价标准</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（三）绩效评价工作过程</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评价小组对评价资料进行认真梳理，测算分析各项指标，汇总评分并形成评价报告。</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1.对《项目支出绩效评价管理办法》（财预〔2020〕10号）进行研读，对部门评价有基本的把握和了解，归纳出进一步评价所需的信息。</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2.集中对各个评价指标逐一进行分析。</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3.评价小组汇总分析评价过程中发现的问题并对存在问题进行讨论，分别计算各评价指标所得分数，形成评价结果。</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4.根据评价结果，撰写评价报告。</w:t>
      </w:r>
    </w:p>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项目绩效评价工作小组从项目决策、项目管理、项目绩效三方面分别对该项目进行评价，项目目标设定、决策过程、资金分配、资金到位、资金管理、组织实施、项目效果等方面落实情况较好，评价得分90.79分，评价等次为优，达到了预期设定的项目绩效目标。</w:t>
      </w:r>
    </w:p>
    <w:tbl>
      <w:tblPr>
        <w:tblStyle w:val="6"/>
        <w:tblW w:w="8579"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76"/>
        <w:gridCol w:w="927"/>
        <w:gridCol w:w="1325"/>
        <w:gridCol w:w="829"/>
        <w:gridCol w:w="1770"/>
        <w:gridCol w:w="1176"/>
        <w:gridCol w:w="117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一级指标</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分值</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分值</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三级指标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分值</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项目决策</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项目目标</w:t>
            </w:r>
            <w:r>
              <w:rPr>
                <w:rFonts w:hint="eastAsia" w:ascii="宋体" w:hAnsi="宋体" w:eastAsia="宋体"/>
                <w:szCs w:val="21"/>
              </w:rPr>
              <w:fldChar w:fldCharType="begin"/>
            </w:r>
            <w:r>
              <w:rPr>
                <w:rFonts w:ascii="宋体" w:hAnsi="宋体" w:eastAsia="宋体"/>
                <w:szCs w:val="21"/>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MERGEFORMAT</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MERGEFORMAT</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MERGEFORMAT</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MERGEFORMAT</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目标内容</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szCs w:val="21"/>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决策过程</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决策依据</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决策程序</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资金分配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分配办法</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分配结果</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6</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项目管理</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25</w:t>
            </w: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资金到位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到位率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到位时效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资金管理</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资金使用</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7</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szCs w:val="21"/>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财务管理</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组织实施</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组织机构</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80" w:lineRule="exact"/>
              <w:jc w:val="center"/>
              <w:rPr>
                <w:rFonts w:ascii="宋体" w:hAnsi="宋体" w:eastAsia="宋体"/>
                <w:szCs w:val="21"/>
              </w:rPr>
            </w:pPr>
          </w:p>
        </w:tc>
        <w:tc>
          <w:tcPr>
            <w:tcW w:w="177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管理制度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9</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项目绩效</w:t>
            </w:r>
          </w:p>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55</w:t>
            </w: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项目产出</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15</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产出数量</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产出质量</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产出时效</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产出成本</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项目效益</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40</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经济效益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社会效益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环境效益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可持续影响</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7.79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927"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325"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829"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p>
        </w:tc>
        <w:tc>
          <w:tcPr>
            <w:tcW w:w="177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服务对象满意度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szCs w:val="21"/>
              </w:rPr>
            </w:pPr>
            <w:r>
              <w:rPr>
                <w:rFonts w:hint="eastAsia" w:ascii="宋体" w:hAnsi="宋体" w:eastAsia="宋体"/>
                <w:szCs w:val="21"/>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总分</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100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100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bCs/>
                <w:szCs w:val="21"/>
              </w:rPr>
              <w:t>100</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bCs/>
                <w:szCs w:val="21"/>
              </w:rPr>
              <w:t>90.79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8" w:hRule="exact"/>
          <w:jc w:val="center"/>
        </w:trPr>
        <w:tc>
          <w:tcPr>
            <w:tcW w:w="445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eastAsia="宋体"/>
                <w:bCs/>
                <w:szCs w:val="21"/>
              </w:rPr>
            </w:pPr>
            <w:r>
              <w:rPr>
                <w:rFonts w:hint="eastAsia" w:ascii="宋体" w:hAnsi="宋体" w:eastAsia="宋体"/>
                <w:szCs w:val="21"/>
              </w:rPr>
              <w:t>评价等次</w:t>
            </w:r>
          </w:p>
        </w:tc>
        <w:tc>
          <w:tcPr>
            <w:tcW w:w="41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80" w:lineRule="exact"/>
              <w:jc w:val="center"/>
              <w:textAlignment w:val="center"/>
              <w:rPr>
                <w:rFonts w:ascii="宋体" w:hAnsi="宋体"/>
                <w:bCs/>
                <w:szCs w:val="21"/>
              </w:rPr>
            </w:pPr>
            <w:r>
              <w:rPr>
                <w:rFonts w:hint="eastAsia" w:ascii="宋体" w:hAnsi="宋体"/>
                <w:bCs/>
                <w:szCs w:val="21"/>
              </w:rPr>
              <w:t>优</w:t>
            </w:r>
          </w:p>
        </w:tc>
      </w:tr>
    </w:tbl>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（一）项目决策情况</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根据《海口市中小学布局专项规划（2020-2035年）》需求测算，美兰区2035年底需要新建九年义务教育学校67所才能满足民众需求。为解决江东新区小学学位紧缺问题，江东新区管理局决定启动海口市新琼小学及美兰区青少年活动中心项目建设。该项目列入2021年海口市政府投资项目计划。项目设定了绩效目标，绩效目标与实际工作内容具有相关性。项目预算编制科学合理，预算资金分配依据充分。</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（二）项目过程情况</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2020年我局制定并印发了《政府投资项目管理办法（试行）》，建立了有效的项目管理制度，保证了项目安全有效运行，确保了项目顺利实施，取得明显成效。项目资金支付严格履行审批程序，使用规范，会计核算结果真实、准确。此次绩效评价过程中未发现挤占或挪用项目资金的情况。</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该项目2021年获得地债资金4000万元，</w:t>
      </w:r>
      <w:r>
        <w:rPr>
          <w:rFonts w:hint="eastAsia" w:ascii="仿宋_GB2312" w:hAnsi="Times New Roman" w:eastAsia="仿宋_GB2312" w:cs="仿宋_GB2312"/>
          <w:sz w:val="32"/>
          <w:szCs w:val="32"/>
          <w:lang w:val="en-US" w:eastAsia="zh-CN" w:bidi="ar"/>
        </w:rPr>
        <w:t>当年</w:t>
      </w:r>
      <w:r>
        <w:rPr>
          <w:rFonts w:hint="eastAsia" w:ascii="仿宋_GB2312" w:hAnsi="Times New Roman" w:eastAsia="仿宋_GB2312" w:cs="仿宋_GB2312"/>
          <w:sz w:val="32"/>
          <w:szCs w:val="32"/>
          <w:lang w:bidi="ar"/>
        </w:rPr>
        <w:t>支出</w:t>
      </w:r>
      <w:r>
        <w:rPr>
          <w:rFonts w:ascii="仿宋_GB2312" w:hAnsi="Times New Roman" w:eastAsia="仿宋_GB2312" w:cs="仿宋_GB2312"/>
          <w:sz w:val="32"/>
          <w:szCs w:val="32"/>
          <w:lang w:bidi="ar"/>
        </w:rPr>
        <w:t>317.05</w:t>
      </w:r>
      <w:r>
        <w:rPr>
          <w:rFonts w:hint="eastAsia" w:ascii="仿宋_GB2312" w:hAnsi="Times New Roman" w:eastAsia="仿宋_GB2312" w:cs="仿宋_GB2312"/>
          <w:sz w:val="32"/>
          <w:szCs w:val="32"/>
          <w:lang w:bidi="ar"/>
        </w:rPr>
        <w:t>万元，支出</w:t>
      </w:r>
      <w:r>
        <w:rPr>
          <w:rFonts w:ascii="仿宋_GB2312" w:hAnsi="Times New Roman" w:eastAsia="仿宋_GB2312" w:cs="仿宋_GB2312"/>
          <w:sz w:val="32"/>
          <w:szCs w:val="32"/>
          <w:lang w:bidi="ar"/>
        </w:rPr>
        <w:t>7.93</w:t>
      </w:r>
      <w:r>
        <w:rPr>
          <w:rFonts w:hint="eastAsia" w:ascii="仿宋_GB2312" w:hAnsi="Times New Roman" w:eastAsia="仿宋_GB2312" w:cs="仿宋_GB2312"/>
          <w:sz w:val="32"/>
          <w:szCs w:val="32"/>
          <w:lang w:bidi="ar"/>
        </w:rPr>
        <w:t>%。</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（三）项目产出情况</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该项目资金到位及时，项目顺利实施，2021年共计完成投资52030万元（其中土地款50947</w:t>
      </w:r>
      <w:r>
        <w:rPr>
          <w:rFonts w:hint="eastAsia" w:ascii="仿宋_GB2312" w:hAnsi="Times New Roman" w:eastAsia="仿宋_GB2312" w:cs="仿宋_GB2312"/>
          <w:sz w:val="32"/>
          <w:szCs w:val="32"/>
          <w:lang w:val="en-US" w:eastAsia="zh-CN" w:bidi="ar"/>
        </w:rPr>
        <w:t>万</w:t>
      </w:r>
      <w:r>
        <w:rPr>
          <w:rFonts w:hint="eastAsia" w:ascii="仿宋_GB2312" w:hAnsi="Times New Roman" w:eastAsia="仿宋_GB2312" w:cs="仿宋_GB2312"/>
          <w:sz w:val="32"/>
          <w:szCs w:val="32"/>
          <w:lang w:bidi="ar"/>
        </w:rPr>
        <w:t>元），已获得工作面20000平方米，且未超概算，项目完成程度较好，实现了预定预算目标。</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（四）项目效益情况</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该项目建成后为本片区提供学位1620个，能为学校师生提供更优质的教育环境，为该片区教育事业发展打下良好基础，是一项为民、惠民、利民的工程。</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项目现阶段已按期完成计划施工要求，目前正在施工桩基础、基坑支护，总体完成约30%等。严格执行预算，确保质量，未发生安全事故，保质保量完成任务。</w:t>
      </w:r>
    </w:p>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五、主要经验及做法、存在的问题及原因分析</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无。</w:t>
      </w:r>
    </w:p>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无。</w:t>
      </w:r>
    </w:p>
    <w:p>
      <w:pPr>
        <w:keepNext w:val="0"/>
        <w:keepLines w:val="0"/>
        <w:pageBreakBefore w:val="0"/>
        <w:widowControl w:val="0"/>
        <w:kinsoku/>
        <w:wordWrap/>
        <w:overflowPunct/>
        <w:topLinePunct w:val="0"/>
        <w:bidi w:val="0"/>
        <w:adjustRightInd/>
        <w:snapToGrid/>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七、其他需要说明的问题</w:t>
      </w:r>
    </w:p>
    <w:p>
      <w:pPr>
        <w:keepNext w:val="0"/>
        <w:keepLines w:val="0"/>
        <w:pageBreakBefore w:val="0"/>
        <w:widowControl w:val="0"/>
        <w:kinsoku/>
        <w:wordWrap/>
        <w:overflowPunct/>
        <w:topLinePunct w:val="0"/>
        <w:autoSpaceDE w:val="0"/>
        <w:bidi w:val="0"/>
        <w:adjustRightInd/>
        <w:snapToGrid/>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NzcwMGNlMmU0NTYwMTdkOTdmNzg0YTQ3YWJmYjYifQ=="/>
  </w:docVars>
  <w:rsids>
    <w:rsidRoot w:val="00172A27"/>
    <w:rsid w:val="0000486B"/>
    <w:rsid w:val="001364CD"/>
    <w:rsid w:val="007F2BC0"/>
    <w:rsid w:val="02233DF4"/>
    <w:rsid w:val="023A5912"/>
    <w:rsid w:val="02CB6390"/>
    <w:rsid w:val="040B460D"/>
    <w:rsid w:val="04621786"/>
    <w:rsid w:val="05BF5710"/>
    <w:rsid w:val="0626600A"/>
    <w:rsid w:val="06F95DEE"/>
    <w:rsid w:val="08093106"/>
    <w:rsid w:val="08AF5C9C"/>
    <w:rsid w:val="0A092149"/>
    <w:rsid w:val="0A787E3B"/>
    <w:rsid w:val="0AC273C6"/>
    <w:rsid w:val="0AC94BD1"/>
    <w:rsid w:val="0BD17C84"/>
    <w:rsid w:val="0BDE5F87"/>
    <w:rsid w:val="0DBB40F2"/>
    <w:rsid w:val="0DE47EA0"/>
    <w:rsid w:val="0E9A79D6"/>
    <w:rsid w:val="111C1707"/>
    <w:rsid w:val="126332E8"/>
    <w:rsid w:val="12AB34F1"/>
    <w:rsid w:val="135734FF"/>
    <w:rsid w:val="14B51D19"/>
    <w:rsid w:val="14FA1115"/>
    <w:rsid w:val="154455E1"/>
    <w:rsid w:val="15481788"/>
    <w:rsid w:val="1652225F"/>
    <w:rsid w:val="16630DA5"/>
    <w:rsid w:val="1682257B"/>
    <w:rsid w:val="16824530"/>
    <w:rsid w:val="180C39B2"/>
    <w:rsid w:val="190A44B1"/>
    <w:rsid w:val="19263C3A"/>
    <w:rsid w:val="19316574"/>
    <w:rsid w:val="19795372"/>
    <w:rsid w:val="19AA72EE"/>
    <w:rsid w:val="1AC1553C"/>
    <w:rsid w:val="1B007691"/>
    <w:rsid w:val="1C110FC6"/>
    <w:rsid w:val="1CB1400C"/>
    <w:rsid w:val="1DBB2B25"/>
    <w:rsid w:val="1E122B23"/>
    <w:rsid w:val="1E312225"/>
    <w:rsid w:val="1E5510E3"/>
    <w:rsid w:val="1F25228A"/>
    <w:rsid w:val="200A62DB"/>
    <w:rsid w:val="20281024"/>
    <w:rsid w:val="20B5758E"/>
    <w:rsid w:val="23335B9D"/>
    <w:rsid w:val="23EF1B0E"/>
    <w:rsid w:val="247A1B51"/>
    <w:rsid w:val="27E81586"/>
    <w:rsid w:val="28B735AC"/>
    <w:rsid w:val="29B57C78"/>
    <w:rsid w:val="29F943A2"/>
    <w:rsid w:val="2AB57C33"/>
    <w:rsid w:val="2AE457DA"/>
    <w:rsid w:val="2B336677"/>
    <w:rsid w:val="2C192B4A"/>
    <w:rsid w:val="2C8221BC"/>
    <w:rsid w:val="2D7160E8"/>
    <w:rsid w:val="2D9F1EA3"/>
    <w:rsid w:val="2DA417DD"/>
    <w:rsid w:val="2E9826F7"/>
    <w:rsid w:val="2EBC158E"/>
    <w:rsid w:val="30483FA0"/>
    <w:rsid w:val="30BB4EA6"/>
    <w:rsid w:val="3136638A"/>
    <w:rsid w:val="31437427"/>
    <w:rsid w:val="326C58E4"/>
    <w:rsid w:val="340F7934"/>
    <w:rsid w:val="34C8661B"/>
    <w:rsid w:val="35F728BC"/>
    <w:rsid w:val="366A4DA8"/>
    <w:rsid w:val="3714005C"/>
    <w:rsid w:val="37372992"/>
    <w:rsid w:val="37C51992"/>
    <w:rsid w:val="38042CB3"/>
    <w:rsid w:val="38B37090"/>
    <w:rsid w:val="390C1A27"/>
    <w:rsid w:val="3ABA6910"/>
    <w:rsid w:val="3AD24F08"/>
    <w:rsid w:val="3B0A2EB0"/>
    <w:rsid w:val="3B500164"/>
    <w:rsid w:val="3B59178B"/>
    <w:rsid w:val="3C444B0B"/>
    <w:rsid w:val="3E4B066F"/>
    <w:rsid w:val="3FBB4BCB"/>
    <w:rsid w:val="405D14CB"/>
    <w:rsid w:val="40661A22"/>
    <w:rsid w:val="41253788"/>
    <w:rsid w:val="418D0587"/>
    <w:rsid w:val="41B37671"/>
    <w:rsid w:val="435E1F18"/>
    <w:rsid w:val="449F4DAD"/>
    <w:rsid w:val="44B278BB"/>
    <w:rsid w:val="44B939E4"/>
    <w:rsid w:val="461E0D18"/>
    <w:rsid w:val="464F2DD5"/>
    <w:rsid w:val="467C5C77"/>
    <w:rsid w:val="47C55320"/>
    <w:rsid w:val="49B72F9D"/>
    <w:rsid w:val="49C0331C"/>
    <w:rsid w:val="4AA6125F"/>
    <w:rsid w:val="4B5A13DB"/>
    <w:rsid w:val="4B820499"/>
    <w:rsid w:val="4C0E4FAD"/>
    <w:rsid w:val="4C1448F5"/>
    <w:rsid w:val="4C625BDA"/>
    <w:rsid w:val="4D650FE4"/>
    <w:rsid w:val="4DFF0279"/>
    <w:rsid w:val="4E414DDC"/>
    <w:rsid w:val="4E583744"/>
    <w:rsid w:val="4FB54242"/>
    <w:rsid w:val="50EB66E3"/>
    <w:rsid w:val="52C426C7"/>
    <w:rsid w:val="54D85B6D"/>
    <w:rsid w:val="54E47B8F"/>
    <w:rsid w:val="54FE4F3A"/>
    <w:rsid w:val="55A57892"/>
    <w:rsid w:val="57643C9C"/>
    <w:rsid w:val="578A390E"/>
    <w:rsid w:val="57D636C9"/>
    <w:rsid w:val="59D74C62"/>
    <w:rsid w:val="59E1651D"/>
    <w:rsid w:val="5A3B0856"/>
    <w:rsid w:val="5A3D6919"/>
    <w:rsid w:val="5A4B6F13"/>
    <w:rsid w:val="5A6A79F7"/>
    <w:rsid w:val="5BF510A0"/>
    <w:rsid w:val="5EC05347"/>
    <w:rsid w:val="5F367622"/>
    <w:rsid w:val="5F3F3404"/>
    <w:rsid w:val="5F905550"/>
    <w:rsid w:val="617F6B7B"/>
    <w:rsid w:val="62806640"/>
    <w:rsid w:val="63636628"/>
    <w:rsid w:val="65411CA7"/>
    <w:rsid w:val="65694914"/>
    <w:rsid w:val="67B21E4C"/>
    <w:rsid w:val="68024B96"/>
    <w:rsid w:val="68903265"/>
    <w:rsid w:val="6A893A8D"/>
    <w:rsid w:val="6B657B2B"/>
    <w:rsid w:val="6C02565A"/>
    <w:rsid w:val="6C8B5B44"/>
    <w:rsid w:val="6E6E68A0"/>
    <w:rsid w:val="6EB377AA"/>
    <w:rsid w:val="6FB6700B"/>
    <w:rsid w:val="701D3C49"/>
    <w:rsid w:val="710022AC"/>
    <w:rsid w:val="725E09BE"/>
    <w:rsid w:val="727437E0"/>
    <w:rsid w:val="74C3652D"/>
    <w:rsid w:val="74FE636F"/>
    <w:rsid w:val="764C182F"/>
    <w:rsid w:val="765F29F1"/>
    <w:rsid w:val="7704672F"/>
    <w:rsid w:val="77175582"/>
    <w:rsid w:val="791F742A"/>
    <w:rsid w:val="796A42B2"/>
    <w:rsid w:val="79FF4DD4"/>
    <w:rsid w:val="7B2F66D1"/>
    <w:rsid w:val="7B76655D"/>
    <w:rsid w:val="7BBF5BC9"/>
    <w:rsid w:val="7CE205E6"/>
    <w:rsid w:val="7EDF397E"/>
    <w:rsid w:val="7FAF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964"/>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style01"/>
    <w:basedOn w:val="7"/>
    <w:qFormat/>
    <w:uiPriority w:val="0"/>
    <w:rPr>
      <w:rFonts w:hint="eastAsia" w:ascii="仿宋_GB2312" w:eastAsia="仿宋_GB2312"/>
      <w:color w:val="000000"/>
      <w:sz w:val="32"/>
      <w:szCs w:val="32"/>
    </w:rPr>
  </w:style>
  <w:style w:type="character" w:customStyle="1" w:styleId="9">
    <w:name w:val="页眉 字符"/>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2127</Words>
  <Characters>2301</Characters>
  <Lines>51</Lines>
  <Paragraphs>14</Paragraphs>
  <TotalTime>1</TotalTime>
  <ScaleCrop>false</ScaleCrop>
  <LinksUpToDate>false</LinksUpToDate>
  <CharactersWithSpaces>2301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2021-09-30T09:36:00Z</dcterms:created>
  <dc:creator>恋</dc:creator>
  <cp:lastModifiedBy>阳光一生</cp:lastModifiedBy>
  <dcterms:modified xsi:type="dcterms:W3CDTF">2022-10-25T12:02:24Z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873CA7FF3061477A93D6804438DC7808</vt:lpwstr>
  </property>
</Properties>
</file>