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80" w:lineRule="exact"/>
        <w:jc w:val="center"/>
        <w:rPr>
          <w:rFonts w:ascii="宋体" w:hAnsi="宋体" w:eastAsia="宋体" w:cs="宋体"/>
          <w:b/>
          <w:bCs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</w:rPr>
        <w:t>海口江东新区管理局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80" w:lineRule="exact"/>
        <w:jc w:val="center"/>
        <w:rPr>
          <w:b/>
          <w:bCs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</w:rPr>
        <w:t>2021年知行路项目支出绩效评价报告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一、基本情况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8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（一）项目概况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80" w:lineRule="exact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ascii="仿宋_GB2312" w:hAnsi="Times New Roman" w:eastAsia="仿宋_GB2312" w:cs="仿宋_GB2312"/>
          <w:sz w:val="32"/>
          <w:szCs w:val="32"/>
          <w:highlight w:val="none"/>
          <w:lang w:bidi="ar"/>
        </w:rPr>
        <w:t>业主单位</w:t>
      </w: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bidi="ar"/>
        </w:rPr>
        <w:t>为</w:t>
      </w:r>
      <w:r>
        <w:rPr>
          <w:rFonts w:ascii="仿宋_GB2312" w:hAnsi="Times New Roman" w:eastAsia="仿宋_GB2312" w:cs="仿宋_GB2312"/>
          <w:sz w:val="32"/>
          <w:szCs w:val="32"/>
          <w:highlight w:val="none"/>
          <w:lang w:bidi="ar"/>
        </w:rPr>
        <w:t>海口江东新区基础建设有限公司</w:t>
      </w: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bidi="ar"/>
        </w:rPr>
        <w:t>，项目位于</w:t>
      </w:r>
      <w:r>
        <w:rPr>
          <w:rFonts w:ascii="仿宋_GB2312" w:hAnsi="Times New Roman" w:eastAsia="仿宋_GB2312" w:cs="仿宋_GB2312"/>
          <w:sz w:val="32"/>
          <w:szCs w:val="32"/>
          <w:highlight w:val="none"/>
          <w:lang w:bidi="ar"/>
        </w:rPr>
        <w:t>江东新区。本项目</w:t>
      </w:r>
      <w:r>
        <w:rPr>
          <w:rFonts w:hint="eastAsia" w:ascii="Times New Roman" w:hAnsi="Times New Roman" w:eastAsia="仿宋_GB2312"/>
          <w:bCs/>
          <w:sz w:val="28"/>
          <w:szCs w:val="28"/>
          <w:highlight w:val="none"/>
        </w:rPr>
        <w:t>起点西起桂高二横路，终点东至东寨港大道，设计路线总长约3.765km</w:t>
      </w:r>
      <w:r>
        <w:rPr>
          <w:rFonts w:ascii="仿宋_GB2312" w:hAnsi="Times New Roman" w:eastAsia="仿宋_GB2312" w:cs="仿宋_GB2312"/>
          <w:sz w:val="32"/>
          <w:szCs w:val="32"/>
          <w:highlight w:val="none"/>
          <w:lang w:bidi="ar"/>
        </w:rPr>
        <w:t>，道路红线宽度</w:t>
      </w: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bidi="ar"/>
        </w:rPr>
        <w:t>24</w:t>
      </w:r>
      <w:r>
        <w:rPr>
          <w:rFonts w:ascii="仿宋_GB2312" w:hAnsi="Times New Roman" w:eastAsia="仿宋_GB2312" w:cs="仿宋_GB2312"/>
          <w:sz w:val="32"/>
          <w:szCs w:val="32"/>
          <w:highlight w:val="none"/>
          <w:lang w:bidi="ar"/>
        </w:rPr>
        <w:t>～</w:t>
      </w: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bidi="ar"/>
        </w:rPr>
        <w:t>30</w:t>
      </w:r>
      <w:r>
        <w:rPr>
          <w:rFonts w:ascii="仿宋_GB2312" w:hAnsi="Times New Roman" w:eastAsia="仿宋_GB2312" w:cs="仿宋_GB2312"/>
          <w:sz w:val="32"/>
          <w:szCs w:val="32"/>
          <w:highlight w:val="none"/>
          <w:lang w:bidi="ar"/>
        </w:rPr>
        <w:t>m；工程建设内容包含道路工程、</w:t>
      </w: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bidi="ar"/>
        </w:rPr>
        <w:t>桥梁工程、</w:t>
      </w:r>
      <w:r>
        <w:rPr>
          <w:rFonts w:ascii="仿宋_GB2312" w:hAnsi="Times New Roman" w:eastAsia="仿宋_GB2312" w:cs="仿宋_GB2312"/>
          <w:sz w:val="32"/>
          <w:szCs w:val="32"/>
          <w:highlight w:val="none"/>
          <w:lang w:bidi="ar"/>
        </w:rPr>
        <w:t>给水工程、排水工程、绿化工程、照明工程、交通工程、缆线管廊工程等。</w:t>
      </w: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bidi="ar"/>
        </w:rPr>
        <w:t>项目工期为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lang w:bidi="ar"/>
        </w:rPr>
        <w:t>2021</w:t>
      </w:r>
      <w:r>
        <w:rPr>
          <w:rFonts w:ascii="仿宋_GB2312" w:hAnsi="Times New Roman" w:eastAsia="仿宋_GB2312" w:cs="仿宋_GB2312"/>
          <w:sz w:val="32"/>
          <w:szCs w:val="32"/>
          <w:highlight w:val="none"/>
          <w:lang w:bidi="ar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bidi="ar"/>
        </w:rPr>
        <w:t>12</w:t>
      </w:r>
      <w:r>
        <w:rPr>
          <w:rFonts w:ascii="仿宋_GB2312" w:hAnsi="Times New Roman" w:eastAsia="仿宋_GB2312" w:cs="仿宋_GB2312"/>
          <w:sz w:val="32"/>
          <w:szCs w:val="32"/>
          <w:highlight w:val="none"/>
          <w:lang w:bidi="ar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bidi="ar"/>
        </w:rPr>
        <w:t>6</w:t>
      </w:r>
      <w:r>
        <w:rPr>
          <w:rFonts w:ascii="仿宋_GB2312" w:hAnsi="Times New Roman" w:eastAsia="仿宋_GB2312" w:cs="仿宋_GB2312"/>
          <w:sz w:val="32"/>
          <w:szCs w:val="32"/>
          <w:highlight w:val="none"/>
          <w:lang w:bidi="ar"/>
        </w:rPr>
        <w:t>日至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lang w:bidi="ar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bidi="ar"/>
        </w:rPr>
        <w:t>3</w:t>
      </w:r>
      <w:r>
        <w:rPr>
          <w:rFonts w:ascii="仿宋_GB2312" w:hAnsi="Times New Roman" w:eastAsia="仿宋_GB2312" w:cs="仿宋_GB2312"/>
          <w:sz w:val="32"/>
          <w:szCs w:val="32"/>
          <w:highlight w:val="none"/>
          <w:lang w:bidi="ar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bidi="ar"/>
        </w:rPr>
        <w:t>5</w:t>
      </w:r>
      <w:r>
        <w:rPr>
          <w:rFonts w:ascii="仿宋_GB2312" w:hAnsi="Times New Roman" w:eastAsia="仿宋_GB2312" w:cs="仿宋_GB2312"/>
          <w:sz w:val="32"/>
          <w:szCs w:val="32"/>
          <w:highlight w:val="none"/>
          <w:lang w:bidi="ar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bidi="ar"/>
        </w:rPr>
        <w:t>30</w:t>
      </w:r>
      <w:r>
        <w:rPr>
          <w:rFonts w:ascii="仿宋_GB2312" w:hAnsi="Times New Roman" w:eastAsia="仿宋_GB2312" w:cs="仿宋_GB2312"/>
          <w:sz w:val="32"/>
          <w:szCs w:val="32"/>
          <w:highlight w:val="none"/>
          <w:lang w:bidi="ar"/>
        </w:rPr>
        <w:t>日</w:t>
      </w: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bidi="ar"/>
        </w:rPr>
        <w:t>。项目总投资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lang w:bidi="ar"/>
        </w:rPr>
        <w:t>40709.46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bidi="ar"/>
        </w:rPr>
        <w:t>万元，其中建设总投资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lang w:bidi="ar"/>
        </w:rPr>
        <w:t>30266.43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bidi="ar"/>
        </w:rPr>
        <w:t>万元，征地拆迁费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lang w:bidi="ar"/>
        </w:rPr>
        <w:t>5559.54</w:t>
      </w: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bidi="ar"/>
        </w:rPr>
        <w:t>万元。该项目共计获得地债资金5000万元，已支出</w:t>
      </w:r>
      <w:r>
        <w:rPr>
          <w:rFonts w:ascii="仿宋_GB2312" w:hAnsi="Times New Roman" w:eastAsia="仿宋_GB2312" w:cs="仿宋_GB2312"/>
          <w:sz w:val="32"/>
          <w:szCs w:val="32"/>
          <w:highlight w:val="none"/>
          <w:lang w:bidi="ar"/>
        </w:rPr>
        <w:t>4579.15</w:t>
      </w: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bidi="ar"/>
        </w:rPr>
        <w:t>万元，支出</w:t>
      </w:r>
      <w:r>
        <w:rPr>
          <w:rFonts w:ascii="仿宋_GB2312" w:hAnsi="Times New Roman" w:eastAsia="仿宋_GB2312" w:cs="仿宋_GB2312"/>
          <w:sz w:val="32"/>
          <w:szCs w:val="32"/>
          <w:highlight w:val="none"/>
          <w:lang w:bidi="ar"/>
        </w:rPr>
        <w:t>91.58%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（二）项目绩效目标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知行路项目整体效益目标已按时完成，绩效自评分数96.12分，自评等级优，年度绩效目标如下：</w:t>
      </w:r>
    </w:p>
    <w:tbl>
      <w:tblPr>
        <w:tblStyle w:val="7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9"/>
        <w:gridCol w:w="4480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b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b/>
                <w:sz w:val="24"/>
                <w:highlight w:val="none"/>
              </w:rPr>
              <w:t>指标类型</w:t>
            </w:r>
          </w:p>
        </w:tc>
        <w:tc>
          <w:tcPr>
            <w:tcW w:w="262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b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b/>
                <w:sz w:val="24"/>
                <w:highlight w:val="none"/>
              </w:rPr>
              <w:t>指标名称</w:t>
            </w:r>
          </w:p>
        </w:tc>
        <w:tc>
          <w:tcPr>
            <w:tcW w:w="118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b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b/>
                <w:sz w:val="24"/>
                <w:highlight w:val="none"/>
              </w:rPr>
              <w:t>绩效目标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5" w:type="pct"/>
            <w:vMerge w:val="continue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b/>
                <w:sz w:val="24"/>
                <w:highlight w:val="none"/>
              </w:rPr>
            </w:pPr>
          </w:p>
        </w:tc>
        <w:tc>
          <w:tcPr>
            <w:tcW w:w="2629" w:type="pct"/>
            <w:vMerge w:val="continue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b/>
                <w:sz w:val="24"/>
                <w:highlight w:val="none"/>
              </w:rPr>
            </w:pPr>
          </w:p>
        </w:tc>
        <w:tc>
          <w:tcPr>
            <w:tcW w:w="1185" w:type="pct"/>
            <w:vMerge w:val="continue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5" w:type="pct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产出指标</w:t>
            </w:r>
          </w:p>
        </w:tc>
        <w:tc>
          <w:tcPr>
            <w:tcW w:w="2629" w:type="pct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获得工作面长度</w:t>
            </w:r>
          </w:p>
        </w:tc>
        <w:tc>
          <w:tcPr>
            <w:tcW w:w="1185" w:type="pct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≥</w:t>
            </w:r>
            <w:r>
              <w:rPr>
                <w:rFonts w:ascii="宋体" w:hAnsi="宋体" w:eastAsia="宋体"/>
                <w:sz w:val="24"/>
                <w:highlight w:val="none"/>
              </w:rPr>
              <w:t>100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5" w:type="pct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产出指标</w:t>
            </w:r>
          </w:p>
        </w:tc>
        <w:tc>
          <w:tcPr>
            <w:tcW w:w="2629" w:type="pct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超概算项目比例</w:t>
            </w:r>
          </w:p>
        </w:tc>
        <w:tc>
          <w:tcPr>
            <w:tcW w:w="1185" w:type="pct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≤5%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5" w:type="pct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效益指标</w:t>
            </w:r>
          </w:p>
        </w:tc>
        <w:tc>
          <w:tcPr>
            <w:tcW w:w="2629" w:type="pct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项目受益人数</w:t>
            </w:r>
          </w:p>
        </w:tc>
        <w:tc>
          <w:tcPr>
            <w:tcW w:w="1185" w:type="pct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≥3000人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5" w:type="pct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满意度指标</w:t>
            </w:r>
          </w:p>
        </w:tc>
        <w:tc>
          <w:tcPr>
            <w:tcW w:w="2629" w:type="pct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受益群体满意度</w:t>
            </w:r>
          </w:p>
        </w:tc>
        <w:tc>
          <w:tcPr>
            <w:tcW w:w="1185" w:type="pct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</w:rPr>
              <w:t>≥85%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二、绩效评价工作开展情况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8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（一）绩效评价目的、对象、范围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对知行路项目开展部门评价，促进部门提升预算绩效管理工作水平，强化部门支出责任，规范资金管理行为，提高财政资金使用效益。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8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（二）绩效评价原则、评价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指标体系、评价方法、评价标准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8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1.绩效评价原则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本次部门评价坚持运用科学合理的方法，按照规范的程序，对项目绩效进行客观、公正的反映。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8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2.评价指标体系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80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从项目决策、项目管理、项目绩效等三大指标开展部门评价。</w:t>
      </w:r>
    </w:p>
    <w:tbl>
      <w:tblPr>
        <w:tblStyle w:val="7"/>
        <w:tblW w:w="7403" w:type="dxa"/>
        <w:jc w:val="center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927"/>
        <w:gridCol w:w="1325"/>
        <w:gridCol w:w="829"/>
        <w:gridCol w:w="1770"/>
        <w:gridCol w:w="1176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一级指标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分值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二级指标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分值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三级指标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分值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项目决策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20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项目目标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begin"/>
            </w:r>
            <w:r>
              <w:rPr>
                <w:rFonts w:ascii="宋体" w:hAnsi="宋体" w:eastAsia="宋体"/>
                <w:szCs w:val="21"/>
                <w:highlight w:val="none"/>
              </w:rPr>
              <w:instrText xml:space="preserve">INCLUDEPICTURE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1.png"\*MERGEFORMAT</w:instrTex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drawing>
                <wp:inline distT="0" distB="0" distL="114300" distR="114300">
                  <wp:extent cx="19050" cy="19050"/>
                  <wp:effectExtent l="0" t="0" r="0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end"/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begin"/>
            </w:r>
            <w:r>
              <w:rPr>
                <w:rFonts w:ascii="宋体" w:hAnsi="宋体" w:eastAsia="宋体"/>
                <w:szCs w:val="21"/>
                <w:highlight w:val="none"/>
              </w:rPr>
              <w:instrText xml:space="preserve">INCLUDEPICTURE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2.png"\*MERGEFORMAT</w:instrTex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drawing>
                <wp:inline distT="0" distB="0" distL="114300" distR="114300">
                  <wp:extent cx="19050" cy="19050"/>
                  <wp:effectExtent l="0" t="0" r="0" b="0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end"/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begin"/>
            </w:r>
            <w:r>
              <w:rPr>
                <w:rFonts w:ascii="宋体" w:hAnsi="宋体" w:eastAsia="宋体"/>
                <w:szCs w:val="21"/>
                <w:highlight w:val="none"/>
              </w:rPr>
              <w:instrText xml:space="preserve">INCLUDEPICTURE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3.png"\*MERGEFORMAT</w:instrTex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drawing>
                <wp:inline distT="0" distB="0" distL="114300" distR="114300">
                  <wp:extent cx="19050" cy="1905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end"/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begin"/>
            </w:r>
            <w:r>
              <w:rPr>
                <w:rFonts w:ascii="宋体" w:hAnsi="宋体" w:eastAsia="宋体"/>
                <w:szCs w:val="21"/>
                <w:highlight w:val="none"/>
              </w:rPr>
              <w:instrText xml:space="preserve">INCLUDEPICTURE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5.png"\*MERGEFORMAT</w:instrTex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drawing>
                <wp:inline distT="0" distB="0" distL="114300" distR="114300">
                  <wp:extent cx="19050" cy="1905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end"/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目标内容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决策过程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决策依据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决策程序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资金分配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分配办法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分配结果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项目管理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25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资金到位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到位率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到位时效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资金管理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资金使用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7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财务管理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组织实施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组织机构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管理制度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项目绩效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55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项目产出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15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产出数量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产出质量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产出时效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产出成本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项目效益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40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经济效益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社会效益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环境效益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可持续影响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服务对象满意度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总分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100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100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100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8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3.评价方法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本次部门评价采用比较法，将项目实施情况与绩效目标情况进行比较。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8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4.评价标准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本次部门评价以年初的目标、计划、预算、定额等作为评价标准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（三）绩效评价工作过程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评价小组对评价资料进行认真梳理，测算分析各项指标，汇总评分并形成评价报告。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1.对《项目支出绩效评价管理办法》（财预〔2020〕10号）进行研读，对部门评价有基本的把握和了解，归纳出进一步评价所需的信息。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2.集中对各个评价指标逐一进行分析。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3.评价小组汇总分析评价过程中发现的问题并对存在问题进行讨论，分别计算各评价指标所得分数，形成评价结果。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4.根据评价结果，撰写评价报告。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三、综合评价情况及评价结论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项目绩效评价工作小组从项目决策、项目管理、项目绩效三方面分别对该项目进行评价，项目目标设定、决策过程、资金分配、资金到位、资金管理、组织实施、项目效果等方面落实情况较好，评价得分99分，评价等次为优，达到了预期设定的项目绩效目标。</w:t>
      </w:r>
    </w:p>
    <w:tbl>
      <w:tblPr>
        <w:tblStyle w:val="7"/>
        <w:tblW w:w="8579" w:type="dxa"/>
        <w:jc w:val="center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927"/>
        <w:gridCol w:w="1325"/>
        <w:gridCol w:w="829"/>
        <w:gridCol w:w="1770"/>
        <w:gridCol w:w="1176"/>
        <w:gridCol w:w="1176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一级指标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分值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二级指标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分值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三级指标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分值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得分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项目决策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20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项目目标</w: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begin"/>
            </w:r>
            <w:r>
              <w:rPr>
                <w:rFonts w:ascii="宋体" w:hAnsi="宋体" w:eastAsia="宋体"/>
                <w:szCs w:val="21"/>
                <w:highlight w:val="none"/>
              </w:rPr>
              <w:instrText xml:space="preserve">INCLUDEPICTURE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1.png"\*MERGEFORMAT</w:instrTex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drawing>
                <wp:inline distT="0" distB="0" distL="114300" distR="114300">
                  <wp:extent cx="19050" cy="19050"/>
                  <wp:effectExtent l="0" t="0" r="0" b="0"/>
                  <wp:docPr id="1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end"/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begin"/>
            </w:r>
            <w:r>
              <w:rPr>
                <w:rFonts w:ascii="宋体" w:hAnsi="宋体" w:eastAsia="宋体"/>
                <w:szCs w:val="21"/>
                <w:highlight w:val="none"/>
              </w:rPr>
              <w:instrText xml:space="preserve">INCLUDEPICTURE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2.png"\*MERGEFORMAT</w:instrTex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drawing>
                <wp:inline distT="0" distB="0" distL="114300" distR="114300">
                  <wp:extent cx="19050" cy="19050"/>
                  <wp:effectExtent l="0" t="0" r="0" b="0"/>
                  <wp:docPr id="1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end"/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begin"/>
            </w:r>
            <w:r>
              <w:rPr>
                <w:rFonts w:ascii="宋体" w:hAnsi="宋体" w:eastAsia="宋体"/>
                <w:szCs w:val="21"/>
                <w:highlight w:val="none"/>
              </w:rPr>
              <w:instrText xml:space="preserve">INCLUDEPICTURE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3.png"\*MERGEFORMAT</w:instrTex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drawing>
                <wp:inline distT="0" distB="0" distL="114300" distR="114300">
                  <wp:extent cx="19050" cy="19050"/>
                  <wp:effectExtent l="0" t="0" r="0" b="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end"/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begin"/>
            </w:r>
            <w:r>
              <w:rPr>
                <w:rFonts w:ascii="宋体" w:hAnsi="宋体" w:eastAsia="宋体"/>
                <w:szCs w:val="21"/>
                <w:highlight w:val="none"/>
              </w:rPr>
              <w:instrText xml:space="preserve">INCLUDEPICTURE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5.png"\*MERGEFORMAT</w:instrText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drawing>
                <wp:inline distT="0" distB="0" distL="114300" distR="114300">
                  <wp:extent cx="19050" cy="19050"/>
                  <wp:effectExtent l="0" t="0" r="0" b="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Cs w:val="21"/>
                <w:highlight w:val="none"/>
              </w:rPr>
              <w:fldChar w:fldCharType="end"/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目标内容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决策过程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决策依据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决策程序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资金分配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分配办法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分配结果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项目管理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25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资金到位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到位率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到位时效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资金管理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资金使用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财务管理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组织实施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组织机构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80" w:lineRule="exact"/>
              <w:jc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管理制度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项目绩效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55</w:t>
            </w:r>
          </w:p>
        </w:tc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项目产出</w:t>
            </w:r>
          </w:p>
        </w:tc>
        <w:tc>
          <w:tcPr>
            <w:tcW w:w="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15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产出数量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产出质量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产出时效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产出成本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项目效益</w:t>
            </w:r>
          </w:p>
        </w:tc>
        <w:tc>
          <w:tcPr>
            <w:tcW w:w="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40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经济效益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社会效益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环境效益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可持续影响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服务对象满意度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总分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100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100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Cs/>
                <w:szCs w:val="21"/>
                <w:highlight w:val="none"/>
              </w:rPr>
              <w:t>100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99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评价等次</w:t>
            </w:r>
          </w:p>
        </w:tc>
        <w:tc>
          <w:tcPr>
            <w:tcW w:w="41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80" w:lineRule="exact"/>
              <w:jc w:val="center"/>
              <w:textAlignment w:val="center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优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四、绩效评价指标分析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8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（一）项目决策情况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项目建成后有助于完善该片区的路网密度，便利沿线周边交通出行，同时作为交通是经济发展的先行者，其道路的建设能够助力临空经济及高教科研的发展。项目设定了绩效目标，绩效目标与实际工作内容具有相关性。该项目列入2021年海口市政府投资项目计划。项目预算编制科学合理，预算资金分配依据充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8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（二）项目过程情况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2020年我局制定并印发了《政府投资项目管理办法（试行）》，建立了有效的项目管理制度，保证了项目安全有效运行，确保了项目顺利实施，取得明显成效。项目资金支付严格履行审批程序，使用规范，会计核算结果真实、准确。此次绩效评价过程中未发现挤占或挪用项目资金的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bidi="ar"/>
        </w:rPr>
        <w:t>该项目2021年获得地债资金5000万元，</w:t>
      </w: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val="en-US" w:eastAsia="zh-CN" w:bidi="ar"/>
        </w:rPr>
        <w:t>当年</w:t>
      </w: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bidi="ar"/>
        </w:rPr>
        <w:t>支出</w:t>
      </w:r>
      <w:r>
        <w:rPr>
          <w:rFonts w:ascii="仿宋_GB2312" w:hAnsi="Times New Roman" w:eastAsia="仿宋_GB2312" w:cs="仿宋_GB2312"/>
          <w:sz w:val="32"/>
          <w:szCs w:val="32"/>
          <w:highlight w:val="none"/>
          <w:lang w:bidi="ar"/>
        </w:rPr>
        <w:t>4579.15</w:t>
      </w: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bidi="ar"/>
        </w:rPr>
        <w:t>万元，支出91.58%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8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（三）项目产出情况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该项目资金到位及时，项目顺利实施，2021年知行路项目完成程度较好，实现了预定预算目标。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8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（四）项目效益情况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该项目建成后将海医一附院江东新院区在东西方向进行打通，向西连接桂林洋经济开发区，海文南路；向东连接东寨港大道，并通过县道X104快速连接海文高速、美兰机场，实现周边区域与海医一附院江东新院区的交通联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五、主要经验及做法、存在的问题及原因分析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六、有关建议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七、其他需要说明的问题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无。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eastAsia="宋体" w:cs="宋体"/>
                              <w:sz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rd1wwq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Mrd1wwqAgAAVw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hAnsi="宋体" w:eastAsia="宋体" w:cs="宋体"/>
                        <w:sz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4ZTgyYTM4OWQ0ZWI5ZGUyNzQzMDc1YzJkMjRhZTYifQ=="/>
  </w:docVars>
  <w:rsids>
    <w:rsidRoot w:val="435E1F18"/>
    <w:rsid w:val="00085352"/>
    <w:rsid w:val="00336C50"/>
    <w:rsid w:val="004F3EF9"/>
    <w:rsid w:val="00582776"/>
    <w:rsid w:val="00702442"/>
    <w:rsid w:val="00981477"/>
    <w:rsid w:val="009A322A"/>
    <w:rsid w:val="00E13864"/>
    <w:rsid w:val="02233DF4"/>
    <w:rsid w:val="023A5912"/>
    <w:rsid w:val="02CB6390"/>
    <w:rsid w:val="040B460D"/>
    <w:rsid w:val="04621786"/>
    <w:rsid w:val="0626600A"/>
    <w:rsid w:val="06F95DEE"/>
    <w:rsid w:val="08093106"/>
    <w:rsid w:val="08AF5C9C"/>
    <w:rsid w:val="0A092149"/>
    <w:rsid w:val="0A787E3B"/>
    <w:rsid w:val="0AC273C6"/>
    <w:rsid w:val="0AC94BD1"/>
    <w:rsid w:val="0AEC0364"/>
    <w:rsid w:val="0BD17C84"/>
    <w:rsid w:val="0BDE5F87"/>
    <w:rsid w:val="0DBB40F2"/>
    <w:rsid w:val="0DE47EA0"/>
    <w:rsid w:val="0E4C7D12"/>
    <w:rsid w:val="0E9A79D6"/>
    <w:rsid w:val="111C1707"/>
    <w:rsid w:val="126332E8"/>
    <w:rsid w:val="12AB34F1"/>
    <w:rsid w:val="135734FF"/>
    <w:rsid w:val="14B51D19"/>
    <w:rsid w:val="14FA1115"/>
    <w:rsid w:val="154455E1"/>
    <w:rsid w:val="15481788"/>
    <w:rsid w:val="1652225F"/>
    <w:rsid w:val="16630DA5"/>
    <w:rsid w:val="1682257B"/>
    <w:rsid w:val="180C39B2"/>
    <w:rsid w:val="190A44B1"/>
    <w:rsid w:val="19263C3A"/>
    <w:rsid w:val="19316574"/>
    <w:rsid w:val="19795372"/>
    <w:rsid w:val="19AA72EE"/>
    <w:rsid w:val="1AC1553C"/>
    <w:rsid w:val="1B007691"/>
    <w:rsid w:val="1BE26FB4"/>
    <w:rsid w:val="1CB1400C"/>
    <w:rsid w:val="1DBB2B25"/>
    <w:rsid w:val="1E0353FE"/>
    <w:rsid w:val="1E122B23"/>
    <w:rsid w:val="1E312225"/>
    <w:rsid w:val="1E5510E3"/>
    <w:rsid w:val="1F25228A"/>
    <w:rsid w:val="20281024"/>
    <w:rsid w:val="20B5758E"/>
    <w:rsid w:val="23335B9D"/>
    <w:rsid w:val="23EF1B0E"/>
    <w:rsid w:val="247A1B51"/>
    <w:rsid w:val="27E81586"/>
    <w:rsid w:val="28B735AC"/>
    <w:rsid w:val="29B57C78"/>
    <w:rsid w:val="2AB57C33"/>
    <w:rsid w:val="2AE457DA"/>
    <w:rsid w:val="2B336677"/>
    <w:rsid w:val="2C192B4A"/>
    <w:rsid w:val="2C8221BC"/>
    <w:rsid w:val="2D7160E8"/>
    <w:rsid w:val="2D9F1EA3"/>
    <w:rsid w:val="2DA417DD"/>
    <w:rsid w:val="2E534C88"/>
    <w:rsid w:val="2E9826F7"/>
    <w:rsid w:val="30483FA0"/>
    <w:rsid w:val="30BB4EA6"/>
    <w:rsid w:val="31437427"/>
    <w:rsid w:val="326C58E4"/>
    <w:rsid w:val="340F7934"/>
    <w:rsid w:val="34C8661B"/>
    <w:rsid w:val="35F728BC"/>
    <w:rsid w:val="3714005C"/>
    <w:rsid w:val="37372992"/>
    <w:rsid w:val="37C51992"/>
    <w:rsid w:val="38042CB3"/>
    <w:rsid w:val="381A05A8"/>
    <w:rsid w:val="38B37090"/>
    <w:rsid w:val="390C1A27"/>
    <w:rsid w:val="3ABA6910"/>
    <w:rsid w:val="3B0A2EB0"/>
    <w:rsid w:val="3B500164"/>
    <w:rsid w:val="3B59178B"/>
    <w:rsid w:val="3C444B0B"/>
    <w:rsid w:val="3E4B066F"/>
    <w:rsid w:val="3FBB4BCB"/>
    <w:rsid w:val="405D14CB"/>
    <w:rsid w:val="41253788"/>
    <w:rsid w:val="418D0587"/>
    <w:rsid w:val="41B37671"/>
    <w:rsid w:val="435E1F18"/>
    <w:rsid w:val="449F4DAD"/>
    <w:rsid w:val="44B278BB"/>
    <w:rsid w:val="44B939E4"/>
    <w:rsid w:val="461E0D18"/>
    <w:rsid w:val="464F2DD5"/>
    <w:rsid w:val="467C5C77"/>
    <w:rsid w:val="47C55320"/>
    <w:rsid w:val="49B72F9D"/>
    <w:rsid w:val="49C0331C"/>
    <w:rsid w:val="4AA6125F"/>
    <w:rsid w:val="4B5A13DB"/>
    <w:rsid w:val="4B820499"/>
    <w:rsid w:val="4B984218"/>
    <w:rsid w:val="4C1448F5"/>
    <w:rsid w:val="4C625BDA"/>
    <w:rsid w:val="4D650FE4"/>
    <w:rsid w:val="4DFF0279"/>
    <w:rsid w:val="4E414DDC"/>
    <w:rsid w:val="4E583744"/>
    <w:rsid w:val="4FB54242"/>
    <w:rsid w:val="52C426C7"/>
    <w:rsid w:val="54D85B6D"/>
    <w:rsid w:val="54E47B8F"/>
    <w:rsid w:val="54FE4F3A"/>
    <w:rsid w:val="55A57892"/>
    <w:rsid w:val="578A390E"/>
    <w:rsid w:val="57D636C9"/>
    <w:rsid w:val="59D74C62"/>
    <w:rsid w:val="59E1651D"/>
    <w:rsid w:val="5A3B0856"/>
    <w:rsid w:val="5A4B6F13"/>
    <w:rsid w:val="5A6A79F7"/>
    <w:rsid w:val="5BF510A0"/>
    <w:rsid w:val="5F367622"/>
    <w:rsid w:val="5F3F3404"/>
    <w:rsid w:val="5F905550"/>
    <w:rsid w:val="617F6B7B"/>
    <w:rsid w:val="62806640"/>
    <w:rsid w:val="63636628"/>
    <w:rsid w:val="65411CA7"/>
    <w:rsid w:val="65694914"/>
    <w:rsid w:val="67B21E4C"/>
    <w:rsid w:val="68024B96"/>
    <w:rsid w:val="68903265"/>
    <w:rsid w:val="6A893A8D"/>
    <w:rsid w:val="6B657B2B"/>
    <w:rsid w:val="6C02565A"/>
    <w:rsid w:val="6C8B5B44"/>
    <w:rsid w:val="6E6E68A0"/>
    <w:rsid w:val="6EB377AA"/>
    <w:rsid w:val="6FB6700B"/>
    <w:rsid w:val="701D3C49"/>
    <w:rsid w:val="710022AC"/>
    <w:rsid w:val="725E09BE"/>
    <w:rsid w:val="727437E0"/>
    <w:rsid w:val="74C3652D"/>
    <w:rsid w:val="764C182F"/>
    <w:rsid w:val="7704672F"/>
    <w:rsid w:val="77175582"/>
    <w:rsid w:val="78CA52B8"/>
    <w:rsid w:val="791F742A"/>
    <w:rsid w:val="7B2F66D1"/>
    <w:rsid w:val="7B76655D"/>
    <w:rsid w:val="7BBF5BC9"/>
    <w:rsid w:val="7C894772"/>
    <w:rsid w:val="7CE205E6"/>
    <w:rsid w:val="7D99075B"/>
    <w:rsid w:val="7EDF397E"/>
    <w:rsid w:val="7FA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character" w:customStyle="1" w:styleId="10">
    <w:name w:val="页眉 字符"/>
    <w:basedOn w:val="8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1838</Words>
  <Characters>1973</Characters>
  <Lines>48</Lines>
  <Paragraphs>13</Paragraphs>
  <TotalTime>6</TotalTime>
  <ScaleCrop>false</ScaleCrop>
  <LinksUpToDate>false</LinksUpToDate>
  <CharactersWithSpaces>1976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2021-09-30T09:36:00Z</dcterms:created>
  <dc:creator>恋</dc:creator>
  <cp:lastModifiedBy>小李</cp:lastModifiedBy>
  <dcterms:modified xsi:type="dcterms:W3CDTF">2022-08-28T09:20:33Z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78D446BC0EF54FE39D97E267F110F326</vt:lpwstr>
  </property>
</Properties>
</file>