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海口江东新区管理局</w:t>
      </w:r>
    </w:p>
    <w:p>
      <w:pPr>
        <w:pStyle w:val="6"/>
        <w:keepNext w:val="0"/>
        <w:keepLines w:val="0"/>
        <w:pageBreakBefore w:val="0"/>
        <w:kinsoku/>
        <w:wordWrap/>
        <w:overflowPunct/>
        <w:topLinePunct w:val="0"/>
        <w:autoSpaceDE/>
        <w:bidi w:val="0"/>
        <w:adjustRightInd/>
        <w:snapToGrid/>
        <w:spacing w:line="560" w:lineRule="exact"/>
        <w:rPr>
          <w:rFonts w:ascii="方正小标宋简体" w:eastAsia="方正小标宋简体"/>
          <w:sz w:val="40"/>
          <w:szCs w:val="40"/>
          <w:highlight w:val="none"/>
        </w:rPr>
      </w:pPr>
      <w:r>
        <w:rPr>
          <w:rFonts w:hint="eastAsia" w:ascii="宋体" w:hAnsi="宋体" w:eastAsia="宋体" w:cs="宋体"/>
          <w:sz w:val="44"/>
          <w:szCs w:val="44"/>
          <w:highlight w:val="none"/>
        </w:rPr>
        <w:t>2021年江东新区地下综合管廊项目（一期）—空港环路地下综合管廊项目</w:t>
      </w:r>
    </w:p>
    <w:p>
      <w:pPr>
        <w:keepNext w:val="0"/>
        <w:keepLines w:val="0"/>
        <w:pageBreakBefore w:val="0"/>
        <w:kinsoku/>
        <w:wordWrap/>
        <w:overflowPunct/>
        <w:topLinePunct w:val="0"/>
        <w:autoSpaceDE/>
        <w:bidi w:val="0"/>
        <w:adjustRightInd/>
        <w:snapToGrid/>
        <w:spacing w:line="560" w:lineRule="exact"/>
        <w:jc w:val="center"/>
        <w:rPr>
          <w:b/>
          <w:bCs/>
          <w:sz w:val="44"/>
          <w:szCs w:val="44"/>
          <w:highlight w:val="none"/>
        </w:rPr>
      </w:pPr>
      <w:r>
        <w:rPr>
          <w:rFonts w:hint="eastAsia" w:ascii="宋体" w:hAnsi="宋体" w:eastAsia="宋体" w:cs="宋体"/>
          <w:b/>
          <w:bCs/>
          <w:sz w:val="44"/>
          <w:szCs w:val="44"/>
          <w:highlight w:val="none"/>
        </w:rPr>
        <w:t>支出绩效评价报告</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一、基本情况</w:t>
      </w:r>
    </w:p>
    <w:p>
      <w:pPr>
        <w:keepNext w:val="0"/>
        <w:keepLines w:val="0"/>
        <w:pageBreakBefore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（一）项目概况</w:t>
      </w:r>
    </w:p>
    <w:p>
      <w:pPr>
        <w:keepNext w:val="0"/>
        <w:keepLines w:val="0"/>
        <w:pageBreakBefore w:val="0"/>
        <w:widowControl/>
        <w:kinsoku/>
        <w:wordWrap/>
        <w:overflowPunct/>
        <w:topLinePunct w:val="0"/>
        <w:autoSpaceDE/>
        <w:bidi w:val="0"/>
        <w:adjustRightInd/>
        <w:snapToGrid/>
        <w:spacing w:line="560" w:lineRule="exact"/>
        <w:ind w:firstLine="640" w:firstLineChars="200"/>
        <w:jc w:val="both"/>
        <w:rPr>
          <w:rFonts w:ascii="仿宋_GB2312" w:hAnsi="仿宋_GB2312" w:eastAsia="仿宋_GB2312" w:cs="仿宋_GB2312"/>
          <w:sz w:val="32"/>
          <w:szCs w:val="32"/>
          <w:highlight w:val="none"/>
        </w:rPr>
      </w:pPr>
      <w:r>
        <w:rPr>
          <w:rFonts w:hint="eastAsia" w:ascii="仿宋_GB2312" w:hAnsi="Times New Roman" w:eastAsia="仿宋_GB2312" w:cs="仿宋_GB2312"/>
          <w:sz w:val="32"/>
          <w:szCs w:val="32"/>
          <w:highlight w:val="none"/>
          <w:lang w:bidi="ar"/>
        </w:rPr>
        <w:t>江东新区地下综合管廊项目（一期）—空港环路地下综合管廊项目业主为海口江东新区开发建设有限责任公司，项目拟建三段管廊，总长度约8993m，分别为空港环路西段综合管廊（南渡江大道~桂江大道，全长约3.18公里，双舱支线型综合管廊，现浇标准断面，双舱宽度净宽×净高=（2.6+3.0）m×4.0m）、空港环路中段综合管廊（桂江大道~云美大道，全长约4.70公里，双舱支线型综合管廊，现浇标准断面，双舱宽度净宽×净高=（2.6+4.3）m×4.0m）、空港环路东段综合管廊（云美大道~林田大道，全长约1.11公里，双舱支线型综合管廊，现浇标准断面，双舱宽度净宽×净高=（2.6+3.0）m×4.0m）。主要建设内容包括综合管廊主体结构、附属构筑物、引出排管、内部安装工程（电气、自控、排水、消防、暖通）、标识标牌、支架工程、入廊给水管及再生水管安装、整平管廊所在规划林地约20m宽度范围场地标高至道路人行道标高及简单覆绿等。项目工期为2021年3月22日至2023年12月31日。项目总投资119469.09万元，其中建设总投资费94540.91万元，征地拆迁费9402.54万元。该项目</w:t>
      </w:r>
      <w:r>
        <w:rPr>
          <w:rFonts w:hint="eastAsia" w:ascii="仿宋_GB2312" w:hAnsi="Times New Roman" w:eastAsia="仿宋_GB2312" w:cs="仿宋_GB2312"/>
          <w:sz w:val="32"/>
          <w:szCs w:val="32"/>
          <w:highlight w:val="none"/>
          <w:lang w:val="en-US" w:eastAsia="zh-CN" w:bidi="ar"/>
        </w:rPr>
        <w:t>截</w:t>
      </w:r>
      <w:r>
        <w:rPr>
          <w:rFonts w:hint="eastAsia" w:ascii="仿宋_GB2312" w:hAnsi="Times New Roman" w:eastAsia="仿宋_GB2312" w:cs="仿宋_GB2312"/>
          <w:sz w:val="32"/>
          <w:szCs w:val="32"/>
          <w:highlight w:val="none"/>
          <w:lang w:bidi="ar"/>
        </w:rPr>
        <w:t>至</w:t>
      </w:r>
      <w:r>
        <w:rPr>
          <w:rFonts w:hint="eastAsia" w:ascii="仿宋_GB2312" w:hAnsi="Times New Roman" w:eastAsia="仿宋_GB2312" w:cs="仿宋_GB2312"/>
          <w:sz w:val="32"/>
          <w:szCs w:val="32"/>
          <w:highlight w:val="none"/>
          <w:lang w:val="en-US" w:eastAsia="zh-CN" w:bidi="ar"/>
        </w:rPr>
        <w:t>2021年</w:t>
      </w:r>
      <w:r>
        <w:rPr>
          <w:rFonts w:hint="eastAsia" w:ascii="仿宋_GB2312" w:hAnsi="Times New Roman" w:eastAsia="仿宋_GB2312" w:cs="仿宋_GB2312"/>
          <w:sz w:val="32"/>
          <w:szCs w:val="32"/>
          <w:highlight w:val="none"/>
          <w:lang w:bidi="ar"/>
        </w:rPr>
        <w:t>共计获得资金26000万元，其中获得地债资金19000万元和园区资金7000万元</w:t>
      </w:r>
      <w:r>
        <w:rPr>
          <w:rFonts w:hint="eastAsia" w:ascii="仿宋_GB2312" w:hAnsi="Times New Roman" w:eastAsia="仿宋_GB2312" w:cs="仿宋_GB2312"/>
          <w:sz w:val="32"/>
          <w:szCs w:val="32"/>
          <w:highlight w:val="none"/>
          <w:lang w:eastAsia="zh-CN" w:bidi="ar"/>
        </w:rPr>
        <w:t>。</w:t>
      </w:r>
      <w:r>
        <w:rPr>
          <w:rFonts w:hint="eastAsia" w:ascii="仿宋_GB2312" w:hAnsi="Times New Roman" w:eastAsia="仿宋_GB2312" w:cs="仿宋_GB2312"/>
          <w:sz w:val="32"/>
          <w:szCs w:val="32"/>
          <w:highlight w:val="none"/>
          <w:lang w:val="en-US" w:eastAsia="zh-CN" w:bidi="ar"/>
        </w:rPr>
        <w:t>截止目前，均已支出完毕</w:t>
      </w:r>
      <w:r>
        <w:rPr>
          <w:rFonts w:hint="eastAsia" w:ascii="仿宋_GB2312" w:hAnsi="Times New Roman" w:eastAsia="仿宋_GB2312" w:cs="仿宋_GB2312"/>
          <w:sz w:val="32"/>
          <w:szCs w:val="32"/>
          <w:highlight w:val="none"/>
          <w:lang w:bidi="ar"/>
        </w:rPr>
        <w:t>。</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楷体_GB2312" w:hAnsi="楷体_GB2312" w:eastAsia="楷体_GB2312" w:cs="楷体_GB2312"/>
          <w:sz w:val="32"/>
          <w:szCs w:val="32"/>
          <w:highlight w:val="none"/>
        </w:rPr>
        <w:t>（二）项目绩效目标</w:t>
      </w:r>
      <w:bookmarkStart w:id="0" w:name="_GoBack"/>
      <w:bookmarkEnd w:id="0"/>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该项目总体目标:项目按工期计划推动江东新区地下综合管廊项目（一期）—空港环路地下综合管廊项目2公里的工作面提交，推进地下综合管廊建设，完善基础设施，解决江东新区临空片区水电配套需求</w:t>
      </w:r>
      <w:r>
        <w:rPr>
          <w:rFonts w:hint="eastAsia"/>
          <w:highlight w:val="none"/>
        </w:rPr>
        <w:t>。</w:t>
      </w:r>
      <w:r>
        <w:rPr>
          <w:rFonts w:hint="eastAsia" w:ascii="仿宋_GB2312" w:hAnsi="仿宋_GB2312" w:eastAsia="仿宋_GB2312" w:cs="仿宋_GB2312"/>
          <w:sz w:val="32"/>
          <w:szCs w:val="32"/>
          <w:highlight w:val="none"/>
        </w:rPr>
        <w:t>年度绩效目标如下：</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4481"/>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5" w:type="pct"/>
            <w:vMerge w:val="restar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r>
              <w:rPr>
                <w:rFonts w:hint="eastAsia" w:ascii="宋体" w:hAnsi="宋体" w:eastAsia="宋体"/>
                <w:b/>
                <w:sz w:val="24"/>
                <w:highlight w:val="none"/>
              </w:rPr>
              <w:t>指标类型</w:t>
            </w:r>
          </w:p>
        </w:tc>
        <w:tc>
          <w:tcPr>
            <w:tcW w:w="2630" w:type="pct"/>
            <w:vMerge w:val="restar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r>
              <w:rPr>
                <w:rFonts w:hint="eastAsia" w:ascii="宋体" w:hAnsi="宋体" w:eastAsia="宋体"/>
                <w:b/>
                <w:sz w:val="24"/>
                <w:highlight w:val="none"/>
              </w:rPr>
              <w:t>指标名称</w:t>
            </w:r>
          </w:p>
        </w:tc>
        <w:tc>
          <w:tcPr>
            <w:tcW w:w="1185" w:type="pct"/>
            <w:vMerge w:val="restar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r>
              <w:rPr>
                <w:rFonts w:hint="eastAsia" w:ascii="宋体" w:hAnsi="宋体" w:eastAsia="宋体"/>
                <w:b/>
                <w:sz w:val="24"/>
                <w:highlight w:val="none"/>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5" w:type="pct"/>
            <w:vMerge w:val="continue"/>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p>
        </w:tc>
        <w:tc>
          <w:tcPr>
            <w:tcW w:w="2630" w:type="pct"/>
            <w:vMerge w:val="continue"/>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p>
        </w:tc>
        <w:tc>
          <w:tcPr>
            <w:tcW w:w="1185" w:type="pct"/>
            <w:vMerge w:val="continue"/>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5"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获得工作面长度</w:t>
            </w:r>
          </w:p>
        </w:tc>
        <w:tc>
          <w:tcPr>
            <w:tcW w:w="1185"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sz w:val="24"/>
                <w:highlight w:val="none"/>
              </w:rPr>
              <w:t>≥2公里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5"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超概算项目比例</w:t>
            </w:r>
          </w:p>
        </w:tc>
        <w:tc>
          <w:tcPr>
            <w:tcW w:w="1185"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sz w:val="24"/>
                <w:highlight w:val="none"/>
              </w:rPr>
            </w:pPr>
            <w:r>
              <w:rPr>
                <w:rFonts w:hint="eastAsia" w:ascii="宋体" w:hAnsi="宋体"/>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5" w:type="pct"/>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效益指标</w:t>
            </w:r>
          </w:p>
        </w:tc>
        <w:tc>
          <w:tcPr>
            <w:tcW w:w="2630"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项目受益人数</w:t>
            </w:r>
          </w:p>
        </w:tc>
        <w:tc>
          <w:tcPr>
            <w:tcW w:w="1185"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sz w:val="24"/>
                <w:highlight w:val="none"/>
              </w:rPr>
              <w:t>≥1000人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5" w:type="pct"/>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满意度指标</w:t>
            </w:r>
          </w:p>
        </w:tc>
        <w:tc>
          <w:tcPr>
            <w:tcW w:w="2630"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highlight w:val="none"/>
              </w:rPr>
            </w:pPr>
            <w:r>
              <w:rPr>
                <w:rFonts w:hint="eastAsia" w:ascii="宋体" w:hAnsi="宋体" w:eastAsia="宋体"/>
                <w:sz w:val="24"/>
                <w:highlight w:val="none"/>
              </w:rPr>
              <w:t>受益群体满意度</w:t>
            </w:r>
          </w:p>
        </w:tc>
        <w:tc>
          <w:tcPr>
            <w:tcW w:w="1185" w:type="pct"/>
            <w:vAlign w:val="center"/>
          </w:tcPr>
          <w:p>
            <w:pPr>
              <w:keepNext w:val="0"/>
              <w:keepLines w:val="0"/>
              <w:pageBreakBefore w:val="0"/>
              <w:tabs>
                <w:tab w:val="left" w:pos="720"/>
                <w:tab w:val="left" w:pos="3600"/>
              </w:tabs>
              <w:kinsoku/>
              <w:wordWrap/>
              <w:overflowPunct/>
              <w:topLinePunct w:val="0"/>
              <w:autoSpaceDE/>
              <w:bidi w:val="0"/>
              <w:adjustRightInd/>
              <w:snapToGrid/>
              <w:spacing w:line="560" w:lineRule="exact"/>
              <w:jc w:val="center"/>
              <w:rPr>
                <w:rFonts w:ascii="宋体" w:hAnsi="宋体" w:eastAsia="宋体"/>
                <w:sz w:val="24"/>
                <w:szCs w:val="22"/>
                <w:highlight w:val="none"/>
              </w:rPr>
            </w:pPr>
            <w:r>
              <w:rPr>
                <w:rFonts w:hint="eastAsia" w:ascii="宋体" w:hAnsi="宋体"/>
                <w:sz w:val="24"/>
                <w:highlight w:val="none"/>
              </w:rPr>
              <w:t>≥85%</w:t>
            </w:r>
          </w:p>
        </w:tc>
      </w:tr>
    </w:tbl>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二、绩效评价工作开展情况</w:t>
      </w:r>
    </w:p>
    <w:p>
      <w:pPr>
        <w:keepNext w:val="0"/>
        <w:keepLines w:val="0"/>
        <w:pageBreakBefore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（一）绩效评价目的、对象、范围</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w:t>
      </w:r>
      <w:r>
        <w:rPr>
          <w:rFonts w:hint="eastAsia" w:ascii="仿宋_GB2312" w:hAnsi="Times New Roman" w:eastAsia="仿宋_GB2312" w:cs="仿宋_GB2312"/>
          <w:sz w:val="32"/>
          <w:szCs w:val="32"/>
          <w:highlight w:val="none"/>
          <w:lang w:bidi="ar"/>
        </w:rPr>
        <w:t>江东新区地下综合管廊项目（一期）—空港环路地下综合管廊项目</w:t>
      </w:r>
      <w:r>
        <w:rPr>
          <w:rFonts w:hint="eastAsia" w:ascii="仿宋_GB2312" w:hAnsi="仿宋_GB2312" w:eastAsia="仿宋_GB2312" w:cs="仿宋_GB2312"/>
          <w:sz w:val="32"/>
          <w:szCs w:val="32"/>
          <w:highlight w:val="none"/>
        </w:rPr>
        <w:t>开展部门评价，促进部门提升预算绩效管理工作水平，强化部门支出责任，规范资金管理行为，提高财政资金使用效益。</w:t>
      </w:r>
    </w:p>
    <w:p>
      <w:pPr>
        <w:keepNext w:val="0"/>
        <w:keepLines w:val="0"/>
        <w:pageBreakBefore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（二）绩效评价原则、评价指标体系、评价方法、评价标准</w:t>
      </w:r>
    </w:p>
    <w:p>
      <w:pPr>
        <w:keepNext w:val="0"/>
        <w:keepLines w:val="0"/>
        <w:pageBreakBefore w:val="0"/>
        <w:kinsoku/>
        <w:wordWrap/>
        <w:overflowPunct/>
        <w:topLinePunct w:val="0"/>
        <w:autoSpaceDE/>
        <w:bidi w:val="0"/>
        <w:adjustRightInd/>
        <w:snapToGrid/>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1.绩效评价原则</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本次部门评价坚持运用科学合理的方法，按照规范的程序，对项目绩效进行客观、公正的反映。</w:t>
      </w:r>
    </w:p>
    <w:p>
      <w:pPr>
        <w:keepNext w:val="0"/>
        <w:keepLines w:val="0"/>
        <w:pageBreakBefore w:val="0"/>
        <w:kinsoku/>
        <w:wordWrap/>
        <w:overflowPunct/>
        <w:topLinePunct w:val="0"/>
        <w:autoSpaceDE/>
        <w:bidi w:val="0"/>
        <w:adjustRightInd/>
        <w:snapToGrid/>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2.评价指标体系</w:t>
      </w:r>
    </w:p>
    <w:tbl>
      <w:tblPr>
        <w:tblStyle w:val="7"/>
        <w:tblpPr w:leftFromText="180" w:rightFromText="180" w:vertAnchor="text" w:horzAnchor="page" w:tblpX="2364" w:tblpY="1239"/>
        <w:tblOverlap w:val="never"/>
        <w:tblW w:w="7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927"/>
        <w:gridCol w:w="1325"/>
        <w:gridCol w:w="829"/>
        <w:gridCol w:w="177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一级指标</w:t>
            </w:r>
          </w:p>
        </w:tc>
        <w:tc>
          <w:tcPr>
            <w:tcW w:w="927"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325"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二级指标</w:t>
            </w:r>
          </w:p>
        </w:tc>
        <w:tc>
          <w:tcPr>
            <w:tcW w:w="829"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三级指标</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项目决策</w:t>
            </w:r>
          </w:p>
        </w:tc>
        <w:tc>
          <w:tcPr>
            <w:tcW w:w="927"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20</w:t>
            </w:r>
          </w:p>
        </w:tc>
        <w:tc>
          <w:tcPr>
            <w:tcW w:w="1325"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项目目标</w:t>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p>
        </w:tc>
        <w:tc>
          <w:tcPr>
            <w:tcW w:w="829"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目标内容</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决策过程</w:t>
            </w:r>
          </w:p>
        </w:tc>
        <w:tc>
          <w:tcPr>
            <w:tcW w:w="829"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决策依据</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决策程序</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资金分配</w:t>
            </w:r>
          </w:p>
        </w:tc>
        <w:tc>
          <w:tcPr>
            <w:tcW w:w="829"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分配办法</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分配结果</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项目管理</w:t>
            </w:r>
          </w:p>
        </w:tc>
        <w:tc>
          <w:tcPr>
            <w:tcW w:w="927"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25</w:t>
            </w:r>
          </w:p>
        </w:tc>
        <w:tc>
          <w:tcPr>
            <w:tcW w:w="1325"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资金到位</w:t>
            </w:r>
          </w:p>
        </w:tc>
        <w:tc>
          <w:tcPr>
            <w:tcW w:w="829"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到位率</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到位时效</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资金管理</w:t>
            </w:r>
          </w:p>
        </w:tc>
        <w:tc>
          <w:tcPr>
            <w:tcW w:w="829"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资金使用</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财务管理</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组织实施</w:t>
            </w:r>
          </w:p>
        </w:tc>
        <w:tc>
          <w:tcPr>
            <w:tcW w:w="829"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组织机构</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管理制度</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项目绩效</w:t>
            </w:r>
          </w:p>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55</w:t>
            </w:r>
          </w:p>
        </w:tc>
        <w:tc>
          <w:tcPr>
            <w:tcW w:w="1325"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项目产出</w:t>
            </w:r>
          </w:p>
        </w:tc>
        <w:tc>
          <w:tcPr>
            <w:tcW w:w="829"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15</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产出数量</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产出质量</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产出时效</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产出成本</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项目效益</w:t>
            </w:r>
          </w:p>
        </w:tc>
        <w:tc>
          <w:tcPr>
            <w:tcW w:w="829" w:type="dxa"/>
            <w:vMerge w:val="restart"/>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40</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经济效益</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社会效益</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环境效益</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可持续影响</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服务对象满意度</w:t>
            </w: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总分</w:t>
            </w:r>
          </w:p>
        </w:tc>
        <w:tc>
          <w:tcPr>
            <w:tcW w:w="927"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325"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p>
        </w:tc>
        <w:tc>
          <w:tcPr>
            <w:tcW w:w="829"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770"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p>
        </w:tc>
        <w:tc>
          <w:tcPr>
            <w:tcW w:w="1176" w:type="dxa"/>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r>
    </w:tbl>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从项目决策、项目管理、项目绩效等三大指标开展部门评价。</w:t>
      </w:r>
    </w:p>
    <w:p>
      <w:pPr>
        <w:keepNext w:val="0"/>
        <w:keepLines w:val="0"/>
        <w:pageBreakBefore w:val="0"/>
        <w:kinsoku/>
        <w:wordWrap/>
        <w:overflowPunct/>
        <w:topLinePunct w:val="0"/>
        <w:autoSpaceDE/>
        <w:bidi w:val="0"/>
        <w:adjustRightInd/>
        <w:snapToGrid/>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3.评价方法</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本次部门评价采用比较法，将项目实施情况与绩效目标情况进行比较。</w:t>
      </w:r>
    </w:p>
    <w:p>
      <w:pPr>
        <w:keepNext w:val="0"/>
        <w:keepLines w:val="0"/>
        <w:pageBreakBefore w:val="0"/>
        <w:kinsoku/>
        <w:wordWrap/>
        <w:overflowPunct/>
        <w:topLinePunct w:val="0"/>
        <w:autoSpaceDE/>
        <w:bidi w:val="0"/>
        <w:adjustRightInd/>
        <w:snapToGrid/>
        <w:spacing w:line="56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4.评价标准</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本次部门评价以年初的目标、计划、预算、定额等作为评价标准</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楷体_GB2312" w:hAnsi="楷体_GB2312" w:eastAsia="楷体_GB2312" w:cs="楷体_GB2312"/>
          <w:sz w:val="32"/>
          <w:szCs w:val="32"/>
          <w:highlight w:val="none"/>
        </w:rPr>
        <w:t>（三）绩效评价工作过程</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评价小组对评价资料进行认真梳理，测算分析各项指标，汇总评分并形成评价报告。</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1.对《项目支出绩效评价管理办法》（财预〔2020〕10号）进行研读，对部门评价有基本的把握和了解，归纳出进一步评价所需的信息。</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2.集中对各个评价指标逐一进行分析。</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3.评价小组汇总分析评价过程中发现的问题并对存在问题进行讨论，分别计算各评价指标所得分数，形成评价结果。</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4.根据评价结果，撰写评价报告。</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三、综合评价情况及评价结论</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绩效评价工作小组从项目决策、项目管理、项目绩效三方面分别对该项目进行评价，项目目标设定、决策过程、资金分配、资金到位、资金管理、组织实施、项目效果等方面落实情况较好，评价得分99分，评价等次为优，达到了预期设定的项目绩效目标。</w:t>
      </w:r>
    </w:p>
    <w:tbl>
      <w:tblPr>
        <w:tblStyle w:val="7"/>
        <w:tblW w:w="8579"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376"/>
        <w:gridCol w:w="927"/>
        <w:gridCol w:w="1325"/>
        <w:gridCol w:w="829"/>
        <w:gridCol w:w="1770"/>
        <w:gridCol w:w="1176"/>
        <w:gridCol w:w="1176"/>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一级指标</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二级指标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三级指标</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项目决策</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20</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项目目标</w:t>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MERGEFORMAT</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目标内容</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决策过程</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决策依据</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决策程序</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资金分配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分配办法</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分配结果</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项目管理</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25</w:t>
            </w: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资金到位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到位率</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到位时效</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资金管理</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资金使用</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7</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szCs w:val="21"/>
                <w:highlight w:val="none"/>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财务管理</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组织实施</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组织机构</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bidi w:val="0"/>
              <w:adjustRightInd/>
              <w:snapToGrid/>
              <w:spacing w:line="56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管理制度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项目绩效</w:t>
            </w:r>
          </w:p>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55</w:t>
            </w:r>
          </w:p>
        </w:tc>
        <w:tc>
          <w:tcPr>
            <w:tcW w:w="13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项目产出</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15</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产出数量</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产出质量</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产出时效</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产出成本</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项目效益</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40</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经济效益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社会效益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环境效益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可持续影响</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p>
        </w:tc>
        <w:tc>
          <w:tcPr>
            <w:tcW w:w="17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服务对象满意度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总分</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bCs/>
                <w:szCs w:val="21"/>
                <w:highlight w:val="none"/>
              </w:rPr>
              <w:t>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44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eastAsia="宋体"/>
                <w:bCs/>
                <w:szCs w:val="21"/>
                <w:highlight w:val="none"/>
              </w:rPr>
            </w:pPr>
            <w:r>
              <w:rPr>
                <w:rFonts w:hint="eastAsia" w:ascii="宋体" w:hAnsi="宋体" w:eastAsia="宋体"/>
                <w:szCs w:val="21"/>
                <w:highlight w:val="none"/>
              </w:rPr>
              <w:t>评价等次</w:t>
            </w:r>
          </w:p>
        </w:tc>
        <w:tc>
          <w:tcPr>
            <w:tcW w:w="41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adjustRightInd/>
              <w:snapToGrid/>
              <w:spacing w:line="560" w:lineRule="exact"/>
              <w:jc w:val="center"/>
              <w:textAlignment w:val="center"/>
              <w:rPr>
                <w:rFonts w:ascii="宋体" w:hAnsi="宋体"/>
                <w:bCs/>
                <w:szCs w:val="21"/>
                <w:highlight w:val="none"/>
              </w:rPr>
            </w:pPr>
            <w:r>
              <w:rPr>
                <w:rFonts w:hint="eastAsia" w:ascii="宋体" w:hAnsi="宋体"/>
                <w:bCs/>
                <w:szCs w:val="21"/>
                <w:highlight w:val="none"/>
              </w:rPr>
              <w:t>优</w:t>
            </w:r>
          </w:p>
        </w:tc>
      </w:tr>
    </w:tbl>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四、绩效评价指标分析</w:t>
      </w:r>
    </w:p>
    <w:p>
      <w:pPr>
        <w:keepNext w:val="0"/>
        <w:keepLines w:val="0"/>
        <w:pageBreakBefore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（一）项目决策情况</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ascii="仿宋_GB2312" w:hAnsi="Calibri" w:eastAsia="仿宋_GB2312" w:cs="仿宋_GB2312"/>
          <w:kern w:val="0"/>
          <w:sz w:val="32"/>
          <w:szCs w:val="32"/>
          <w:highlight w:val="none"/>
          <w:lang w:bidi="ar"/>
        </w:rPr>
        <w:t>根据《海口市江东新区地下综合管廊专项规划》，本项目为江东新区综合管廊"一环多支"主干系统，同为江东新区主要能源输送通道的重要组成部分，是现状江东变电站(220kV)、规划潭连变(220kV)、龙泉变(220kV)、空港变(110kV)之间的高压电力通道，也是临空片区重要的市政管线主通道</w:t>
      </w:r>
      <w:r>
        <w:rPr>
          <w:rFonts w:hint="eastAsia" w:ascii="仿宋_GB2312" w:hAnsi="仿宋_GB2312" w:eastAsia="仿宋_GB2312" w:cs="仿宋_GB2312"/>
          <w:sz w:val="32"/>
          <w:szCs w:val="32"/>
          <w:highlight w:val="none"/>
        </w:rPr>
        <w:t>。该项目列入2020年海口市政府投资项目计划。项目设定了绩效目标，绩效目标与实际工作内容具有相关性。项目预算编制科学合理，预算资金分配依据充分。</w:t>
      </w:r>
    </w:p>
    <w:p>
      <w:pPr>
        <w:keepNext w:val="0"/>
        <w:keepLines w:val="0"/>
        <w:pageBreakBefore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（二）项目过程情况</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我局制定并印发了《政府投资项目管理办法（试行）》，建立了有效的项目管理制度，保证了项目安全有效运行，确保了项目顺利实施，取得明显成效。项目资金支付严格履行审批程序，使用规范，会计核算结果真实、准确。此次绩效评价过程中未发现挤占或挪用项目资金的情况。</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2021年共到位</w:t>
      </w:r>
      <w:r>
        <w:rPr>
          <w:rFonts w:hint="eastAsia" w:ascii="仿宋_GB2312" w:hAnsi="仿宋_GB2312" w:eastAsia="仿宋_GB2312" w:cs="仿宋_GB2312"/>
          <w:sz w:val="32"/>
          <w:szCs w:val="32"/>
          <w:highlight w:val="none"/>
          <w:lang w:val="en-US" w:eastAsia="zh-CN"/>
        </w:rPr>
        <w:t>地债</w:t>
      </w:r>
      <w:r>
        <w:rPr>
          <w:rFonts w:hint="eastAsia" w:ascii="仿宋_GB2312" w:hAnsi="仿宋_GB2312" w:eastAsia="仿宋_GB2312" w:cs="仿宋_GB2312"/>
          <w:sz w:val="32"/>
          <w:szCs w:val="32"/>
          <w:highlight w:val="none"/>
        </w:rPr>
        <w:t>资金</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000万元，</w:t>
      </w:r>
      <w:r>
        <w:rPr>
          <w:rFonts w:hint="eastAsia" w:ascii="仿宋_GB2312" w:hAnsi="Times New Roman" w:eastAsia="仿宋_GB2312" w:cs="仿宋_GB2312"/>
          <w:sz w:val="32"/>
          <w:szCs w:val="32"/>
          <w:highlight w:val="none"/>
          <w:lang w:val="en-US" w:eastAsia="zh-CN" w:bidi="ar"/>
        </w:rPr>
        <w:t>当年</w:t>
      </w:r>
      <w:r>
        <w:rPr>
          <w:rFonts w:hint="eastAsia" w:ascii="仿宋_GB2312" w:hAnsi="Times New Roman" w:eastAsia="仿宋_GB2312" w:cs="仿宋_GB2312"/>
          <w:sz w:val="32"/>
          <w:szCs w:val="32"/>
          <w:highlight w:val="none"/>
          <w:lang w:bidi="ar"/>
        </w:rPr>
        <w:t>支出</w:t>
      </w:r>
      <w:r>
        <w:rPr>
          <w:rFonts w:hint="eastAsia" w:ascii="仿宋_GB2312" w:hAnsi="Times New Roman" w:eastAsia="仿宋_GB2312" w:cs="仿宋_GB2312"/>
          <w:sz w:val="32"/>
          <w:szCs w:val="32"/>
          <w:highlight w:val="none"/>
          <w:lang w:val="en-US" w:eastAsia="zh-CN" w:bidi="ar"/>
        </w:rPr>
        <w:t>2217</w:t>
      </w:r>
      <w:r>
        <w:rPr>
          <w:rFonts w:hint="eastAsia" w:ascii="仿宋_GB2312" w:hAnsi="Times New Roman" w:eastAsia="仿宋_GB2312" w:cs="仿宋_GB2312"/>
          <w:sz w:val="32"/>
          <w:szCs w:val="32"/>
          <w:highlight w:val="none"/>
          <w:lang w:bidi="ar"/>
        </w:rPr>
        <w:t>万元，支出</w:t>
      </w:r>
      <w:r>
        <w:rPr>
          <w:rFonts w:hint="eastAsia" w:ascii="仿宋_GB2312" w:hAnsi="Times New Roman" w:eastAsia="仿宋_GB2312" w:cs="仿宋_GB2312"/>
          <w:sz w:val="32"/>
          <w:szCs w:val="32"/>
          <w:highlight w:val="none"/>
          <w:lang w:val="en-US" w:eastAsia="zh-CN" w:bidi="ar"/>
        </w:rPr>
        <w:t>74</w:t>
      </w:r>
      <w:r>
        <w:rPr>
          <w:rFonts w:hint="eastAsia" w:ascii="仿宋_GB2312" w:hAnsi="Times New Roman" w:eastAsia="仿宋_GB2312" w:cs="仿宋_GB2312"/>
          <w:sz w:val="32"/>
          <w:szCs w:val="32"/>
          <w:highlight w:val="none"/>
          <w:lang w:bidi="ar"/>
        </w:rPr>
        <w:t>%</w:t>
      </w:r>
    </w:p>
    <w:p>
      <w:pPr>
        <w:keepNext w:val="0"/>
        <w:keepLines w:val="0"/>
        <w:pageBreakBefore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（三）项目产出情况</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该项目资金到位及时，项目顺利实施，目前已完成项目总体21%的形象进度。项目完成程度较好，实现了预定预算目标。</w:t>
      </w:r>
    </w:p>
    <w:p>
      <w:pPr>
        <w:keepNext w:val="0"/>
        <w:keepLines w:val="0"/>
        <w:pageBreakBefore w:val="0"/>
        <w:kinsoku/>
        <w:wordWrap/>
        <w:overflowPunct/>
        <w:topLinePunct w:val="0"/>
        <w:autoSpaceDE/>
        <w:bidi w:val="0"/>
        <w:adjustRightInd/>
        <w:snapToGrid/>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（四）项目效益情况</w:t>
      </w:r>
    </w:p>
    <w:p>
      <w:pPr>
        <w:keepNext w:val="0"/>
        <w:keepLines w:val="0"/>
        <w:pageBreakBefore w:val="0"/>
        <w:widowControl/>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Calibri" w:eastAsia="仿宋_GB2312" w:cs="仿宋_GB2312"/>
          <w:kern w:val="0"/>
          <w:sz w:val="32"/>
          <w:szCs w:val="32"/>
          <w:highlight w:val="none"/>
          <w:lang w:val="en-US" w:eastAsia="zh-CN" w:bidi="ar"/>
        </w:rPr>
        <w:t>项目</w:t>
      </w:r>
      <w:r>
        <w:rPr>
          <w:rFonts w:ascii="仿宋_GB2312" w:hAnsi="Calibri" w:eastAsia="仿宋_GB2312" w:cs="仿宋_GB2312"/>
          <w:kern w:val="0"/>
          <w:sz w:val="32"/>
          <w:szCs w:val="32"/>
          <w:highlight w:val="none"/>
          <w:lang w:bidi="ar"/>
        </w:rPr>
        <w:t>为江东新区计划于2022年投产的谭连变电站以及现状江东变电站提供第二路供电电源的输送通道，项目建成后将有效保障江东新区能源供应的安全性和可靠性。</w:t>
      </w:r>
      <w:r>
        <w:rPr>
          <w:rFonts w:hint="eastAsia" w:ascii="仿宋_GB2312" w:hAnsi="仿宋_GB2312" w:eastAsia="仿宋_GB2312" w:cs="仿宋_GB2312"/>
          <w:sz w:val="32"/>
          <w:szCs w:val="32"/>
          <w:highlight w:val="none"/>
        </w:rPr>
        <w:t>该项目建成后将实现由老城区把电引入机场的功能需求，优化片区排水方案，满足沿线的管网建设需求。项目现阶段正在进行管廊主体施工。</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五、主要经验及做法、存在的问题及原因分析</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六、有关建议</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七、其他需要说明的问题</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NzcwMGNlMmU0NTYwMTdkOTdmNzg0YTQ3YWJmYjYifQ=="/>
  </w:docVars>
  <w:rsids>
    <w:rsidRoot w:val="435E1F18"/>
    <w:rsid w:val="003B3E31"/>
    <w:rsid w:val="006D65BE"/>
    <w:rsid w:val="00BE4EB8"/>
    <w:rsid w:val="00D4065E"/>
    <w:rsid w:val="00D57EB4"/>
    <w:rsid w:val="02233DF4"/>
    <w:rsid w:val="023A5912"/>
    <w:rsid w:val="02CB6390"/>
    <w:rsid w:val="040B460D"/>
    <w:rsid w:val="04621786"/>
    <w:rsid w:val="05787E8E"/>
    <w:rsid w:val="0626600A"/>
    <w:rsid w:val="06F95DEE"/>
    <w:rsid w:val="08093106"/>
    <w:rsid w:val="08AF5C9C"/>
    <w:rsid w:val="0A092149"/>
    <w:rsid w:val="0A787E3B"/>
    <w:rsid w:val="0AC273C6"/>
    <w:rsid w:val="0AC94BD1"/>
    <w:rsid w:val="0BD17C84"/>
    <w:rsid w:val="0BDE5F87"/>
    <w:rsid w:val="0DBB40F2"/>
    <w:rsid w:val="0DE47EA0"/>
    <w:rsid w:val="0E9A79D6"/>
    <w:rsid w:val="111C1707"/>
    <w:rsid w:val="111D73FF"/>
    <w:rsid w:val="126332E8"/>
    <w:rsid w:val="12AB34F1"/>
    <w:rsid w:val="135734FF"/>
    <w:rsid w:val="14B51D19"/>
    <w:rsid w:val="14FA1115"/>
    <w:rsid w:val="154455E1"/>
    <w:rsid w:val="15481788"/>
    <w:rsid w:val="1652225F"/>
    <w:rsid w:val="16630DA5"/>
    <w:rsid w:val="1682257B"/>
    <w:rsid w:val="180C39B2"/>
    <w:rsid w:val="190A44B1"/>
    <w:rsid w:val="19263C3A"/>
    <w:rsid w:val="19316574"/>
    <w:rsid w:val="19795372"/>
    <w:rsid w:val="19AA72EE"/>
    <w:rsid w:val="1AC1553C"/>
    <w:rsid w:val="1B007691"/>
    <w:rsid w:val="1CB1400C"/>
    <w:rsid w:val="1DBB2B25"/>
    <w:rsid w:val="1E122B23"/>
    <w:rsid w:val="1E312225"/>
    <w:rsid w:val="1E5510E3"/>
    <w:rsid w:val="1F25228A"/>
    <w:rsid w:val="20281024"/>
    <w:rsid w:val="20B5758E"/>
    <w:rsid w:val="23335B9D"/>
    <w:rsid w:val="23EF1B0E"/>
    <w:rsid w:val="247A1B51"/>
    <w:rsid w:val="27E81586"/>
    <w:rsid w:val="28B735AC"/>
    <w:rsid w:val="29B57C78"/>
    <w:rsid w:val="2AB57C33"/>
    <w:rsid w:val="2AE457DA"/>
    <w:rsid w:val="2B336677"/>
    <w:rsid w:val="2C192B4A"/>
    <w:rsid w:val="2C8221BC"/>
    <w:rsid w:val="2D7160E8"/>
    <w:rsid w:val="2D9F1EA3"/>
    <w:rsid w:val="2DA417DD"/>
    <w:rsid w:val="2E9826F7"/>
    <w:rsid w:val="2F3E191F"/>
    <w:rsid w:val="30483FA0"/>
    <w:rsid w:val="30BB4EA6"/>
    <w:rsid w:val="31437427"/>
    <w:rsid w:val="326C58E4"/>
    <w:rsid w:val="340F7934"/>
    <w:rsid w:val="34C8661B"/>
    <w:rsid w:val="35F728BC"/>
    <w:rsid w:val="3714005C"/>
    <w:rsid w:val="37372992"/>
    <w:rsid w:val="377161F1"/>
    <w:rsid w:val="37C51992"/>
    <w:rsid w:val="38042CB3"/>
    <w:rsid w:val="38B37090"/>
    <w:rsid w:val="390C1A27"/>
    <w:rsid w:val="3ABA6910"/>
    <w:rsid w:val="3B0A2EB0"/>
    <w:rsid w:val="3B500164"/>
    <w:rsid w:val="3B59178B"/>
    <w:rsid w:val="3C444B0B"/>
    <w:rsid w:val="3E4B066F"/>
    <w:rsid w:val="3FBB4BCB"/>
    <w:rsid w:val="405D14CB"/>
    <w:rsid w:val="41253788"/>
    <w:rsid w:val="418D0587"/>
    <w:rsid w:val="41B37671"/>
    <w:rsid w:val="435E1F18"/>
    <w:rsid w:val="44273DE2"/>
    <w:rsid w:val="449F4DAD"/>
    <w:rsid w:val="44B278BB"/>
    <w:rsid w:val="44B939E4"/>
    <w:rsid w:val="461E0D18"/>
    <w:rsid w:val="464F2DD5"/>
    <w:rsid w:val="467C5C77"/>
    <w:rsid w:val="47C55320"/>
    <w:rsid w:val="49B72F9D"/>
    <w:rsid w:val="49C0331C"/>
    <w:rsid w:val="4AA6125F"/>
    <w:rsid w:val="4B5A13DB"/>
    <w:rsid w:val="4B820499"/>
    <w:rsid w:val="4C1448F5"/>
    <w:rsid w:val="4C625BDA"/>
    <w:rsid w:val="4CEE2D06"/>
    <w:rsid w:val="4D2F07A0"/>
    <w:rsid w:val="4D650FE4"/>
    <w:rsid w:val="4DF033CB"/>
    <w:rsid w:val="4DFF0279"/>
    <w:rsid w:val="4E414DDC"/>
    <w:rsid w:val="4E583744"/>
    <w:rsid w:val="4FB54242"/>
    <w:rsid w:val="52C426C7"/>
    <w:rsid w:val="54D85B6D"/>
    <w:rsid w:val="54E47B8F"/>
    <w:rsid w:val="54FE4F3A"/>
    <w:rsid w:val="55A57892"/>
    <w:rsid w:val="578A390E"/>
    <w:rsid w:val="57D636C9"/>
    <w:rsid w:val="59D74C62"/>
    <w:rsid w:val="59E1651D"/>
    <w:rsid w:val="5A3B0856"/>
    <w:rsid w:val="5A4B6F13"/>
    <w:rsid w:val="5A6A79F7"/>
    <w:rsid w:val="5BF510A0"/>
    <w:rsid w:val="5F367622"/>
    <w:rsid w:val="5F3F3404"/>
    <w:rsid w:val="5F905550"/>
    <w:rsid w:val="61394EFD"/>
    <w:rsid w:val="617F6B7B"/>
    <w:rsid w:val="61AB5485"/>
    <w:rsid w:val="62806640"/>
    <w:rsid w:val="63636628"/>
    <w:rsid w:val="65411CA7"/>
    <w:rsid w:val="65694914"/>
    <w:rsid w:val="67B21E4C"/>
    <w:rsid w:val="68024B96"/>
    <w:rsid w:val="68903265"/>
    <w:rsid w:val="6A893A8D"/>
    <w:rsid w:val="6B657B2B"/>
    <w:rsid w:val="6C02565A"/>
    <w:rsid w:val="6C8B5B44"/>
    <w:rsid w:val="6E6E68A0"/>
    <w:rsid w:val="6EB377AA"/>
    <w:rsid w:val="6FB6700B"/>
    <w:rsid w:val="701D3C49"/>
    <w:rsid w:val="710022AC"/>
    <w:rsid w:val="725E09BE"/>
    <w:rsid w:val="727437E0"/>
    <w:rsid w:val="74C3652D"/>
    <w:rsid w:val="757F5777"/>
    <w:rsid w:val="764C182F"/>
    <w:rsid w:val="7654409C"/>
    <w:rsid w:val="7704672F"/>
    <w:rsid w:val="77175582"/>
    <w:rsid w:val="791F742A"/>
    <w:rsid w:val="7A193BC2"/>
    <w:rsid w:val="7B2F66D1"/>
    <w:rsid w:val="7B76655D"/>
    <w:rsid w:val="7BBF5BC9"/>
    <w:rsid w:val="7CE205E6"/>
    <w:rsid w:val="7D1D1C9F"/>
    <w:rsid w:val="7DF43B68"/>
    <w:rsid w:val="7EDF397E"/>
    <w:rsid w:val="7FAF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964"/>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pPr>
    <w:rPr>
      <w:rFonts w:asciiTheme="majorHAnsi" w:hAnsiTheme="majorHAnsi" w:eastAsiaTheme="majorEastAsia" w:cstheme="majorBidi"/>
      <w:b/>
      <w:bCs/>
      <w:szCs w:val="32"/>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2308</Words>
  <Characters>2489</Characters>
  <Lines>53</Lines>
  <Paragraphs>14</Paragraphs>
  <TotalTime>0</TotalTime>
  <ScaleCrop>false</ScaleCrop>
  <LinksUpToDate>false</LinksUpToDate>
  <CharactersWithSpaces>2489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2021-09-30T09:36:00Z</dcterms:created>
  <dc:creator>恋</dc:creator>
  <cp:lastModifiedBy>阳光一生</cp:lastModifiedBy>
  <dcterms:modified xsi:type="dcterms:W3CDTF">2022-10-25T12:09:59Z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97C89657209A4A16AF42DCEDE06073A6</vt:lpwstr>
  </property>
</Properties>
</file>