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海口江东新区管理局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2021年桂林洋公园大道项目支出绩效评价报告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（一）项目概况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业主单位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为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海口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旅游文化投资控股集团有限公司，项目位于江东新区，西起滨江东路，东至东寨港大道，道路全长12.02 公里，路幅宽度为(滨江东路--琼山大道南)50m、(琼山大道南--东寨港大道)40m。主要内容为道路、桥涵、给排水、照明、交通、绿化及管廊工程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项目工期为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11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30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日至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12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日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，因受房屋征拆影响，目前已顺延工期。项目概算总投资为208886.84万元，其中工程费129699.94 万元，工程建设其它费用70794.44万元（含征地拆迁费 61103.98 万元，该项费用以市政府批复为准）。截至2021年底，该项目共计获得财政资金48900万元。目前已支出48900万元，支出100%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该项目总体目标完成通车，年度绩效目标按工期计划推进项目建设，完善道路基础设施，具体如下：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4481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pct"/>
            <w:vMerge w:val="restar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  <w:t>指标类型</w:t>
            </w:r>
          </w:p>
        </w:tc>
        <w:tc>
          <w:tcPr>
            <w:tcW w:w="2629" w:type="pct"/>
            <w:vMerge w:val="restar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  <w:t>指标名称</w:t>
            </w:r>
          </w:p>
        </w:tc>
        <w:tc>
          <w:tcPr>
            <w:tcW w:w="1185" w:type="pct"/>
            <w:vMerge w:val="restart"/>
            <w:vAlign w:val="center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pct"/>
            <w:vMerge w:val="continue"/>
            <w:vAlign w:val="top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629" w:type="pct"/>
            <w:vMerge w:val="continue"/>
            <w:vAlign w:val="top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185" w:type="pct"/>
            <w:vMerge w:val="continue"/>
            <w:vAlign w:val="top"/>
          </w:tcPr>
          <w:p>
            <w:pPr>
              <w:tabs>
                <w:tab w:val="left" w:pos="720"/>
                <w:tab w:val="left" w:pos="3600"/>
              </w:tabs>
              <w:spacing w:line="578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竣工验收合格率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项目设计变更率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≤10%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项目按计划开工率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超概算项目比例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≤5%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6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项目受益人数</w:t>
            </w:r>
          </w:p>
        </w:tc>
        <w:tc>
          <w:tcPr>
            <w:tcW w:w="11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≥200人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二、绩效评价工作开展情况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（一）绩效评价目的、对象、范围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对桂林洋公园大道项目开展部门评价，促进部门提升预算绩效管理工作水平，强化部门支出责任，规范资金管理行为，提高财政资金使用效益。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（二）绩效评价原则、评价指标体系、评价方法、评价标准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1.绩效评价原则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本次部门评价坚持运用科学合理的方法，按照规范的程序，对项目绩效进行客观、公正的反映。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2.评价指标体系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从项目决策、项目管理、项目绩效等三大指标开展部门评价。</w:t>
      </w:r>
    </w:p>
    <w:tbl>
      <w:tblPr>
        <w:tblStyle w:val="4"/>
        <w:tblW w:w="7403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项目目标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项目绩效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3.评价方法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本次部门评价采用比较法，将项目实施情况与绩效目标情况进行比较。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4.评价标准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本次部门评价以年初的目标、计划、预算、定额等作为评价标准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（三）绩效评价工作过程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评价小组对评价资料进行认真梳理，测算分析各项指标，汇总评分并形成评价报告。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1.对《项目支出绩效评价管理办法》（财预〔2020〕10号）进行研读，对部门评价有基本的把握和了解，归纳出进一步评价所需的信息。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2.集中对各个评价指标逐一进行分析。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3.评价小组汇总分析评价过程中发现的问题并对存在问题进行讨论，分别计算各评价指标所得分数，形成评价结果。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4.根据评价结果，撰写评价报告。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绩效评价工作小组从项目决策、项目管理、项目绩效三方面分别对该项目进行评价，项目目标设定、决策过程、资金分配、资金到位、资金管理、组织实施、项目效果等方面落实情况较好，评价得分99分，评价等次为优，达到了预期设定的项目绩效目标。</w:t>
      </w:r>
    </w:p>
    <w:tbl>
      <w:tblPr>
        <w:tblStyle w:val="4"/>
        <w:tblW w:w="8579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27"/>
        <w:gridCol w:w="1325"/>
        <w:gridCol w:w="829"/>
        <w:gridCol w:w="1770"/>
        <w:gridCol w:w="1176"/>
        <w:gridCol w:w="1176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项目决策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项目目标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begin"/>
            </w:r>
            <w:r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 \* MERGEFORMAT </w:instrTex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drawing>
                <wp:inline distT="0" distB="0" distL="114300" distR="114300">
                  <wp:extent cx="19050" cy="1905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fldChar w:fldCharType="end"/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目标内容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决策过程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决策依据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决策程序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资金分配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分配办法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分配结果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项目管理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资金到位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到位率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到位时效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资金管理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资金使用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财务管理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组织实施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组织机构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管理制度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项目绩效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项目产出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产出数量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产出质量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产出时效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产出成本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项目效益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经济效益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社会效益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环境效益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可持续影响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服务对象满意度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</w:rPr>
              <w:t>评价等次</w:t>
            </w:r>
          </w:p>
        </w:tc>
        <w:tc>
          <w:tcPr>
            <w:tcW w:w="4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四、绩效评价指标分析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（一）项目决策情况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《海口江东新区三组团（国际综合服务组团、国际文化交流组团、国际高教可研组团）控制性详细规划及城市设计》，江东新区管理局决定启动桂林洋公园大道项目建设。该项目列入2021年海口市政府投资项目计划。项目设定了绩效目标，绩效目标与实际工作内容具有相关性。项目预算编制科学合理，预算资金分配依据充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（二）项目过程情况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2020年我局制定并印发了《政府投资项目管理办法（试行）》，建立了有效的项目管理制度，保证了项目安全有效运行，确保了项目顺利实施，取得明显成效。项目资金支付严格履行审批程序，使用规范，会计核算结果真实、准确。此次绩效评价过程中未发现挤占或挪用项目资金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该项目2021年获得财政资金33000万元，当年已支出26508万元，支出80%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（三）项目产出情况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该项目资金到位及时，项目顺利实施，截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highlight w:val="none"/>
          <w:lang w:val="en-US" w:eastAsia="zh-CN" w:bidi="ar"/>
        </w:rPr>
        <w:t>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底，本项目道路工程已完成32%，路基处理完成占比95.93%，桥涵完成占比59%，管廊施工完成占比超50%，土方完成占比39%；现有工作面均积极推进施工进度，保质保量完成施工任务。项目完成程度较好，实现了预定预算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（四）项目效益情况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该项目建成后将加速了海南海口江东片区的开发建设速度，为海口江东片区经济的腾飞奠定了坚实的基础，社会效益极其显著，有利于海口经济的发展，有利于提高沿线人民的收入，改善人民的生活环境，有利于改善当地的人文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NzcwMGNlMmU0NTYwMTdkOTdmNzg0YTQ3YWJmYjYifQ=="/>
  </w:docVars>
  <w:rsids>
    <w:rsidRoot w:val="435E1F18"/>
    <w:rsid w:val="02233DF4"/>
    <w:rsid w:val="023A5912"/>
    <w:rsid w:val="02CB6390"/>
    <w:rsid w:val="040B460D"/>
    <w:rsid w:val="04621786"/>
    <w:rsid w:val="0626600A"/>
    <w:rsid w:val="06F95DEE"/>
    <w:rsid w:val="08093106"/>
    <w:rsid w:val="08AF5C9C"/>
    <w:rsid w:val="0A092149"/>
    <w:rsid w:val="0A787E3B"/>
    <w:rsid w:val="0AC273C6"/>
    <w:rsid w:val="0AC94BD1"/>
    <w:rsid w:val="0BD17C84"/>
    <w:rsid w:val="0BDE5F87"/>
    <w:rsid w:val="0DBB40F2"/>
    <w:rsid w:val="0DE47EA0"/>
    <w:rsid w:val="0E9A79D6"/>
    <w:rsid w:val="111C1707"/>
    <w:rsid w:val="126332E8"/>
    <w:rsid w:val="12AB34F1"/>
    <w:rsid w:val="135734FF"/>
    <w:rsid w:val="14B51D19"/>
    <w:rsid w:val="14FA1115"/>
    <w:rsid w:val="154455E1"/>
    <w:rsid w:val="15481788"/>
    <w:rsid w:val="1652225F"/>
    <w:rsid w:val="16630DA5"/>
    <w:rsid w:val="1682257B"/>
    <w:rsid w:val="180C39B2"/>
    <w:rsid w:val="190A44B1"/>
    <w:rsid w:val="19263C3A"/>
    <w:rsid w:val="19316574"/>
    <w:rsid w:val="19795372"/>
    <w:rsid w:val="19AA72EE"/>
    <w:rsid w:val="1AC1553C"/>
    <w:rsid w:val="1B007691"/>
    <w:rsid w:val="1CB1400C"/>
    <w:rsid w:val="1DBB2B25"/>
    <w:rsid w:val="1E122B23"/>
    <w:rsid w:val="1E312225"/>
    <w:rsid w:val="1E5510E3"/>
    <w:rsid w:val="1F25228A"/>
    <w:rsid w:val="1F5D4E3E"/>
    <w:rsid w:val="20281024"/>
    <w:rsid w:val="20B5758E"/>
    <w:rsid w:val="23335B9D"/>
    <w:rsid w:val="23EF1B0E"/>
    <w:rsid w:val="247A1B51"/>
    <w:rsid w:val="27E81586"/>
    <w:rsid w:val="28B735AC"/>
    <w:rsid w:val="29B57C78"/>
    <w:rsid w:val="2A81430A"/>
    <w:rsid w:val="2AB57C33"/>
    <w:rsid w:val="2AE457DA"/>
    <w:rsid w:val="2B336677"/>
    <w:rsid w:val="2C192B4A"/>
    <w:rsid w:val="2C8221BC"/>
    <w:rsid w:val="2D7160E8"/>
    <w:rsid w:val="2D9F1EA3"/>
    <w:rsid w:val="2DA417DD"/>
    <w:rsid w:val="2E827D28"/>
    <w:rsid w:val="2E9826F7"/>
    <w:rsid w:val="301A40B9"/>
    <w:rsid w:val="30483FA0"/>
    <w:rsid w:val="30AE4CE7"/>
    <w:rsid w:val="30BB4EA6"/>
    <w:rsid w:val="31437427"/>
    <w:rsid w:val="326C58E4"/>
    <w:rsid w:val="340F7934"/>
    <w:rsid w:val="34C8661B"/>
    <w:rsid w:val="35F728BC"/>
    <w:rsid w:val="3714005C"/>
    <w:rsid w:val="37372992"/>
    <w:rsid w:val="37C51992"/>
    <w:rsid w:val="38042CB3"/>
    <w:rsid w:val="38B37090"/>
    <w:rsid w:val="390C1A27"/>
    <w:rsid w:val="3ABA6910"/>
    <w:rsid w:val="3B0A2EB0"/>
    <w:rsid w:val="3B500164"/>
    <w:rsid w:val="3B59178B"/>
    <w:rsid w:val="3B9C4053"/>
    <w:rsid w:val="3BC1526B"/>
    <w:rsid w:val="3C444B0B"/>
    <w:rsid w:val="3E4B066F"/>
    <w:rsid w:val="3FBB4BCB"/>
    <w:rsid w:val="405D14CB"/>
    <w:rsid w:val="41253788"/>
    <w:rsid w:val="418D0587"/>
    <w:rsid w:val="41B37671"/>
    <w:rsid w:val="435E1F18"/>
    <w:rsid w:val="449F4DAD"/>
    <w:rsid w:val="44B278BB"/>
    <w:rsid w:val="44B939E4"/>
    <w:rsid w:val="45C05007"/>
    <w:rsid w:val="461E0D18"/>
    <w:rsid w:val="464F2DD5"/>
    <w:rsid w:val="467C5C77"/>
    <w:rsid w:val="47C55320"/>
    <w:rsid w:val="498015D8"/>
    <w:rsid w:val="49B72F9D"/>
    <w:rsid w:val="49C0331C"/>
    <w:rsid w:val="4AA6125F"/>
    <w:rsid w:val="4B5A13DB"/>
    <w:rsid w:val="4B820499"/>
    <w:rsid w:val="4C1448F5"/>
    <w:rsid w:val="4C625BDA"/>
    <w:rsid w:val="4D650FE4"/>
    <w:rsid w:val="4DB471EB"/>
    <w:rsid w:val="4DFF0279"/>
    <w:rsid w:val="4E414DDC"/>
    <w:rsid w:val="4E583744"/>
    <w:rsid w:val="4FB54242"/>
    <w:rsid w:val="52C426C7"/>
    <w:rsid w:val="53C26E43"/>
    <w:rsid w:val="54D85B6D"/>
    <w:rsid w:val="54E47B8F"/>
    <w:rsid w:val="54FE4F3A"/>
    <w:rsid w:val="55A57892"/>
    <w:rsid w:val="57472016"/>
    <w:rsid w:val="578A390E"/>
    <w:rsid w:val="57D636C9"/>
    <w:rsid w:val="58C44394"/>
    <w:rsid w:val="59D74C62"/>
    <w:rsid w:val="59E1651D"/>
    <w:rsid w:val="5A3B0856"/>
    <w:rsid w:val="5A4B6F13"/>
    <w:rsid w:val="5A6A79F7"/>
    <w:rsid w:val="5A712949"/>
    <w:rsid w:val="5B830385"/>
    <w:rsid w:val="5BF510A0"/>
    <w:rsid w:val="5F367622"/>
    <w:rsid w:val="5F3F3404"/>
    <w:rsid w:val="5F905550"/>
    <w:rsid w:val="617F6B7B"/>
    <w:rsid w:val="62806640"/>
    <w:rsid w:val="63636628"/>
    <w:rsid w:val="649E3CEE"/>
    <w:rsid w:val="65411CA7"/>
    <w:rsid w:val="65694914"/>
    <w:rsid w:val="67B21E4C"/>
    <w:rsid w:val="68024B96"/>
    <w:rsid w:val="68903265"/>
    <w:rsid w:val="6A893A8D"/>
    <w:rsid w:val="6B657B2B"/>
    <w:rsid w:val="6C02565A"/>
    <w:rsid w:val="6C8B5B44"/>
    <w:rsid w:val="6E6E68A0"/>
    <w:rsid w:val="6EB377AA"/>
    <w:rsid w:val="6FB6700B"/>
    <w:rsid w:val="701D3C49"/>
    <w:rsid w:val="710022AC"/>
    <w:rsid w:val="725E09BE"/>
    <w:rsid w:val="727437E0"/>
    <w:rsid w:val="73497518"/>
    <w:rsid w:val="74C3652D"/>
    <w:rsid w:val="75D014F7"/>
    <w:rsid w:val="764C182F"/>
    <w:rsid w:val="7704672F"/>
    <w:rsid w:val="77175582"/>
    <w:rsid w:val="791F742A"/>
    <w:rsid w:val="79525C32"/>
    <w:rsid w:val="7B2F66D1"/>
    <w:rsid w:val="7B76655D"/>
    <w:rsid w:val="7BBF5BC9"/>
    <w:rsid w:val="7CE205E6"/>
    <w:rsid w:val="7EDF397E"/>
    <w:rsid w:val="7FA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1997</Words>
  <Characters>2150</Characters>
  <Lines>0</Lines>
  <Paragraphs>0</Paragraphs>
  <TotalTime>0</TotalTime>
  <ScaleCrop>false</ScaleCrop>
  <LinksUpToDate>false</LinksUpToDate>
  <CharactersWithSpaces>2155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2021-09-30T09:36:00Z</dcterms:created>
  <dc:creator>恋</dc:creator>
  <cp:lastModifiedBy>阳光一生</cp:lastModifiedBy>
  <dcterms:modified xsi:type="dcterms:W3CDTF">2022-10-25T11:57:23Z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D0C6FA9B87CF4892B98FE178A7016FA0</vt:lpwstr>
  </property>
</Properties>
</file>