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海口江东新区管理局</w:t>
      </w:r>
    </w:p>
    <w:p>
      <w:pPr>
        <w:pStyle w:val="5"/>
        <w:spacing w:before="0" w:after="0"/>
        <w:ind w:firstLine="0" w:firstLineChars="0"/>
        <w:rPr>
          <w:rFonts w:ascii="方正小标宋简体" w:eastAsia="方正小标宋简体"/>
          <w:sz w:val="40"/>
          <w:szCs w:val="40"/>
          <w:highlight w:val="none"/>
        </w:rPr>
      </w:pPr>
      <w:r>
        <w:rPr>
          <w:rFonts w:hint="eastAsia" w:ascii="宋体" w:hAnsi="宋体" w:eastAsia="宋体" w:cs="宋体"/>
          <w:sz w:val="44"/>
          <w:szCs w:val="44"/>
          <w:highlight w:val="none"/>
        </w:rPr>
        <w:t>2021年临空经济区主干能源设施配套路网项目支出绩效评价报告</w:t>
      </w:r>
    </w:p>
    <w:p>
      <w:pPr>
        <w:ind w:firstLine="640" w:firstLineChars="200"/>
        <w:rPr>
          <w:rFonts w:ascii="黑体" w:hAnsi="黑体" w:eastAsia="黑体" w:cs="黑体"/>
          <w:sz w:val="32"/>
          <w:szCs w:val="32"/>
          <w:highlight w:val="none"/>
        </w:rPr>
      </w:pP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widowControl/>
        <w:ind w:firstLine="640" w:firstLineChars="200"/>
        <w:jc w:val="left"/>
        <w:rPr>
          <w:rFonts w:hint="eastAsia" w:ascii="仿宋_GB2312" w:hAnsi="Times New Roman" w:eastAsia="仿宋_GB2312" w:cs="仿宋_GB2312"/>
          <w:sz w:val="32"/>
          <w:szCs w:val="32"/>
          <w:highlight w:val="none"/>
          <w:lang w:bidi="ar"/>
        </w:rPr>
      </w:pPr>
      <w:r>
        <w:rPr>
          <w:rFonts w:hint="eastAsia" w:ascii="仿宋_GB2312" w:hAnsi="Times New Roman" w:eastAsia="仿宋_GB2312" w:cs="仿宋_GB2312"/>
          <w:sz w:val="32"/>
          <w:szCs w:val="32"/>
          <w:highlight w:val="none"/>
          <w:lang w:bidi="ar"/>
        </w:rPr>
        <w:t>临空经济区主干能源设施配套路网项目业主为海口市路桥建设投资有限公司，项目位于海口市美兰区，临空经济区，主要建设内容：建设桂江大道（中段）、空港环路、顺达路、美溪路（西段）、林香一路、南贸大道（东1段）共</w:t>
      </w:r>
      <w:r>
        <w:rPr>
          <w:rFonts w:ascii="仿宋_GB2312" w:hAnsi="Times New Roman" w:eastAsia="仿宋_GB2312" w:cs="仿宋_GB2312"/>
          <w:sz w:val="32"/>
          <w:szCs w:val="32"/>
          <w:highlight w:val="none"/>
          <w:lang w:bidi="ar"/>
        </w:rPr>
        <w:t xml:space="preserve"> 6 </w:t>
      </w:r>
      <w:r>
        <w:rPr>
          <w:rFonts w:hint="eastAsia" w:ascii="仿宋_GB2312" w:hAnsi="Times New Roman" w:eastAsia="仿宋_GB2312" w:cs="仿宋_GB2312"/>
          <w:sz w:val="32"/>
          <w:szCs w:val="32"/>
          <w:highlight w:val="none"/>
          <w:lang w:bidi="ar"/>
        </w:rPr>
        <w:t>条市政道路，红线宽40-48米，总长</w:t>
      </w:r>
      <w:r>
        <w:rPr>
          <w:rFonts w:ascii="仿宋_GB2312" w:hAnsi="Times New Roman" w:eastAsia="仿宋_GB2312" w:cs="仿宋_GB2312"/>
          <w:sz w:val="32"/>
          <w:szCs w:val="32"/>
          <w:highlight w:val="none"/>
          <w:lang w:bidi="ar"/>
        </w:rPr>
        <w:t xml:space="preserve"> </w:t>
      </w:r>
      <w:r>
        <w:rPr>
          <w:rFonts w:hint="eastAsia" w:ascii="仿宋_GB2312" w:hAnsi="Times New Roman" w:eastAsia="仿宋_GB2312" w:cs="仿宋_GB2312"/>
          <w:sz w:val="32"/>
          <w:szCs w:val="32"/>
          <w:highlight w:val="none"/>
          <w:lang w:bidi="ar"/>
        </w:rPr>
        <w:t>9.942km；共设置桥梁4座，桥梁总长约140m，总面积约5720.31</w:t>
      </w:r>
      <w:r>
        <w:rPr>
          <w:rFonts w:ascii="仿宋_GB2312" w:hAnsi="Times New Roman" w:eastAsia="仿宋_GB2312" w:cs="仿宋_GB2312"/>
          <w:sz w:val="32"/>
          <w:szCs w:val="32"/>
          <w:highlight w:val="none"/>
          <w:lang w:bidi="ar"/>
        </w:rPr>
        <w:t xml:space="preserve"> </w:t>
      </w:r>
      <w:r>
        <w:rPr>
          <w:rFonts w:hint="eastAsia" w:ascii="仿宋_GB2312" w:hAnsi="Times New Roman" w:eastAsia="仿宋_GB2312" w:cs="仿宋_GB2312"/>
          <w:sz w:val="32"/>
          <w:szCs w:val="32"/>
          <w:highlight w:val="none"/>
          <w:lang w:bidi="ar"/>
        </w:rPr>
        <w:t>㎡；设置跨越河道过水箱涵一座；空港环路下穿美兰互通，设置长约</w:t>
      </w:r>
      <w:r>
        <w:rPr>
          <w:rFonts w:ascii="仿宋_GB2312" w:hAnsi="Times New Roman" w:eastAsia="仿宋_GB2312" w:cs="仿宋_GB2312"/>
          <w:sz w:val="32"/>
          <w:szCs w:val="32"/>
          <w:highlight w:val="none"/>
          <w:lang w:bidi="ar"/>
        </w:rPr>
        <w:t xml:space="preserve"> 123 </w:t>
      </w:r>
      <w:r>
        <w:rPr>
          <w:rFonts w:hint="eastAsia" w:ascii="仿宋_GB2312" w:hAnsi="Times New Roman" w:eastAsia="仿宋_GB2312" w:cs="仿宋_GB2312"/>
          <w:sz w:val="32"/>
          <w:szCs w:val="32"/>
          <w:highlight w:val="none"/>
          <w:lang w:bidi="ar"/>
        </w:rPr>
        <w:t>米</w:t>
      </w:r>
      <w:r>
        <w:rPr>
          <w:rFonts w:ascii="仿宋_GB2312" w:hAnsi="Times New Roman" w:eastAsia="仿宋_GB2312" w:cs="仿宋_GB2312"/>
          <w:sz w:val="32"/>
          <w:szCs w:val="32"/>
          <w:highlight w:val="none"/>
          <w:lang w:bidi="ar"/>
        </w:rPr>
        <w:t xml:space="preserve"> U </w:t>
      </w:r>
      <w:r>
        <w:rPr>
          <w:rFonts w:hint="eastAsia" w:ascii="仿宋_GB2312" w:hAnsi="Times New Roman" w:eastAsia="仿宋_GB2312" w:cs="仿宋_GB2312"/>
          <w:sz w:val="32"/>
          <w:szCs w:val="32"/>
          <w:highlight w:val="none"/>
          <w:lang w:bidi="ar"/>
        </w:rPr>
        <w:t>槽路段，与美兰互通的预留闭合框架桥衔接；建设污水提升泵站1座、临时污水处理站3</w:t>
      </w:r>
      <w:r>
        <w:rPr>
          <w:rFonts w:ascii="仿宋_GB2312" w:hAnsi="Times New Roman" w:eastAsia="仿宋_GB2312" w:cs="仿宋_GB2312"/>
          <w:sz w:val="32"/>
          <w:szCs w:val="32"/>
          <w:highlight w:val="none"/>
          <w:lang w:bidi="ar"/>
        </w:rPr>
        <w:t xml:space="preserve"> </w:t>
      </w:r>
      <w:r>
        <w:rPr>
          <w:rFonts w:hint="eastAsia" w:ascii="仿宋_GB2312" w:hAnsi="Times New Roman" w:eastAsia="仿宋_GB2312" w:cs="仿宋_GB2312"/>
          <w:sz w:val="32"/>
          <w:szCs w:val="32"/>
          <w:highlight w:val="none"/>
          <w:lang w:bidi="ar"/>
        </w:rPr>
        <w:t>座。本项目建设内容包括道路工程、交通工程、桥梁工程、排水工程、给水工程、再生水工程、照明工程、绿化工程（含路侧绿化）、海绵工程、缆线沟工程和电力沟工程。项目工期为2020年7月15日至2022年4月30日（工期）。项目总投资126753.17万元，其中建设总投资114020.35万元，征地拆迁费12732.82万元。</w:t>
      </w:r>
      <w:r>
        <w:rPr>
          <w:rFonts w:hint="eastAsia" w:ascii="仿宋_GB2312" w:hAnsi="Times New Roman" w:eastAsia="仿宋_GB2312" w:cs="仿宋_GB2312"/>
          <w:sz w:val="32"/>
          <w:szCs w:val="32"/>
          <w:highlight w:val="none"/>
          <w:lang w:val="en-US" w:eastAsia="zh-CN" w:bidi="ar"/>
        </w:rPr>
        <w:t>截</w:t>
      </w:r>
      <w:r>
        <w:rPr>
          <w:rFonts w:hint="eastAsia" w:ascii="仿宋_GB2312" w:hAnsi="Times New Roman" w:eastAsia="仿宋_GB2312" w:cs="仿宋_GB2312"/>
          <w:sz w:val="32"/>
          <w:szCs w:val="32"/>
          <w:highlight w:val="none"/>
          <w:lang w:bidi="ar"/>
        </w:rPr>
        <w:t>至</w:t>
      </w:r>
      <w:r>
        <w:rPr>
          <w:rFonts w:hint="eastAsia" w:ascii="仿宋_GB2312" w:hAnsi="Times New Roman" w:eastAsia="仿宋_GB2312" w:cs="仿宋_GB2312"/>
          <w:sz w:val="32"/>
          <w:szCs w:val="32"/>
          <w:highlight w:val="none"/>
          <w:lang w:val="en-US" w:eastAsia="zh-CN" w:bidi="ar"/>
        </w:rPr>
        <w:t>2021年底，</w:t>
      </w:r>
      <w:r>
        <w:rPr>
          <w:rFonts w:hint="eastAsia" w:ascii="仿宋_GB2312" w:hAnsi="Times New Roman" w:eastAsia="仿宋_GB2312" w:cs="仿宋_GB2312"/>
          <w:sz w:val="32"/>
          <w:szCs w:val="32"/>
          <w:highlight w:val="none"/>
          <w:lang w:bidi="ar"/>
        </w:rPr>
        <w:t>项目共计获得</w:t>
      </w:r>
      <w:r>
        <w:rPr>
          <w:rFonts w:hint="eastAsia" w:ascii="仿宋_GB2312" w:hAnsi="Times New Roman" w:eastAsia="仿宋_GB2312" w:cs="仿宋_GB2312"/>
          <w:sz w:val="32"/>
          <w:szCs w:val="32"/>
          <w:highlight w:val="none"/>
          <w:lang w:val="en-US" w:eastAsia="zh-CN" w:bidi="ar"/>
        </w:rPr>
        <w:t>资金71800</w:t>
      </w:r>
      <w:r>
        <w:rPr>
          <w:rFonts w:hint="eastAsia" w:ascii="仿宋_GB2312" w:hAnsi="Times New Roman" w:eastAsia="仿宋_GB2312" w:cs="仿宋_GB2312"/>
          <w:sz w:val="32"/>
          <w:szCs w:val="32"/>
          <w:highlight w:val="none"/>
          <w:lang w:bidi="ar"/>
        </w:rPr>
        <w:t>万元，已支出</w:t>
      </w:r>
      <w:r>
        <w:rPr>
          <w:rFonts w:hint="eastAsia" w:ascii="仿宋_GB2312" w:hAnsi="Times New Roman" w:eastAsia="仿宋_GB2312" w:cs="仿宋_GB2312"/>
          <w:sz w:val="32"/>
          <w:szCs w:val="32"/>
          <w:highlight w:val="none"/>
          <w:lang w:val="en-US" w:eastAsia="zh-CN" w:bidi="ar"/>
        </w:rPr>
        <w:t>718</w:t>
      </w:r>
      <w:r>
        <w:rPr>
          <w:rFonts w:hint="eastAsia" w:ascii="仿宋_GB2312" w:hAnsi="Times New Roman" w:eastAsia="仿宋_GB2312" w:cs="仿宋_GB2312"/>
          <w:sz w:val="32"/>
          <w:szCs w:val="32"/>
          <w:highlight w:val="none"/>
          <w:lang w:bidi="ar"/>
        </w:rPr>
        <w:t>00万元，支出100%。</w:t>
      </w:r>
      <w:bookmarkStart w:id="0" w:name="_GoBack"/>
      <w:bookmarkEnd w:id="0"/>
    </w:p>
    <w:p>
      <w:pPr>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（二）项目绩效目标</w:t>
      </w:r>
    </w:p>
    <w:p>
      <w:pPr>
        <w:ind w:firstLine="640" w:firstLineChars="200"/>
        <w:rPr>
          <w:highlight w:val="none"/>
        </w:rPr>
      </w:pPr>
      <w:r>
        <w:rPr>
          <w:rFonts w:hint="eastAsia" w:ascii="仿宋_GB2312" w:hAnsi="仿宋_GB2312" w:eastAsia="仿宋_GB2312" w:cs="仿宋_GB2312"/>
          <w:sz w:val="32"/>
          <w:szCs w:val="32"/>
          <w:highlight w:val="none"/>
        </w:rPr>
        <w:t>该项目总体目标是项目按工期计划推进临空经济区主干能源设施配套路网（原临空二期）项目9.0公里的市政道路建设内容的建设，完善基础设施，解决出行需求，年度绩效目标如下：</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restart"/>
            <w:vAlign w:val="center"/>
          </w:tcPr>
          <w:p>
            <w:pPr>
              <w:tabs>
                <w:tab w:val="left" w:pos="720"/>
                <w:tab w:val="left" w:pos="3600"/>
              </w:tabs>
              <w:spacing w:line="578" w:lineRule="exact"/>
              <w:jc w:val="center"/>
              <w:rPr>
                <w:rFonts w:ascii="宋体" w:hAnsi="宋体" w:eastAsia="宋体"/>
                <w:b/>
                <w:sz w:val="24"/>
                <w:highlight w:val="none"/>
              </w:rPr>
            </w:pPr>
            <w:r>
              <w:rPr>
                <w:rFonts w:hint="eastAsia" w:ascii="宋体" w:hAnsi="宋体" w:eastAsia="宋体"/>
                <w:b/>
                <w:sz w:val="24"/>
                <w:highlight w:val="none"/>
              </w:rPr>
              <w:t>指标类型</w:t>
            </w:r>
          </w:p>
        </w:tc>
        <w:tc>
          <w:tcPr>
            <w:tcW w:w="2630" w:type="pct"/>
            <w:vMerge w:val="restart"/>
            <w:vAlign w:val="center"/>
          </w:tcPr>
          <w:p>
            <w:pPr>
              <w:tabs>
                <w:tab w:val="left" w:pos="720"/>
                <w:tab w:val="left" w:pos="3600"/>
              </w:tabs>
              <w:spacing w:line="578" w:lineRule="exact"/>
              <w:jc w:val="center"/>
              <w:rPr>
                <w:rFonts w:ascii="宋体" w:hAnsi="宋体" w:eastAsia="宋体"/>
                <w:b/>
                <w:sz w:val="24"/>
                <w:highlight w:val="none"/>
              </w:rPr>
            </w:pPr>
            <w:r>
              <w:rPr>
                <w:rFonts w:hint="eastAsia" w:ascii="宋体" w:hAnsi="宋体" w:eastAsia="宋体"/>
                <w:b/>
                <w:sz w:val="24"/>
                <w:highlight w:val="none"/>
              </w:rPr>
              <w:t>指标名称</w:t>
            </w:r>
          </w:p>
        </w:tc>
        <w:tc>
          <w:tcPr>
            <w:tcW w:w="1185" w:type="pct"/>
            <w:vMerge w:val="restart"/>
            <w:vAlign w:val="center"/>
          </w:tcPr>
          <w:p>
            <w:pPr>
              <w:tabs>
                <w:tab w:val="left" w:pos="720"/>
                <w:tab w:val="left" w:pos="3600"/>
              </w:tabs>
              <w:spacing w:line="578" w:lineRule="exact"/>
              <w:jc w:val="center"/>
              <w:rPr>
                <w:rFonts w:ascii="宋体" w:hAnsi="宋体" w:eastAsia="宋体"/>
                <w:b/>
                <w:sz w:val="24"/>
                <w:highlight w:val="none"/>
              </w:rPr>
            </w:pPr>
            <w:r>
              <w:rPr>
                <w:rFonts w:hint="eastAsia" w:ascii="宋体" w:hAnsi="宋体" w:eastAsia="宋体"/>
                <w:b/>
                <w:sz w:val="24"/>
                <w:highlight w:val="none"/>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continue"/>
          </w:tcPr>
          <w:p>
            <w:pPr>
              <w:tabs>
                <w:tab w:val="left" w:pos="720"/>
                <w:tab w:val="left" w:pos="3600"/>
              </w:tabs>
              <w:spacing w:line="578" w:lineRule="exact"/>
              <w:jc w:val="center"/>
              <w:rPr>
                <w:rFonts w:ascii="宋体" w:hAnsi="宋体" w:eastAsia="宋体"/>
                <w:b/>
                <w:sz w:val="24"/>
                <w:highlight w:val="none"/>
              </w:rPr>
            </w:pPr>
          </w:p>
        </w:tc>
        <w:tc>
          <w:tcPr>
            <w:tcW w:w="2630" w:type="pct"/>
            <w:vMerge w:val="continue"/>
          </w:tcPr>
          <w:p>
            <w:pPr>
              <w:tabs>
                <w:tab w:val="left" w:pos="720"/>
                <w:tab w:val="left" w:pos="3600"/>
              </w:tabs>
              <w:spacing w:line="578" w:lineRule="exact"/>
              <w:jc w:val="center"/>
              <w:rPr>
                <w:rFonts w:ascii="宋体" w:hAnsi="宋体" w:eastAsia="宋体"/>
                <w:b/>
                <w:sz w:val="24"/>
                <w:highlight w:val="none"/>
              </w:rPr>
            </w:pPr>
          </w:p>
        </w:tc>
        <w:tc>
          <w:tcPr>
            <w:tcW w:w="1185" w:type="pct"/>
            <w:vMerge w:val="continue"/>
          </w:tcPr>
          <w:p>
            <w:pPr>
              <w:tabs>
                <w:tab w:val="left" w:pos="720"/>
                <w:tab w:val="left" w:pos="3600"/>
              </w:tabs>
              <w:spacing w:line="578" w:lineRule="exact"/>
              <w:jc w:val="center"/>
              <w:rPr>
                <w:rFonts w:ascii="宋体" w:hAnsi="宋体"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185" w:type="pct"/>
            <w:vAlign w:val="center"/>
          </w:tcPr>
          <w:p>
            <w:pPr>
              <w:tabs>
                <w:tab w:val="left" w:pos="720"/>
                <w:tab w:val="left" w:pos="3600"/>
              </w:tabs>
              <w:spacing w:line="578" w:lineRule="exact"/>
              <w:ind w:firstLine="480" w:firstLineChars="200"/>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tabs>
                <w:tab w:val="left" w:pos="720"/>
                <w:tab w:val="left" w:pos="3600"/>
              </w:tabs>
              <w:spacing w:line="400" w:lineRule="exact"/>
              <w:jc w:val="center"/>
              <w:rPr>
                <w:rFonts w:ascii="宋体" w:hAnsi="宋体"/>
                <w:sz w:val="24"/>
                <w:highlight w:val="none"/>
              </w:rPr>
            </w:pPr>
            <w:r>
              <w:rPr>
                <w:rFonts w:hint="eastAsia" w:ascii="宋体" w:hAnsi="宋体"/>
                <w:sz w:val="24"/>
                <w:highlight w:val="none"/>
              </w:rPr>
              <w:t>建设(改造、修缮)工程量</w:t>
            </w:r>
          </w:p>
        </w:tc>
        <w:tc>
          <w:tcPr>
            <w:tcW w:w="1185" w:type="pct"/>
            <w:vAlign w:val="center"/>
          </w:tcPr>
          <w:p>
            <w:pPr>
              <w:tabs>
                <w:tab w:val="left" w:pos="720"/>
                <w:tab w:val="left" w:pos="3600"/>
              </w:tabs>
              <w:spacing w:line="578" w:lineRule="exact"/>
              <w:jc w:val="center"/>
              <w:rPr>
                <w:rFonts w:hint="eastAsia" w:ascii="宋体" w:hAnsi="宋体" w:eastAsiaTheme="minorEastAsia"/>
                <w:sz w:val="24"/>
                <w:highlight w:val="none"/>
                <w:lang w:eastAsia="zh-CN"/>
              </w:rPr>
            </w:pPr>
            <w:r>
              <w:rPr>
                <w:rFonts w:hint="eastAsia" w:ascii="宋体" w:hAnsi="宋体"/>
                <w:sz w:val="24"/>
                <w:highlight w:val="none"/>
              </w:rPr>
              <w:t>≥2</w:t>
            </w:r>
            <w:r>
              <w:rPr>
                <w:rFonts w:hint="eastAsia" w:ascii="宋体" w:hAnsi="宋体"/>
                <w:sz w:val="24"/>
                <w:highlight w:val="none"/>
                <w:lang w:val="en-US" w:eastAsia="zh-C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tabs>
                <w:tab w:val="left" w:pos="720"/>
                <w:tab w:val="left" w:pos="3600"/>
              </w:tabs>
              <w:spacing w:line="400" w:lineRule="exact"/>
              <w:jc w:val="center"/>
              <w:rPr>
                <w:rFonts w:ascii="宋体" w:hAnsi="宋体"/>
                <w:sz w:val="24"/>
                <w:highlight w:val="none"/>
              </w:rPr>
            </w:pPr>
            <w:r>
              <w:rPr>
                <w:rFonts w:hint="eastAsia" w:ascii="宋体" w:hAnsi="宋体"/>
                <w:sz w:val="24"/>
                <w:highlight w:val="none"/>
              </w:rPr>
              <w:t>竣工验收合格率</w:t>
            </w:r>
          </w:p>
        </w:tc>
        <w:tc>
          <w:tcPr>
            <w:tcW w:w="1185" w:type="pct"/>
            <w:vAlign w:val="center"/>
          </w:tcPr>
          <w:p>
            <w:pPr>
              <w:tabs>
                <w:tab w:val="left" w:pos="720"/>
                <w:tab w:val="left" w:pos="3600"/>
              </w:tabs>
              <w:spacing w:line="578" w:lineRule="exact"/>
              <w:jc w:val="center"/>
              <w:rPr>
                <w:rFonts w:ascii="宋体" w:hAnsi="宋体"/>
                <w:sz w:val="24"/>
                <w:highlight w:val="none"/>
              </w:rPr>
            </w:pPr>
            <w:r>
              <w:rPr>
                <w:rFonts w:hint="eastAsia" w:ascii="宋体" w:hAnsi="宋体"/>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tabs>
                <w:tab w:val="left" w:pos="720"/>
                <w:tab w:val="left" w:pos="3600"/>
              </w:tabs>
              <w:spacing w:line="400" w:lineRule="exact"/>
              <w:jc w:val="center"/>
              <w:rPr>
                <w:rFonts w:ascii="宋体" w:hAnsi="宋体"/>
                <w:sz w:val="24"/>
                <w:highlight w:val="none"/>
              </w:rPr>
            </w:pPr>
            <w:r>
              <w:rPr>
                <w:rFonts w:hint="eastAsia" w:ascii="宋体" w:hAnsi="宋体"/>
                <w:sz w:val="24"/>
                <w:highlight w:val="none"/>
              </w:rPr>
              <w:t>项目设计变更率</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w:t>
            </w:r>
            <w:r>
              <w:rPr>
                <w:rFonts w:ascii="宋体" w:hAnsi="宋体"/>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jc w:val="center"/>
              <w:rPr>
                <w:rFonts w:ascii="宋体" w:hAnsi="宋体"/>
                <w:sz w:val="24"/>
                <w:highlight w:val="none"/>
              </w:rPr>
            </w:pPr>
            <w:r>
              <w:rPr>
                <w:rFonts w:hint="eastAsia" w:ascii="宋体" w:hAnsi="宋体"/>
                <w:sz w:val="24"/>
                <w:highlight w:val="none"/>
              </w:rPr>
              <w:t>项目按计划开工率</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≥10</w:t>
            </w:r>
            <w:r>
              <w:rPr>
                <w:rFonts w:ascii="宋体" w:hAnsi="宋体"/>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jc w:val="center"/>
              <w:rPr>
                <w:rFonts w:hint="eastAsia" w:ascii="宋体" w:hAnsi="宋体"/>
                <w:sz w:val="24"/>
                <w:highlight w:val="none"/>
              </w:rPr>
            </w:pPr>
            <w:r>
              <w:rPr>
                <w:rFonts w:hint="eastAsia" w:ascii="宋体" w:hAnsi="宋体"/>
                <w:sz w:val="24"/>
                <w:highlight w:val="none"/>
              </w:rPr>
              <w:t>项目按计划完工率</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jc w:val="center"/>
              <w:rPr>
                <w:rFonts w:hint="eastAsia" w:ascii="宋体" w:hAnsi="宋体"/>
                <w:sz w:val="24"/>
                <w:highlight w:val="none"/>
              </w:rPr>
            </w:pPr>
            <w:r>
              <w:rPr>
                <w:rFonts w:hint="eastAsia" w:ascii="宋体" w:hAnsi="宋体"/>
                <w:sz w:val="24"/>
                <w:highlight w:val="none"/>
              </w:rPr>
              <w:t>超概算项目比例</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w:t>
            </w:r>
            <w:r>
              <w:rPr>
                <w:rFonts w:ascii="宋体" w:hAnsi="宋体"/>
                <w:sz w:val="24"/>
                <w:highlight w:val="none"/>
              </w:rPr>
              <w:t>5%</w:t>
            </w:r>
          </w:p>
        </w:tc>
      </w:tr>
    </w:tbl>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（一）绩效评价目的、对象、范围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对临空经济区主干能源配套建设路网项目开展部门评价，促进部门提升预算绩效管理工作水平，强化部门支出责任，规范资金管理行为，提高财政资金使用效益。</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（二）绩效评价原则、评价指标体系、评价方法、评价标准</w:t>
      </w:r>
    </w:p>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1.绩效评价原则</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本次部门评价坚持运用科学合理的方法，按照规范的程序，对项目绩效进行客观、公正的反映。</w:t>
      </w:r>
    </w:p>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2.评价指标体系</w:t>
      </w:r>
    </w:p>
    <w:p>
      <w:pPr>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从项目决策、项目管理、项目绩效等三大指标开展部门评价。</w:t>
      </w:r>
    </w:p>
    <w:tbl>
      <w:tblPr>
        <w:tblStyle w:val="6"/>
        <w:tblW w:w="740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tc>
        <w:tc>
          <w:tcPr>
            <w:tcW w:w="927"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r>
    </w:tbl>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3.评价方法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本次部门评价采用比较法，将项目实施情况与绩效目标情况进行比较。</w:t>
      </w:r>
    </w:p>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4.评价标准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本次部门评价以年初的目标、计划、预算、定额等作为评价标准</w:t>
      </w:r>
    </w:p>
    <w:p>
      <w:pPr>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（三）绩效评价工作过程</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评价小组对评价资料进行认真梳理，测算分析各项指标，汇总评分并形成评价报告。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1.对《项目支出绩效评价管理办法》（财预〔2020〕10号）进行研读，对部门评价有基本的把握和了解，归纳出进一步评价所需的信息。</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2.集中对各个评价指标逐一进行分析。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3.评价小组汇总分析评价过程中发现的问题并对存在问题进行讨论，分别计算各评价指标所得分数，形成评价结果。</w:t>
      </w:r>
    </w:p>
    <w:p>
      <w:pPr>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4.根据评价结果，撰写评价报告。</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6"/>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bCs/>
                <w:szCs w:val="21"/>
                <w:highlight w:val="none"/>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szCs w:val="21"/>
                <w:highlight w:val="none"/>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szCs w:val="21"/>
                <w:highlight w:val="none"/>
              </w:rPr>
            </w:pPr>
            <w:r>
              <w:rPr>
                <w:rFonts w:hint="eastAsia" w:ascii="宋体" w:hAnsi="宋体"/>
                <w:bCs/>
                <w:szCs w:val="21"/>
                <w:highlight w:val="none"/>
              </w:rPr>
              <w:t>优</w:t>
            </w:r>
          </w:p>
        </w:tc>
      </w:tr>
    </w:tbl>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海口江东新区总体规划》，加快临空经济区基础设施建设，为解决美兰国际机场二期T2航站楼启用后北侧交通问题，海口市政府决定启动临空经济区主干能源设施配套路网（原临空二期）项目建设。该项目列入20</w:t>
      </w:r>
      <w:r>
        <w:rPr>
          <w:rFonts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t>年海口市政府投资项目计划。项目设定了绩效目标，绩效目标与实际工作内容具有相关性。项目预算编制科学合理，预算资金分配依据充分。</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ind w:firstLine="640" w:firstLineChars="200"/>
        <w:rPr>
          <w:rFonts w:ascii="仿宋_GB2312" w:hAns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该项目2021年获得地债资金</w:t>
      </w:r>
      <w:r>
        <w:rPr>
          <w:rFonts w:ascii="仿宋_GB2312" w:hAnsi="Times New Roman" w:eastAsia="仿宋_GB2312" w:cs="仿宋_GB2312"/>
          <w:sz w:val="32"/>
          <w:szCs w:val="32"/>
          <w:highlight w:val="none"/>
          <w:lang w:bidi="ar"/>
        </w:rPr>
        <w:t>25000</w:t>
      </w:r>
      <w:r>
        <w:rPr>
          <w:rFonts w:hint="eastAsia" w:ascii="仿宋_GB2312" w:hAnsi="Times New Roman" w:eastAsia="仿宋_GB2312" w:cs="仿宋_GB2312"/>
          <w:sz w:val="32"/>
          <w:szCs w:val="32"/>
          <w:highlight w:val="none"/>
          <w:lang w:bidi="ar"/>
        </w:rPr>
        <w:t>万元和园区补贴1</w:t>
      </w:r>
      <w:r>
        <w:rPr>
          <w:rFonts w:ascii="仿宋_GB2312" w:hAnsi="Times New Roman" w:eastAsia="仿宋_GB2312" w:cs="仿宋_GB2312"/>
          <w:sz w:val="32"/>
          <w:szCs w:val="32"/>
          <w:highlight w:val="none"/>
          <w:lang w:bidi="ar"/>
        </w:rPr>
        <w:t>5000</w:t>
      </w:r>
      <w:r>
        <w:rPr>
          <w:rFonts w:hint="eastAsia" w:ascii="仿宋_GB2312" w:hAnsi="Times New Roman" w:eastAsia="仿宋_GB2312" w:cs="仿宋_GB2312"/>
          <w:sz w:val="32"/>
          <w:szCs w:val="32"/>
          <w:highlight w:val="none"/>
          <w:lang w:bidi="ar"/>
        </w:rPr>
        <w:t>万元，合计4</w:t>
      </w:r>
      <w:r>
        <w:rPr>
          <w:rFonts w:ascii="仿宋_GB2312" w:hAnsi="Times New Roman" w:eastAsia="仿宋_GB2312" w:cs="仿宋_GB2312"/>
          <w:sz w:val="32"/>
          <w:szCs w:val="32"/>
          <w:highlight w:val="none"/>
          <w:lang w:bidi="ar"/>
        </w:rPr>
        <w:t>0000</w:t>
      </w:r>
      <w:r>
        <w:rPr>
          <w:rFonts w:hint="eastAsia" w:ascii="仿宋_GB2312" w:hAnsi="Times New Roman" w:eastAsia="仿宋_GB2312" w:cs="仿宋_GB2312"/>
          <w:sz w:val="32"/>
          <w:szCs w:val="32"/>
          <w:highlight w:val="none"/>
          <w:lang w:bidi="ar"/>
        </w:rPr>
        <w:t>万元，</w:t>
      </w:r>
      <w:r>
        <w:rPr>
          <w:rFonts w:hint="eastAsia" w:ascii="仿宋_GB2312" w:hAnsi="Times New Roman" w:eastAsia="仿宋_GB2312" w:cs="仿宋_GB2312"/>
          <w:sz w:val="32"/>
          <w:szCs w:val="32"/>
          <w:highlight w:val="none"/>
          <w:lang w:val="en-US" w:eastAsia="zh-CN" w:bidi="ar"/>
        </w:rPr>
        <w:t>当年</w:t>
      </w:r>
      <w:r>
        <w:rPr>
          <w:rFonts w:hint="eastAsia" w:ascii="仿宋_GB2312" w:hAnsi="Times New Roman" w:eastAsia="仿宋_GB2312" w:cs="仿宋_GB2312"/>
          <w:sz w:val="32"/>
          <w:szCs w:val="32"/>
          <w:highlight w:val="none"/>
          <w:lang w:bidi="ar"/>
        </w:rPr>
        <w:t>支出</w:t>
      </w:r>
      <w:r>
        <w:rPr>
          <w:rFonts w:hint="eastAsia" w:ascii="仿宋_GB2312" w:hAnsi="Times New Roman" w:eastAsia="仿宋_GB2312" w:cs="仿宋_GB2312"/>
          <w:sz w:val="32"/>
          <w:szCs w:val="32"/>
          <w:highlight w:val="none"/>
          <w:lang w:val="en-US" w:eastAsia="zh-CN" w:bidi="ar"/>
        </w:rPr>
        <w:t>34745</w:t>
      </w:r>
      <w:r>
        <w:rPr>
          <w:rFonts w:hint="eastAsia" w:ascii="仿宋_GB2312" w:hAnsi="Times New Roman" w:eastAsia="仿宋_GB2312" w:cs="仿宋_GB2312"/>
          <w:sz w:val="32"/>
          <w:szCs w:val="32"/>
          <w:highlight w:val="none"/>
          <w:lang w:bidi="ar"/>
        </w:rPr>
        <w:t>万元，支出</w:t>
      </w:r>
      <w:r>
        <w:rPr>
          <w:rFonts w:hint="eastAsia" w:ascii="仿宋_GB2312" w:hAnsi="Times New Roman" w:eastAsia="仿宋_GB2312" w:cs="仿宋_GB2312"/>
          <w:sz w:val="32"/>
          <w:szCs w:val="32"/>
          <w:highlight w:val="none"/>
          <w:lang w:val="en-US" w:eastAsia="zh-CN" w:bidi="ar"/>
        </w:rPr>
        <w:t>87</w:t>
      </w:r>
      <w:r>
        <w:rPr>
          <w:rFonts w:hint="eastAsia" w:ascii="仿宋_GB2312" w:hAnsi="Times New Roman"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（三）项目产出情况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该项目资金到位及时，项目顺利实施，2021年完成项目形象进度</w:t>
      </w:r>
      <w:r>
        <w:rPr>
          <w:rFonts w:ascii="仿宋_GB2312" w:hAnsi="仿宋_GB2312" w:eastAsia="仿宋_GB2312" w:cs="仿宋_GB2312"/>
          <w:sz w:val="32"/>
          <w:szCs w:val="32"/>
          <w:highlight w:val="none"/>
        </w:rPr>
        <w:t>99%</w:t>
      </w:r>
      <w:r>
        <w:rPr>
          <w:rFonts w:hint="eastAsia" w:ascii="仿宋_GB2312" w:hAnsi="仿宋_GB2312" w:eastAsia="仿宋_GB2312" w:cs="仿宋_GB2312"/>
          <w:sz w:val="32"/>
          <w:szCs w:val="32"/>
          <w:highlight w:val="none"/>
        </w:rPr>
        <w:t>，基本完工，具备通车条件，项目完成程度较好，实现了预定预算目标。</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该项目建成后将推动海口市临空产业区的飞速发展，与其他在建项目一起，为现状周边地块及南侧已开发地块形成完整的交通及能源供给主通道，满足其内部设施建成后的交通和能源需求。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项目现阶段已实现临空经济区北侧区域交通功能联通，形成主要干道路网，快速连接北侧海文高速，南侧绕城高速，奠定临空产业园基础设施建设，将进一步加快临空产业园的快速发展。</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六、有关建议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BB6EB2-517C-46FC-8D92-54101EBCDA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7327541-6638-4A93-8C89-B2D4D79D1F14}"/>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3" w:fontKey="{3BC70FDC-7A98-4377-A6AA-8B2BC71F2188}"/>
  </w:font>
  <w:font w:name="楷体_GB2312">
    <w:panose1 w:val="02010609030101010101"/>
    <w:charset w:val="86"/>
    <w:family w:val="auto"/>
    <w:pitch w:val="default"/>
    <w:sig w:usb0="00000001" w:usb1="080E0000" w:usb2="00000000" w:usb3="00000000" w:csb0="00040000" w:csb1="00000000"/>
    <w:embedRegular r:id="rId4" w:fontKey="{445DA871-C2EF-42DC-8B28-168CCD86DA5E}"/>
  </w:font>
  <w:font w:name="仿宋_GB2312">
    <w:panose1 w:val="02010609030101010101"/>
    <w:charset w:val="86"/>
    <w:family w:val="auto"/>
    <w:pitch w:val="default"/>
    <w:sig w:usb0="00000001" w:usb1="080E0000" w:usb2="00000000" w:usb3="00000000" w:csb0="00040000" w:csb1="00000000"/>
    <w:embedRegular r:id="rId5" w:fontKey="{AB86FD85-D75C-4205-8146-79813A349BD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zcwMGNlMmU0NTYwMTdkOTdmNzg0YTQ3YWJmYjYifQ=="/>
  </w:docVars>
  <w:rsids>
    <w:rsidRoot w:val="435E1F18"/>
    <w:rsid w:val="004B0775"/>
    <w:rsid w:val="005A4CC2"/>
    <w:rsid w:val="005E1768"/>
    <w:rsid w:val="00772316"/>
    <w:rsid w:val="007C0922"/>
    <w:rsid w:val="007C69B5"/>
    <w:rsid w:val="00951967"/>
    <w:rsid w:val="009C5BB3"/>
    <w:rsid w:val="00D147FF"/>
    <w:rsid w:val="00DC16B8"/>
    <w:rsid w:val="00E45CDB"/>
    <w:rsid w:val="00E945F1"/>
    <w:rsid w:val="00FE638C"/>
    <w:rsid w:val="02233DF4"/>
    <w:rsid w:val="023A5912"/>
    <w:rsid w:val="02CB6390"/>
    <w:rsid w:val="040B460D"/>
    <w:rsid w:val="04621786"/>
    <w:rsid w:val="0626600A"/>
    <w:rsid w:val="06F95DEE"/>
    <w:rsid w:val="08093106"/>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80C39B2"/>
    <w:rsid w:val="190A44B1"/>
    <w:rsid w:val="19263C3A"/>
    <w:rsid w:val="19316574"/>
    <w:rsid w:val="19795372"/>
    <w:rsid w:val="19AA72EE"/>
    <w:rsid w:val="1AC1553C"/>
    <w:rsid w:val="1B007691"/>
    <w:rsid w:val="1CB1400C"/>
    <w:rsid w:val="1DBB2B25"/>
    <w:rsid w:val="1E122B23"/>
    <w:rsid w:val="1E312225"/>
    <w:rsid w:val="1E5510E3"/>
    <w:rsid w:val="1F25228A"/>
    <w:rsid w:val="20281024"/>
    <w:rsid w:val="20B5758E"/>
    <w:rsid w:val="23335B9D"/>
    <w:rsid w:val="23EF1B0E"/>
    <w:rsid w:val="247A1B51"/>
    <w:rsid w:val="24AD72ED"/>
    <w:rsid w:val="27E81586"/>
    <w:rsid w:val="28B735AC"/>
    <w:rsid w:val="29B57C78"/>
    <w:rsid w:val="2AB57C33"/>
    <w:rsid w:val="2AE457DA"/>
    <w:rsid w:val="2B336677"/>
    <w:rsid w:val="2C192B4A"/>
    <w:rsid w:val="2C8221BC"/>
    <w:rsid w:val="2D7160E8"/>
    <w:rsid w:val="2D9F1EA3"/>
    <w:rsid w:val="2DA417DD"/>
    <w:rsid w:val="2E9826F7"/>
    <w:rsid w:val="30340526"/>
    <w:rsid w:val="30483FA0"/>
    <w:rsid w:val="30BB4EA6"/>
    <w:rsid w:val="31437427"/>
    <w:rsid w:val="326C58E4"/>
    <w:rsid w:val="340F7934"/>
    <w:rsid w:val="34C8661B"/>
    <w:rsid w:val="35F728BC"/>
    <w:rsid w:val="36F33F1C"/>
    <w:rsid w:val="3714005C"/>
    <w:rsid w:val="37372992"/>
    <w:rsid w:val="37C51992"/>
    <w:rsid w:val="38042CB3"/>
    <w:rsid w:val="38B37090"/>
    <w:rsid w:val="390C1A27"/>
    <w:rsid w:val="3ABA6910"/>
    <w:rsid w:val="3B0A2EB0"/>
    <w:rsid w:val="3B500164"/>
    <w:rsid w:val="3B59178B"/>
    <w:rsid w:val="3C444B0B"/>
    <w:rsid w:val="3E4B066F"/>
    <w:rsid w:val="3E5A7DF8"/>
    <w:rsid w:val="3FBB4BCB"/>
    <w:rsid w:val="405D14CB"/>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047971"/>
    <w:rsid w:val="4C1448F5"/>
    <w:rsid w:val="4C625BDA"/>
    <w:rsid w:val="4D650FE4"/>
    <w:rsid w:val="4DFF0279"/>
    <w:rsid w:val="4E414DDC"/>
    <w:rsid w:val="4E583744"/>
    <w:rsid w:val="4FB54242"/>
    <w:rsid w:val="52C426C7"/>
    <w:rsid w:val="54071CBB"/>
    <w:rsid w:val="54D85B6D"/>
    <w:rsid w:val="54E47B8F"/>
    <w:rsid w:val="54FE4F3A"/>
    <w:rsid w:val="55A57892"/>
    <w:rsid w:val="578A390E"/>
    <w:rsid w:val="57D636C9"/>
    <w:rsid w:val="59D74C62"/>
    <w:rsid w:val="59E1651D"/>
    <w:rsid w:val="5A3B0856"/>
    <w:rsid w:val="5A4B6F13"/>
    <w:rsid w:val="5A6A79F7"/>
    <w:rsid w:val="5BF510A0"/>
    <w:rsid w:val="5F367622"/>
    <w:rsid w:val="5F3F3404"/>
    <w:rsid w:val="5F905550"/>
    <w:rsid w:val="617F6B7B"/>
    <w:rsid w:val="62806640"/>
    <w:rsid w:val="63636628"/>
    <w:rsid w:val="65411CA7"/>
    <w:rsid w:val="65694914"/>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64C182F"/>
    <w:rsid w:val="7704672F"/>
    <w:rsid w:val="77175582"/>
    <w:rsid w:val="791F742A"/>
    <w:rsid w:val="7B2F66D1"/>
    <w:rsid w:val="7B76655D"/>
    <w:rsid w:val="7BBF5BC9"/>
    <w:rsid w:val="7CE205E6"/>
    <w:rsid w:val="7EDF397E"/>
    <w:rsid w:val="7F9164CC"/>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560" w:lineRule="exact"/>
      <w:ind w:firstLine="640" w:firstLineChars="200"/>
      <w:jc w:val="center"/>
      <w:outlineLvl w:val="0"/>
    </w:pPr>
    <w:rPr>
      <w:rFonts w:asciiTheme="majorHAnsi" w:hAnsiTheme="majorHAnsi" w:eastAsiaTheme="majorEastAsia" w:cstheme="majorBidi"/>
      <w:b/>
      <w:bCs/>
      <w:sz w:val="32"/>
      <w:szCs w:val="32"/>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kern w:val="2"/>
      <w:sz w:val="18"/>
      <w:szCs w:val="18"/>
    </w:rPr>
  </w:style>
  <w:style w:type="character" w:customStyle="1" w:styleId="10">
    <w:name w:val="标题 字符"/>
    <w:basedOn w:val="7"/>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2226</Words>
  <Characters>2380</Characters>
  <Lines>52</Lines>
  <Paragraphs>14</Paragraphs>
  <TotalTime>0</TotalTime>
  <ScaleCrop>false</ScaleCrop>
  <LinksUpToDate>false</LinksUpToDate>
  <CharactersWithSpaces>2389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阳光一生</cp:lastModifiedBy>
  <dcterms:modified xsi:type="dcterms:W3CDTF">2022-10-25T12:11:50Z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2F2DCD59DD414DABBE83E6FF56723D32</vt:lpwstr>
  </property>
</Properties>
</file>