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line="360" w:lineRule="auto"/>
        <w:outlineLvl w:val="0"/>
        <w:rPr>
          <w:rFonts w:asciiTheme="minorEastAsia" w:hAnsiTheme="minorEastAsia" w:eastAsiaTheme="minorEastAsia" w:cstheme="minorEastAsia"/>
          <w:b/>
          <w:color w:val="auto"/>
          <w:szCs w:val="21"/>
        </w:rPr>
      </w:pPr>
    </w:p>
    <w:p>
      <w:pPr>
        <w:pStyle w:val="10"/>
        <w:adjustRightInd w:val="0"/>
        <w:snapToGrid w:val="0"/>
        <w:spacing w:line="360" w:lineRule="auto"/>
        <w:outlineLvl w:val="0"/>
        <w:rPr>
          <w:rFonts w:asciiTheme="minorEastAsia" w:hAnsiTheme="minorEastAsia" w:eastAsiaTheme="minorEastAsia" w:cstheme="minorEastAsia"/>
          <w:b/>
          <w:color w:val="auto"/>
          <w:sz w:val="52"/>
          <w:szCs w:val="52"/>
        </w:rPr>
      </w:pPr>
    </w:p>
    <w:p>
      <w:pPr>
        <w:adjustRightInd w:val="0"/>
        <w:snapToGrid w:val="0"/>
        <w:spacing w:line="360" w:lineRule="auto"/>
        <w:jc w:val="center"/>
        <w:rPr>
          <w:rFonts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海口江东新区管理局</w:t>
      </w:r>
    </w:p>
    <w:p>
      <w:pPr>
        <w:adjustRightInd w:val="0"/>
        <w:snapToGrid w:val="0"/>
        <w:spacing w:line="500" w:lineRule="exact"/>
        <w:jc w:val="center"/>
        <w:rPr>
          <w:rFonts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采购比选文件</w:t>
      </w:r>
    </w:p>
    <w:p>
      <w:pPr>
        <w:pStyle w:val="4"/>
        <w:spacing w:line="500" w:lineRule="exact"/>
        <w:jc w:val="center"/>
        <w:rPr>
          <w:rFonts w:eastAsiaTheme="minorEastAsia"/>
          <w:color w:val="auto"/>
        </w:rPr>
      </w:pPr>
    </w:p>
    <w:p>
      <w:pPr>
        <w:adjustRightInd w:val="0"/>
        <w:snapToGrid w:val="0"/>
        <w:spacing w:line="360" w:lineRule="auto"/>
        <w:jc w:val="center"/>
        <w:rPr>
          <w:rFonts w:asciiTheme="minorEastAsia" w:hAnsiTheme="minorEastAsia" w:eastAsiaTheme="minorEastAsia" w:cstheme="minorEastAsia"/>
          <w:b/>
          <w:color w:val="auto"/>
          <w:szCs w:val="21"/>
        </w:rPr>
      </w:pPr>
    </w:p>
    <w:p>
      <w:pPr>
        <w:spacing w:line="360" w:lineRule="auto"/>
        <w:rPr>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spacing w:line="360" w:lineRule="auto"/>
        <w:ind w:firstLine="1476" w:firstLineChars="700"/>
        <w:jc w:val="left"/>
        <w:outlineLvl w:val="0"/>
        <w:rPr>
          <w:rFonts w:asciiTheme="minorEastAsia" w:hAnsiTheme="minorEastAsia" w:eastAsiaTheme="minorEastAsia" w:cstheme="minorEastAsia"/>
          <w:b/>
          <w:color w:val="auto"/>
          <w:szCs w:val="21"/>
        </w:rPr>
      </w:pPr>
    </w:p>
    <w:p>
      <w:pPr>
        <w:pStyle w:val="10"/>
        <w:spacing w:line="360" w:lineRule="auto"/>
        <w:ind w:firstLine="1968" w:firstLineChars="700"/>
        <w:jc w:val="left"/>
        <w:outlineLvl w:val="0"/>
        <w:rPr>
          <w:rFonts w:asciiTheme="minorEastAsia" w:hAnsiTheme="minorEastAsia" w:eastAsiaTheme="minorEastAsia" w:cstheme="minorEastAsia"/>
          <w:b/>
          <w:color w:val="auto"/>
          <w:sz w:val="28"/>
          <w:szCs w:val="28"/>
        </w:rPr>
      </w:pPr>
      <w:bookmarkStart w:id="0" w:name="_Toc246826091"/>
      <w:bookmarkStart w:id="1" w:name="_Toc246825786"/>
      <w:bookmarkStart w:id="2" w:name="_Toc245887524"/>
      <w:bookmarkStart w:id="3" w:name="_Toc245888257"/>
      <w:r>
        <w:rPr>
          <w:rFonts w:hint="eastAsia" w:asciiTheme="minorEastAsia" w:hAnsiTheme="minorEastAsia" w:eastAsiaTheme="minorEastAsia" w:cstheme="minorEastAsia"/>
          <w:b/>
          <w:color w:val="auto"/>
          <w:sz w:val="28"/>
          <w:szCs w:val="28"/>
        </w:rPr>
        <w:t>项目编号：</w:t>
      </w:r>
      <w:bookmarkEnd w:id="0"/>
      <w:bookmarkEnd w:id="1"/>
      <w:bookmarkEnd w:id="2"/>
      <w:bookmarkEnd w:id="3"/>
      <w:bookmarkStart w:id="4" w:name="_Toc245887525"/>
      <w:bookmarkStart w:id="5" w:name="_Toc246826092"/>
      <w:bookmarkStart w:id="6" w:name="_Toc245888258"/>
      <w:bookmarkStart w:id="7" w:name="_Toc246825787"/>
      <w:r>
        <w:rPr>
          <w:rFonts w:hint="eastAsia" w:asciiTheme="minorEastAsia" w:hAnsiTheme="minorEastAsia" w:eastAsiaTheme="minorEastAsia" w:cstheme="minorEastAsia"/>
          <w:b/>
          <w:color w:val="auto"/>
          <w:sz w:val="28"/>
          <w:szCs w:val="28"/>
        </w:rPr>
        <w:t xml:space="preserve"> zfcg-fw-20221019-001 </w:t>
      </w:r>
    </w:p>
    <w:bookmarkEnd w:id="4"/>
    <w:bookmarkEnd w:id="5"/>
    <w:bookmarkEnd w:id="6"/>
    <w:bookmarkEnd w:id="7"/>
    <w:p>
      <w:pPr>
        <w:pStyle w:val="10"/>
        <w:pageBreakBefore w:val="0"/>
        <w:wordWrap/>
        <w:topLinePunct w:val="0"/>
        <w:bidi w:val="0"/>
        <w:spacing w:line="360" w:lineRule="auto"/>
        <w:ind w:firstLine="1968" w:firstLineChars="700"/>
        <w:jc w:val="left"/>
        <w:textAlignment w:val="auto"/>
        <w:outlineLvl w:val="0"/>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项目名称：</w:t>
      </w:r>
      <w:bookmarkStart w:id="8" w:name="_Toc245888260"/>
      <w:bookmarkStart w:id="9" w:name="_Toc246825789"/>
      <w:bookmarkStart w:id="10" w:name="_Toc245887527"/>
      <w:bookmarkStart w:id="11" w:name="_Toc246826094"/>
      <w:r>
        <w:rPr>
          <w:rFonts w:hint="eastAsia" w:asciiTheme="minorEastAsia" w:hAnsiTheme="minorEastAsia" w:eastAsiaTheme="minorEastAsia" w:cstheme="minorEastAsia"/>
          <w:b/>
          <w:bCs w:val="0"/>
          <w:color w:val="auto"/>
          <w:sz w:val="28"/>
          <w:szCs w:val="28"/>
        </w:rPr>
        <w:t>海口江东新区统计服务</w:t>
      </w:r>
    </w:p>
    <w:bookmarkEnd w:id="8"/>
    <w:bookmarkEnd w:id="9"/>
    <w:bookmarkEnd w:id="10"/>
    <w:bookmarkEnd w:id="11"/>
    <w:p>
      <w:pPr>
        <w:pStyle w:val="10"/>
        <w:spacing w:line="360" w:lineRule="auto"/>
        <w:ind w:firstLine="1968" w:firstLineChars="700"/>
        <w:jc w:val="left"/>
        <w:outlineLvl w:val="0"/>
        <w:rPr>
          <w:rFonts w:asciiTheme="minorEastAsia" w:hAnsiTheme="minorEastAsia" w:eastAsiaTheme="minorEastAsia" w:cstheme="minorEastAsia"/>
          <w:b/>
          <w:color w:val="auto"/>
          <w:sz w:val="28"/>
          <w:szCs w:val="28"/>
        </w:rPr>
      </w:pPr>
    </w:p>
    <w:p>
      <w:pPr>
        <w:pStyle w:val="10"/>
        <w:spacing w:line="360" w:lineRule="auto"/>
        <w:ind w:firstLine="1476" w:firstLineChars="700"/>
        <w:jc w:val="left"/>
        <w:outlineLvl w:val="0"/>
        <w:rPr>
          <w:rFonts w:asciiTheme="minorEastAsia" w:hAnsiTheme="minorEastAsia" w:eastAsiaTheme="minorEastAsia" w:cstheme="minorEastAsia"/>
          <w:b/>
          <w:color w:val="auto"/>
          <w:szCs w:val="21"/>
        </w:rPr>
      </w:pPr>
    </w:p>
    <w:p>
      <w:pPr>
        <w:pStyle w:val="10"/>
        <w:spacing w:line="360" w:lineRule="auto"/>
        <w:outlineLvl w:val="0"/>
        <w:rPr>
          <w:rFonts w:asciiTheme="minorEastAsia" w:hAnsiTheme="minorEastAsia" w:eastAsiaTheme="minorEastAsia" w:cstheme="minorEastAsia"/>
          <w:bCs/>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Cs/>
          <w:color w:val="auto"/>
          <w:szCs w:val="21"/>
        </w:rPr>
      </w:pPr>
    </w:p>
    <w:p>
      <w:pPr>
        <w:pStyle w:val="7"/>
        <w:spacing w:line="360" w:lineRule="auto"/>
        <w:rPr>
          <w:rFonts w:asciiTheme="minorEastAsia" w:hAnsiTheme="minorEastAsia" w:eastAsiaTheme="minorEastAsia" w:cstheme="minorEastAsia"/>
          <w:b/>
          <w:color w:val="auto"/>
          <w:spacing w:val="40"/>
          <w:szCs w:val="21"/>
        </w:rPr>
      </w:pPr>
    </w:p>
    <w:p>
      <w:pPr>
        <w:pStyle w:val="33"/>
        <w:spacing w:line="360" w:lineRule="auto"/>
        <w:rPr>
          <w:color w:val="auto"/>
          <w:sz w:val="21"/>
          <w:szCs w:val="21"/>
        </w:rPr>
      </w:pPr>
    </w:p>
    <w:p>
      <w:pPr>
        <w:pStyle w:val="9"/>
        <w:ind w:left="0" w:leftChars="0" w:firstLine="0" w:firstLineChars="0"/>
        <w:rPr>
          <w:color w:val="auto"/>
        </w:rPr>
      </w:pPr>
    </w:p>
    <w:p>
      <w:pPr>
        <w:pStyle w:val="9"/>
        <w:rPr>
          <w:color w:val="auto"/>
        </w:rPr>
      </w:pPr>
    </w:p>
    <w:p>
      <w:pPr>
        <w:pStyle w:val="9"/>
        <w:rPr>
          <w:color w:val="auto"/>
        </w:rPr>
      </w:pPr>
    </w:p>
    <w:p>
      <w:pPr>
        <w:adjustRightInd w:val="0"/>
        <w:snapToGrid w:val="0"/>
        <w:spacing w:line="360" w:lineRule="auto"/>
        <w:jc w:val="center"/>
        <w:rPr>
          <w:rFonts w:asciiTheme="minorEastAsia" w:hAnsiTheme="minorEastAsia" w:eastAsiaTheme="minorEastAsia" w:cstheme="minorEastAsia"/>
          <w:b/>
          <w:color w:val="auto"/>
          <w:spacing w:val="40"/>
          <w:szCs w:val="21"/>
        </w:rPr>
      </w:pPr>
    </w:p>
    <w:p>
      <w:pPr>
        <w:adjustRightInd w:val="0"/>
        <w:snapToGrid w:val="0"/>
        <w:spacing w:line="360" w:lineRule="auto"/>
        <w:jc w:val="center"/>
        <w:rPr>
          <w:rFonts w:asciiTheme="minorEastAsia" w:hAnsiTheme="minorEastAsia" w:eastAsiaTheme="minorEastAsia" w:cstheme="minorEastAsia"/>
          <w:b/>
          <w:color w:val="auto"/>
          <w:spacing w:val="40"/>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lang w:val="en-US" w:eastAsia="zh-CN"/>
        </w:rPr>
        <w:t>2022</w:t>
      </w:r>
      <w:r>
        <w:rPr>
          <w:rFonts w:hint="eastAsia" w:asciiTheme="minorEastAsia" w:hAnsiTheme="minorEastAsia" w:eastAsiaTheme="minorEastAsia" w:cstheme="minorEastAsia"/>
          <w:b/>
          <w:color w:val="auto"/>
          <w:spacing w:val="40"/>
          <w:sz w:val="28"/>
          <w:szCs w:val="28"/>
        </w:rPr>
        <w:t>年</w:t>
      </w:r>
      <w:r>
        <w:rPr>
          <w:rFonts w:hint="eastAsia" w:asciiTheme="minorEastAsia" w:hAnsiTheme="minorEastAsia" w:eastAsiaTheme="minorEastAsia" w:cstheme="minorEastAsia"/>
          <w:b/>
          <w:color w:val="auto"/>
          <w:spacing w:val="40"/>
          <w:sz w:val="28"/>
          <w:szCs w:val="28"/>
          <w:lang w:val="en-US" w:eastAsia="zh-CN"/>
        </w:rPr>
        <w:t>10</w:t>
      </w:r>
      <w:r>
        <w:rPr>
          <w:rFonts w:hint="eastAsia" w:asciiTheme="minorEastAsia" w:hAnsiTheme="minorEastAsia" w:eastAsiaTheme="minorEastAsia" w:cstheme="minorEastAsia"/>
          <w:b/>
          <w:color w:val="auto"/>
          <w:spacing w:val="40"/>
          <w:sz w:val="28"/>
          <w:szCs w:val="28"/>
        </w:rPr>
        <w:t xml:space="preserve">月  </w:t>
      </w:r>
    </w:p>
    <w:p>
      <w:pPr>
        <w:pStyle w:val="10"/>
        <w:spacing w:line="360" w:lineRule="auto"/>
        <w:jc w:val="center"/>
        <w:outlineLvl w:val="0"/>
        <w:rPr>
          <w:rStyle w:val="27"/>
          <w:rFonts w:hAnsi="宋体" w:cs="宋体"/>
          <w:b/>
          <w:color w:val="auto"/>
          <w:szCs w:val="21"/>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10"/>
        <w:spacing w:line="360" w:lineRule="auto"/>
        <w:jc w:val="center"/>
        <w:outlineLvl w:val="0"/>
        <w:rPr>
          <w:rStyle w:val="27"/>
          <w:rFonts w:hAnsi="宋体" w:cs="宋体"/>
          <w:b/>
          <w:color w:val="auto"/>
          <w:szCs w:val="21"/>
        </w:rPr>
      </w:pPr>
    </w:p>
    <w:p>
      <w:pPr>
        <w:pStyle w:val="10"/>
        <w:spacing w:line="360" w:lineRule="auto"/>
        <w:jc w:val="center"/>
        <w:outlineLvl w:val="0"/>
        <w:rPr>
          <w:rStyle w:val="27"/>
          <w:rFonts w:hAnsi="宋体" w:cs="宋体"/>
          <w:b/>
          <w:color w:val="auto"/>
          <w:sz w:val="24"/>
          <w:szCs w:val="24"/>
        </w:rPr>
      </w:pPr>
      <w:r>
        <w:rPr>
          <w:rStyle w:val="27"/>
          <w:rFonts w:hint="eastAsia" w:hAnsi="宋体" w:cs="宋体"/>
          <w:b/>
          <w:color w:val="auto"/>
          <w:sz w:val="24"/>
          <w:szCs w:val="24"/>
        </w:rPr>
        <w:t>目  录</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fldChar w:fldCharType="begin"/>
      </w:r>
      <w:r>
        <w:rPr>
          <w:rFonts w:hint="eastAsia" w:ascii="宋体" w:hAnsi="宋体" w:cs="宋体"/>
          <w:b/>
          <w:color w:val="auto"/>
          <w:sz w:val="24"/>
        </w:rPr>
        <w:instrText xml:space="preserve"> TOC \o "1-3" \h \z \u </w:instrText>
      </w:r>
      <w:r>
        <w:rPr>
          <w:rFonts w:hint="eastAsia" w:ascii="宋体" w:hAnsi="宋体" w:cs="宋体"/>
          <w:b/>
          <w:color w:val="auto"/>
          <w:sz w:val="24"/>
        </w:rPr>
        <w:fldChar w:fldCharType="separate"/>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hint="eastAsia" w:ascii="宋体" w:hAnsi="宋体" w:eastAsia="宋体" w:cs="宋体"/>
          <w:b/>
          <w:color w:val="auto"/>
          <w:sz w:val="24"/>
          <w:lang w:eastAsia="zh-CN"/>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"_Toc246826096#_Toc246826096" </w:instrText>
      </w:r>
      <w:r>
        <w:rPr>
          <w:color w:val="auto"/>
        </w:rPr>
        <w:fldChar w:fldCharType="separate"/>
      </w:r>
      <w:r>
        <w:rPr>
          <w:rFonts w:hint="eastAsia" w:ascii="宋体" w:hAnsi="宋体" w:cs="宋体"/>
          <w:b/>
          <w:color w:val="auto"/>
          <w:sz w:val="24"/>
        </w:rPr>
        <w:t>第一章  比选公告……………………………………………………</w:t>
      </w:r>
      <w:r>
        <w:rPr>
          <w:rFonts w:hint="eastAsia" w:ascii="宋体" w:hAnsi="宋体" w:cs="宋体"/>
          <w:b/>
          <w:color w:val="auto"/>
          <w:sz w:val="24"/>
        </w:rPr>
        <w:fldChar w:fldCharType="end"/>
      </w:r>
      <w:r>
        <w:rPr>
          <w:rFonts w:hint="eastAsia" w:ascii="宋体" w:hAnsi="宋体" w:cs="宋体"/>
          <w:b/>
          <w:color w:val="auto"/>
          <w:sz w:val="24"/>
        </w:rPr>
        <w:t>……3-</w:t>
      </w:r>
      <w:r>
        <w:rPr>
          <w:rFonts w:hint="eastAsia" w:ascii="宋体" w:hAnsi="宋体" w:cs="宋体"/>
          <w:b/>
          <w:color w:val="auto"/>
          <w:sz w:val="24"/>
          <w:lang w:val="en-US" w:eastAsia="zh-CN"/>
        </w:rPr>
        <w:t>4</w:t>
      </w:r>
    </w:p>
    <w:p>
      <w:pPr>
        <w:spacing w:line="360" w:lineRule="auto"/>
        <w:rPr>
          <w:rFonts w:hint="eastAsia" w:ascii="宋体" w:hAnsi="宋体" w:eastAsia="宋体" w:cs="宋体"/>
          <w:b/>
          <w:color w:val="auto"/>
          <w:sz w:val="24"/>
          <w:lang w:eastAsia="zh-CN"/>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"_Toc246826105#_Toc246826105" </w:instrText>
      </w:r>
      <w:r>
        <w:rPr>
          <w:color w:val="auto"/>
        </w:rPr>
        <w:fldChar w:fldCharType="separate"/>
      </w:r>
      <w:r>
        <w:rPr>
          <w:rFonts w:hint="eastAsia" w:ascii="宋体" w:hAnsi="宋体" w:cs="宋体"/>
          <w:b/>
          <w:color w:val="auto"/>
          <w:sz w:val="24"/>
        </w:rPr>
        <w:t>第二章  采购需求……………………………………………………</w:t>
      </w:r>
      <w:r>
        <w:rPr>
          <w:rFonts w:hint="eastAsia" w:ascii="宋体" w:hAnsi="宋体" w:cs="宋体"/>
          <w:b/>
          <w:color w:val="auto"/>
          <w:sz w:val="24"/>
        </w:rPr>
        <w:fldChar w:fldCharType="end"/>
      </w:r>
      <w:r>
        <w:rPr>
          <w:rFonts w:hint="eastAsia" w:ascii="宋体" w:hAnsi="宋体" w:cs="宋体"/>
          <w:b/>
          <w:color w:val="auto"/>
          <w:sz w:val="24"/>
        </w:rPr>
        <w:t>……</w:t>
      </w:r>
      <w:r>
        <w:rPr>
          <w:rFonts w:hint="eastAsia" w:ascii="宋体" w:hAnsi="宋体" w:cs="宋体"/>
          <w:b/>
          <w:color w:val="auto"/>
          <w:sz w:val="24"/>
          <w:lang w:val="en-US" w:eastAsia="zh-CN"/>
        </w:rPr>
        <w:t>5</w:t>
      </w:r>
      <w:r>
        <w:rPr>
          <w:rFonts w:hint="eastAsia" w:ascii="宋体" w:hAnsi="宋体" w:cs="宋体"/>
          <w:b/>
          <w:color w:val="auto"/>
          <w:sz w:val="24"/>
        </w:rPr>
        <w:t>-</w:t>
      </w:r>
      <w:r>
        <w:rPr>
          <w:rFonts w:hint="eastAsia" w:ascii="宋体" w:hAnsi="宋体" w:cs="宋体"/>
          <w:b/>
          <w:color w:val="auto"/>
          <w:sz w:val="24"/>
          <w:lang w:val="en-US" w:eastAsia="zh-CN"/>
        </w:rPr>
        <w:t>6</w:t>
      </w:r>
    </w:p>
    <w:p>
      <w:pPr>
        <w:spacing w:line="360" w:lineRule="auto"/>
        <w:rPr>
          <w:rFonts w:hint="default" w:ascii="宋体" w:hAnsi="宋体" w:eastAsia="宋体" w:cs="宋体"/>
          <w:b/>
          <w:color w:val="auto"/>
          <w:sz w:val="24"/>
          <w:lang w:val="en-US" w:eastAsia="zh-CN"/>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"_Toc246826118#_Toc246826118" </w:instrText>
      </w:r>
      <w:r>
        <w:rPr>
          <w:color w:val="auto"/>
        </w:rPr>
        <w:fldChar w:fldCharType="separate"/>
      </w:r>
      <w:r>
        <w:rPr>
          <w:rFonts w:hint="eastAsia" w:ascii="宋体" w:hAnsi="宋体" w:cs="宋体"/>
          <w:b/>
          <w:color w:val="auto"/>
          <w:sz w:val="24"/>
        </w:rPr>
        <w:t>第三章  供应商须知………………………………………</w:t>
      </w:r>
      <w:r>
        <w:rPr>
          <w:rFonts w:hint="eastAsia" w:ascii="宋体" w:hAnsi="宋体" w:cs="宋体"/>
          <w:b/>
          <w:color w:val="auto"/>
          <w:sz w:val="24"/>
        </w:rPr>
        <w:fldChar w:fldCharType="end"/>
      </w:r>
      <w:r>
        <w:rPr>
          <w:rFonts w:hint="eastAsia" w:ascii="宋体" w:hAnsi="宋体" w:cs="宋体"/>
          <w:b/>
          <w:color w:val="auto"/>
          <w:sz w:val="24"/>
        </w:rPr>
        <w:t>………………</w:t>
      </w:r>
      <w:r>
        <w:rPr>
          <w:rFonts w:hint="eastAsia" w:ascii="宋体" w:hAnsi="宋体" w:cs="宋体"/>
          <w:b/>
          <w:color w:val="auto"/>
          <w:sz w:val="24"/>
        </w:rPr>
        <w:fldChar w:fldCharType="end"/>
      </w:r>
      <w:r>
        <w:rPr>
          <w:rFonts w:hint="eastAsia" w:ascii="宋体" w:hAnsi="宋体" w:cs="宋体"/>
          <w:b/>
          <w:color w:val="auto"/>
          <w:sz w:val="24"/>
        </w:rPr>
        <w:t>7-</w:t>
      </w:r>
      <w:r>
        <w:rPr>
          <w:rFonts w:hint="eastAsia" w:ascii="宋体" w:hAnsi="宋体" w:cs="宋体"/>
          <w:b/>
          <w:color w:val="auto"/>
          <w:sz w:val="24"/>
          <w:lang w:val="en-US" w:eastAsia="zh-CN"/>
        </w:rPr>
        <w:t>18</w:t>
      </w:r>
    </w:p>
    <w:p>
      <w:pPr>
        <w:spacing w:line="360" w:lineRule="auto"/>
        <w:rPr>
          <w:rFonts w:hint="default" w:ascii="宋体" w:hAnsi="宋体" w:eastAsia="宋体" w:cs="宋体"/>
          <w:b/>
          <w:color w:val="auto"/>
          <w:sz w:val="24"/>
          <w:lang w:val="en-US" w:eastAsia="zh-CN"/>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"_Toc246826115#_Toc246826115" </w:instrText>
      </w:r>
      <w:r>
        <w:rPr>
          <w:color w:val="auto"/>
        </w:rPr>
        <w:fldChar w:fldCharType="separate"/>
      </w:r>
      <w:r>
        <w:rPr>
          <w:rFonts w:hint="eastAsia" w:ascii="宋体" w:hAnsi="宋体" w:cs="宋体"/>
          <w:b/>
          <w:color w:val="auto"/>
          <w:sz w:val="24"/>
        </w:rPr>
        <w:t>第四章  评审标准……………………………………</w:t>
      </w:r>
      <w:r>
        <w:rPr>
          <w:rFonts w:hint="eastAsia" w:ascii="宋体" w:hAnsi="宋体" w:cs="宋体"/>
          <w:b/>
          <w:color w:val="auto"/>
          <w:sz w:val="24"/>
        </w:rPr>
        <w:fldChar w:fldCharType="end"/>
      </w:r>
      <w:r>
        <w:rPr>
          <w:rFonts w:hint="eastAsia" w:ascii="宋体" w:hAnsi="宋体" w:cs="宋体"/>
          <w:b/>
          <w:color w:val="auto"/>
          <w:sz w:val="24"/>
        </w:rPr>
        <w:t>……………………</w:t>
      </w:r>
      <w:r>
        <w:rPr>
          <w:rFonts w:hint="eastAsia" w:ascii="宋体" w:hAnsi="宋体" w:cs="宋体"/>
          <w:b/>
          <w:color w:val="auto"/>
          <w:sz w:val="24"/>
          <w:lang w:val="en-US" w:eastAsia="zh-CN"/>
        </w:rPr>
        <w:t>19</w:t>
      </w:r>
      <w:r>
        <w:rPr>
          <w:rFonts w:hint="eastAsia" w:ascii="宋体" w:hAnsi="宋体" w:cs="宋体"/>
          <w:b/>
          <w:color w:val="auto"/>
          <w:sz w:val="24"/>
        </w:rPr>
        <w:t>-</w:t>
      </w:r>
      <w:r>
        <w:rPr>
          <w:rFonts w:hint="eastAsia" w:ascii="宋体" w:hAnsi="宋体" w:cs="宋体"/>
          <w:b/>
          <w:color w:val="auto"/>
          <w:sz w:val="24"/>
          <w:lang w:val="en-US" w:eastAsia="zh-CN"/>
        </w:rPr>
        <w:t>21</w:t>
      </w:r>
    </w:p>
    <w:p>
      <w:pPr>
        <w:spacing w:line="360" w:lineRule="auto"/>
        <w:rPr>
          <w:rFonts w:hint="default" w:ascii="宋体" w:hAnsi="宋体" w:eastAsia="宋体" w:cs="宋体"/>
          <w:b/>
          <w:color w:val="auto"/>
          <w:sz w:val="24"/>
          <w:lang w:val="en-US" w:eastAsia="zh-CN"/>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"_Toc246826104#_Toc246826104" </w:instrText>
      </w:r>
      <w:r>
        <w:rPr>
          <w:color w:val="auto"/>
        </w:rPr>
        <w:fldChar w:fldCharType="separate"/>
      </w:r>
      <w:r>
        <w:rPr>
          <w:rFonts w:hint="eastAsia" w:ascii="宋体" w:hAnsi="宋体" w:cs="宋体"/>
          <w:b/>
          <w:color w:val="auto"/>
          <w:sz w:val="24"/>
        </w:rPr>
        <w:t>第五章  采购合同格式………………………………………………</w:t>
      </w:r>
      <w:r>
        <w:rPr>
          <w:rFonts w:hint="eastAsia" w:ascii="宋体" w:hAnsi="宋体" w:cs="宋体"/>
          <w:b/>
          <w:color w:val="auto"/>
          <w:sz w:val="24"/>
        </w:rPr>
        <w:fldChar w:fldCharType="end"/>
      </w:r>
      <w:r>
        <w:rPr>
          <w:rFonts w:hint="eastAsia" w:ascii="宋体" w:hAnsi="宋体" w:cs="宋体"/>
          <w:b/>
          <w:color w:val="auto"/>
          <w:sz w:val="24"/>
          <w:lang w:val="en-US" w:eastAsia="zh-CN"/>
        </w:rPr>
        <w:t>22</w:t>
      </w:r>
      <w:r>
        <w:rPr>
          <w:rFonts w:hint="eastAsia" w:ascii="宋体" w:hAnsi="宋体" w:cs="宋体"/>
          <w:b/>
          <w:color w:val="auto"/>
          <w:sz w:val="24"/>
        </w:rPr>
        <w:t>-</w:t>
      </w:r>
      <w:r>
        <w:rPr>
          <w:rFonts w:hint="eastAsia" w:ascii="宋体" w:hAnsi="宋体" w:cs="宋体"/>
          <w:b/>
          <w:color w:val="auto"/>
          <w:sz w:val="24"/>
          <w:lang w:val="en-US" w:eastAsia="zh-CN"/>
        </w:rPr>
        <w:t>30</w:t>
      </w:r>
    </w:p>
    <w:p>
      <w:pPr>
        <w:spacing w:line="360" w:lineRule="auto"/>
        <w:rPr>
          <w:rFonts w:hint="default" w:ascii="宋体" w:hAnsi="宋体" w:eastAsia="宋体" w:cs="宋体"/>
          <w:b/>
          <w:color w:val="auto"/>
          <w:sz w:val="24"/>
          <w:lang w:val="en-US" w:eastAsia="zh-CN"/>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"_Toc246826118#_Toc246826118" </w:instrText>
      </w:r>
      <w:r>
        <w:rPr>
          <w:color w:val="auto"/>
        </w:rPr>
        <w:fldChar w:fldCharType="separate"/>
      </w:r>
      <w:r>
        <w:rPr>
          <w:rFonts w:hint="eastAsia" w:ascii="宋体" w:hAnsi="宋体" w:cs="宋体"/>
          <w:b/>
          <w:color w:val="auto"/>
          <w:sz w:val="24"/>
        </w:rPr>
        <w:t>第六章  响应文件格式及附件……………………………………………</w:t>
      </w:r>
      <w:r>
        <w:rPr>
          <w:rFonts w:hint="eastAsia" w:ascii="宋体" w:hAnsi="宋体" w:cs="宋体"/>
          <w:b/>
          <w:color w:val="auto"/>
          <w:sz w:val="24"/>
        </w:rPr>
        <w:fldChar w:fldCharType="end"/>
      </w:r>
      <w:r>
        <w:rPr>
          <w:rFonts w:hint="eastAsia" w:ascii="宋体" w:hAnsi="宋体" w:cs="宋体"/>
          <w:b/>
          <w:color w:val="auto"/>
          <w:sz w:val="24"/>
          <w:lang w:val="en-US" w:eastAsia="zh-CN"/>
        </w:rPr>
        <w:t>31</w:t>
      </w:r>
      <w:r>
        <w:rPr>
          <w:rFonts w:hint="eastAsia" w:ascii="宋体" w:hAnsi="宋体" w:cs="宋体"/>
          <w:b/>
          <w:color w:val="auto"/>
          <w:sz w:val="24"/>
        </w:rPr>
        <w:t>-</w:t>
      </w:r>
      <w:r>
        <w:rPr>
          <w:rFonts w:hint="eastAsia" w:ascii="宋体" w:hAnsi="宋体" w:cs="宋体"/>
          <w:b/>
          <w:color w:val="auto"/>
          <w:sz w:val="24"/>
          <w:lang w:val="en-US" w:eastAsia="zh-CN"/>
        </w:rPr>
        <w:t>36</w:t>
      </w:r>
    </w:p>
    <w:p>
      <w:pPr>
        <w:spacing w:line="360" w:lineRule="auto"/>
        <w:rPr>
          <w:rFonts w:ascii="宋体" w:hAnsi="宋体" w:cs="宋体"/>
          <w:b/>
          <w:color w:val="auto"/>
          <w:sz w:val="24"/>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
          <w:color w:val="auto"/>
          <w:szCs w:val="21"/>
        </w:rPr>
      </w:pPr>
    </w:p>
    <w:p>
      <w:pPr>
        <w:pStyle w:val="10"/>
        <w:adjustRightInd w:val="0"/>
        <w:snapToGrid w:val="0"/>
        <w:spacing w:line="360" w:lineRule="auto"/>
        <w:outlineLvl w:val="0"/>
        <w:rPr>
          <w:rFonts w:asciiTheme="minorEastAsia" w:hAnsiTheme="minorEastAsia" w:eastAsiaTheme="minorEastAsia" w:cstheme="minorEastAsia"/>
          <w:b/>
          <w:color w:val="auto"/>
          <w:szCs w:val="21"/>
        </w:rPr>
      </w:pPr>
    </w:p>
    <w:p>
      <w:pPr>
        <w:pStyle w:val="10"/>
        <w:adjustRightInd w:val="0"/>
        <w:snapToGrid w:val="0"/>
        <w:spacing w:line="360" w:lineRule="auto"/>
        <w:jc w:val="center"/>
        <w:outlineLv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
          <w:color w:val="auto"/>
          <w:szCs w:val="21"/>
        </w:rPr>
        <w:t>第一章  比选公告</w:t>
      </w:r>
    </w:p>
    <w:p>
      <w:pPr>
        <w:adjustRightInd w:val="0"/>
        <w:snapToGrid w:val="0"/>
        <w:spacing w:line="400" w:lineRule="exact"/>
        <w:ind w:firstLine="422"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一、项目基本情况</w:t>
      </w:r>
    </w:p>
    <w:p>
      <w:pPr>
        <w:pStyle w:val="10"/>
        <w:adjustRightInd w:val="0"/>
        <w:snapToGrid w:val="0"/>
        <w:spacing w:line="400" w:lineRule="exact"/>
        <w:ind w:firstLine="420" w:firstLineChars="200"/>
        <w:jc w:val="left"/>
        <w:outlineLv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1、项目编号：zfcg-fw-20221019-001</w:t>
      </w:r>
    </w:p>
    <w:p>
      <w:pPr>
        <w:pStyle w:val="10"/>
        <w:adjustRightInd w:val="0"/>
        <w:snapToGrid w:val="0"/>
        <w:spacing w:line="400" w:lineRule="exact"/>
        <w:ind w:firstLine="420" w:firstLineChars="200"/>
        <w:jc w:val="left"/>
        <w:outlineLv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2、项目名称： </w:t>
      </w:r>
      <w:r>
        <w:rPr>
          <w:rFonts w:hint="eastAsia" w:asciiTheme="minorEastAsia" w:hAnsiTheme="minorEastAsia" w:eastAsiaTheme="minorEastAsia" w:cstheme="minorEastAsia"/>
          <w:b w:val="0"/>
          <w:bCs/>
          <w:color w:val="auto"/>
          <w:sz w:val="21"/>
          <w:szCs w:val="21"/>
          <w:lang w:val="en-US" w:eastAsia="zh-CN"/>
        </w:rPr>
        <w:t>海口江东新区统计服务</w:t>
      </w:r>
    </w:p>
    <w:p>
      <w:pPr>
        <w:pStyle w:val="10"/>
        <w:adjustRightInd w:val="0"/>
        <w:snapToGrid w:val="0"/>
        <w:spacing w:line="400" w:lineRule="exact"/>
        <w:ind w:firstLine="420" w:firstLineChars="200"/>
        <w:jc w:val="left"/>
        <w:outlineLvl w:val="0"/>
        <w:rPr>
          <w:rFonts w:hint="default" w:hAnsi="宋体" w:cs="宋体" w:eastAsiaTheme="minorEastAsia"/>
          <w:color w:val="auto"/>
          <w:szCs w:val="21"/>
          <w:lang w:val="en-US" w:eastAsia="zh-CN"/>
        </w:rPr>
      </w:pPr>
      <w:r>
        <w:rPr>
          <w:rFonts w:hint="eastAsia" w:asciiTheme="minorEastAsia" w:hAnsiTheme="minorEastAsia" w:eastAsiaTheme="minorEastAsia" w:cstheme="minorEastAsia"/>
          <w:bCs/>
          <w:color w:val="auto"/>
          <w:szCs w:val="21"/>
        </w:rPr>
        <w:t>3、最高限价：</w:t>
      </w:r>
      <w:r>
        <w:rPr>
          <w:rFonts w:hint="eastAsia" w:asciiTheme="minorEastAsia" w:hAnsiTheme="minorEastAsia" w:eastAsiaTheme="minorEastAsia" w:cstheme="minorEastAsia"/>
          <w:b w:val="0"/>
          <w:bCs/>
          <w:color w:val="auto"/>
          <w:sz w:val="21"/>
          <w:szCs w:val="21"/>
          <w:lang w:eastAsia="zh-CN"/>
        </w:rPr>
        <w:t>人民币98万元（不含98万）</w:t>
      </w:r>
    </w:p>
    <w:p>
      <w:pPr>
        <w:pStyle w:val="10"/>
        <w:adjustRightInd w:val="0"/>
        <w:snapToGrid w:val="0"/>
        <w:spacing w:line="400" w:lineRule="exact"/>
        <w:ind w:firstLine="420" w:firstLineChars="200"/>
        <w:jc w:val="left"/>
        <w:outlineLvl w:val="0"/>
        <w:rPr>
          <w:rFonts w:asciiTheme="minorEastAsia" w:hAnsiTheme="minorEastAsia" w:eastAsiaTheme="minorEastAsia" w:cstheme="minorEastAsia"/>
          <w:bCs/>
          <w:color w:val="auto"/>
          <w:szCs w:val="21"/>
          <w:highlight w:val="yellow"/>
        </w:rPr>
      </w:pPr>
      <w:r>
        <w:rPr>
          <w:rFonts w:hint="eastAsia" w:asciiTheme="minorEastAsia" w:hAnsiTheme="minorEastAsia" w:eastAsiaTheme="minorEastAsia" w:cstheme="minorEastAsia"/>
          <w:bCs/>
          <w:color w:val="auto"/>
          <w:szCs w:val="21"/>
        </w:rPr>
        <w:t>4、采购需求：详见采购比选文件第二章；</w:t>
      </w:r>
    </w:p>
    <w:p>
      <w:pPr>
        <w:spacing w:line="400" w:lineRule="exact"/>
        <w:ind w:right="-197" w:rightChars="-94" w:firstLine="420" w:firstLineChars="200"/>
        <w:rPr>
          <w:rFonts w:hint="default" w:ascii="宋体" w:hAnsi="宋体" w:eastAsiaTheme="minorEastAsia"/>
          <w:bCs/>
          <w:color w:val="auto"/>
          <w:szCs w:val="21"/>
          <w:lang w:val="en-US" w:eastAsia="zh-CN"/>
        </w:rPr>
      </w:pPr>
      <w:r>
        <w:rPr>
          <w:rFonts w:hint="eastAsia" w:asciiTheme="minorEastAsia" w:hAnsiTheme="minorEastAsia" w:eastAsiaTheme="minorEastAsia" w:cstheme="minorEastAsia"/>
          <w:bCs/>
          <w:color w:val="auto"/>
          <w:szCs w:val="21"/>
        </w:rPr>
        <w:t>5、服务期限</w:t>
      </w:r>
      <w:bookmarkStart w:id="12" w:name="_Toc28359080"/>
      <w:bookmarkStart w:id="13" w:name="_Toc35393622"/>
      <w:bookmarkStart w:id="14" w:name="_Toc28359003"/>
      <w:bookmarkStart w:id="15" w:name="_Toc35393791"/>
      <w:r>
        <w:rPr>
          <w:rFonts w:hint="eastAsia" w:asciiTheme="minorEastAsia" w:hAnsiTheme="minorEastAsia" w:eastAsiaTheme="minorEastAsia" w:cstheme="minorEastAsia"/>
          <w:bCs/>
          <w:color w:val="auto"/>
          <w:szCs w:val="21"/>
        </w:rPr>
        <w:t>：自合同签订之日起至</w:t>
      </w:r>
      <w:r>
        <w:rPr>
          <w:rFonts w:hint="eastAsia" w:asciiTheme="minorEastAsia" w:hAnsiTheme="minorEastAsia" w:eastAsiaTheme="minorEastAsia" w:cstheme="minorEastAsia"/>
          <w:b w:val="0"/>
          <w:bCs/>
          <w:color w:val="auto"/>
          <w:sz w:val="21"/>
          <w:szCs w:val="21"/>
          <w:lang w:val="en-US" w:eastAsia="zh-CN"/>
        </w:rPr>
        <w:t>2024年2月</w:t>
      </w:r>
    </w:p>
    <w:p>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rPr>
        <w:t>6、服务地点：海口江东新区</w:t>
      </w:r>
    </w:p>
    <w:p>
      <w:pPr>
        <w:pStyle w:val="10"/>
        <w:adjustRightInd w:val="0"/>
        <w:snapToGrid w:val="0"/>
        <w:spacing w:line="400" w:lineRule="exact"/>
        <w:ind w:firstLine="422" w:firstLineChars="200"/>
        <w:jc w:val="left"/>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二、供应商的资格要求：</w:t>
      </w:r>
      <w:bookmarkEnd w:id="12"/>
      <w:bookmarkEnd w:id="13"/>
      <w:bookmarkEnd w:id="14"/>
      <w:bookmarkEnd w:id="15"/>
    </w:p>
    <w:p>
      <w:pPr>
        <w:pStyle w:val="10"/>
        <w:adjustRightInd w:val="0"/>
        <w:snapToGrid w:val="0"/>
        <w:spacing w:line="400" w:lineRule="exact"/>
        <w:ind w:firstLine="420" w:firstLineChars="200"/>
        <w:jc w:val="left"/>
        <w:outlineLvl w:val="0"/>
        <w:rPr>
          <w:rFonts w:hAnsi="宋体" w:cs="宋体"/>
          <w:bCs/>
          <w:color w:val="auto"/>
          <w:szCs w:val="21"/>
        </w:rPr>
      </w:pPr>
      <w:bookmarkStart w:id="16" w:name="_Toc28359004"/>
      <w:bookmarkStart w:id="17" w:name="_Toc35393792"/>
      <w:bookmarkStart w:id="18" w:name="_Toc28359081"/>
      <w:bookmarkStart w:id="19" w:name="_Toc35393623"/>
      <w:r>
        <w:rPr>
          <w:rFonts w:hint="eastAsia" w:hAnsi="宋体" w:cs="宋体"/>
          <w:bCs/>
          <w:color w:val="auto"/>
          <w:szCs w:val="21"/>
        </w:rPr>
        <w:t>1、满足《中华人民共和国政府采购法》第二十二条规定；</w:t>
      </w:r>
    </w:p>
    <w:p>
      <w:pPr>
        <w:pStyle w:val="10"/>
        <w:adjustRightInd w:val="0"/>
        <w:snapToGrid w:val="0"/>
        <w:spacing w:line="400" w:lineRule="exact"/>
        <w:ind w:firstLine="420" w:firstLineChars="200"/>
        <w:jc w:val="left"/>
        <w:outlineLvl w:val="0"/>
        <w:rPr>
          <w:rFonts w:hAnsi="宋体" w:cs="宋体"/>
          <w:bCs/>
          <w:color w:val="auto"/>
          <w:szCs w:val="21"/>
        </w:rPr>
      </w:pPr>
      <w:r>
        <w:rPr>
          <w:rFonts w:hint="eastAsia" w:hAnsi="宋体" w:cs="宋体"/>
          <w:bCs/>
          <w:color w:val="auto"/>
          <w:szCs w:val="21"/>
        </w:rPr>
        <w:t>2、符合采购人根据采购项目实际情况要求的特定资格条件和其他法律法规规定的条件，具体如下：</w:t>
      </w:r>
    </w:p>
    <w:p>
      <w:pPr>
        <w:pStyle w:val="10"/>
        <w:adjustRightInd w:val="0"/>
        <w:snapToGrid w:val="0"/>
        <w:spacing w:line="400" w:lineRule="exact"/>
        <w:ind w:firstLine="420" w:firstLineChars="200"/>
        <w:jc w:val="left"/>
        <w:outlineLvl w:val="0"/>
        <w:rPr>
          <w:rFonts w:hAnsi="宋体" w:cs="宋体"/>
          <w:bCs/>
          <w:color w:val="auto"/>
          <w:szCs w:val="21"/>
        </w:rPr>
      </w:pPr>
      <w:r>
        <w:rPr>
          <w:rFonts w:hint="eastAsia" w:hAnsi="宋体" w:cs="宋体"/>
          <w:bCs/>
          <w:color w:val="auto"/>
          <w:szCs w:val="21"/>
          <w:lang w:val="en-US" w:eastAsia="zh-CN"/>
        </w:rPr>
        <w:t>2</w:t>
      </w:r>
      <w:r>
        <w:rPr>
          <w:rFonts w:hint="eastAsia" w:hAnsi="宋体" w:cs="宋体"/>
          <w:bCs/>
          <w:color w:val="auto"/>
          <w:szCs w:val="21"/>
        </w:rPr>
        <w:t>.1、供应商未被列入失信被执行人、重大税收违法案件当事人名单（税收违法黑名单）和政府采购严重违法失信行为记录名单（须提供“信用中国”网站（www.creditchina.gov.cn)查询失信被执行人、重大税收违法案件当事人名单（税收违法黑名单）的查询结果截图并加盖公章；和“中国政府采购网”网站（http://www.ccgp.gov.cn/）查询政府采购严重违法失信行为记录名单的查询结果截图并加盖公章），如相关失信记录已失效，供应商须提供相关证明资料并加盖公章；</w:t>
      </w:r>
    </w:p>
    <w:p>
      <w:pPr>
        <w:pStyle w:val="10"/>
        <w:adjustRightInd w:val="0"/>
        <w:snapToGrid w:val="0"/>
        <w:spacing w:line="400" w:lineRule="exact"/>
        <w:ind w:firstLine="420" w:firstLineChars="200"/>
        <w:jc w:val="left"/>
        <w:outlineLvl w:val="0"/>
        <w:rPr>
          <w:rFonts w:hAnsi="宋体" w:cs="宋体"/>
          <w:bCs/>
          <w:color w:val="auto"/>
          <w:szCs w:val="21"/>
        </w:rPr>
      </w:pPr>
      <w:r>
        <w:rPr>
          <w:rFonts w:hint="eastAsia" w:hAnsi="宋体" w:cs="宋体"/>
          <w:bCs/>
          <w:color w:val="auto"/>
          <w:szCs w:val="21"/>
          <w:lang w:val="en-US" w:eastAsia="zh-CN"/>
        </w:rPr>
        <w:t>2</w:t>
      </w:r>
      <w:r>
        <w:rPr>
          <w:rFonts w:hint="eastAsia" w:hAnsi="宋体" w:cs="宋体"/>
          <w:bCs/>
          <w:color w:val="auto"/>
          <w:szCs w:val="21"/>
        </w:rPr>
        <w:t>.2本项目不接受联合体响应。</w:t>
      </w:r>
    </w:p>
    <w:p>
      <w:pPr>
        <w:pStyle w:val="10"/>
        <w:adjustRightInd w:val="0"/>
        <w:snapToGrid w:val="0"/>
        <w:spacing w:line="400" w:lineRule="exact"/>
        <w:ind w:firstLine="422" w:firstLineChars="200"/>
        <w:jc w:val="left"/>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三、</w:t>
      </w:r>
      <w:bookmarkEnd w:id="16"/>
      <w:bookmarkEnd w:id="17"/>
      <w:bookmarkEnd w:id="18"/>
      <w:bookmarkEnd w:id="19"/>
      <w:r>
        <w:rPr>
          <w:rFonts w:hint="eastAsia" w:asciiTheme="minorEastAsia" w:hAnsiTheme="minorEastAsia" w:eastAsiaTheme="minorEastAsia" w:cstheme="minorEastAsia"/>
          <w:b/>
          <w:color w:val="auto"/>
          <w:szCs w:val="21"/>
        </w:rPr>
        <w:t>采购比选文件获取时间、获取办法</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lang w:val="en-US" w:eastAsia="zh-CN"/>
        </w:rPr>
      </w:pPr>
      <w:bookmarkStart w:id="20" w:name="_Toc28359008"/>
      <w:bookmarkStart w:id="21" w:name="_Toc35393627"/>
      <w:bookmarkStart w:id="22" w:name="_Toc28359085"/>
      <w:bookmarkStart w:id="23" w:name="_Toc35393796"/>
      <w:r>
        <w:rPr>
          <w:rFonts w:hint="eastAsia" w:asciiTheme="minorEastAsia" w:hAnsiTheme="minorEastAsia" w:eastAsiaTheme="minorEastAsia" w:cstheme="minorEastAsia"/>
          <w:bCs/>
          <w:color w:val="auto"/>
          <w:szCs w:val="21"/>
        </w:rPr>
        <w:t>1、采购比选文件获取时间：</w:t>
      </w:r>
      <w:r>
        <w:rPr>
          <w:rFonts w:hint="eastAsia" w:asciiTheme="minorEastAsia" w:hAnsiTheme="minorEastAsia" w:eastAsiaTheme="minorEastAsia" w:cstheme="minorEastAsia"/>
          <w:b w:val="0"/>
          <w:bCs/>
          <w:color w:val="auto"/>
          <w:sz w:val="21"/>
          <w:szCs w:val="21"/>
          <w:lang w:val="en-US" w:eastAsia="zh-CN"/>
        </w:rPr>
        <w:t>2022年10月28日00时00分至2022年11月1日23点59分（北京时间）；</w:t>
      </w:r>
    </w:p>
    <w:p>
      <w:pPr>
        <w:pStyle w:val="10"/>
        <w:adjustRightInd w:val="0"/>
        <w:snapToGrid w:val="0"/>
        <w:spacing w:line="400" w:lineRule="exact"/>
        <w:ind w:firstLine="420" w:firstLineChars="200"/>
        <w:jc w:val="left"/>
        <w:outlineLvl w:val="0"/>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2、采购比选文件获取方式：请有意向参与本项目采购活动的单位在比选公告界面自行下载比选文件</w:t>
      </w:r>
      <w:r>
        <w:rPr>
          <w:rFonts w:hint="eastAsia" w:asciiTheme="minorEastAsia" w:hAnsiTheme="minorEastAsia" w:eastAsiaTheme="minorEastAsia" w:cstheme="minorEastAsia"/>
          <w:bCs/>
          <w:color w:val="auto"/>
          <w:szCs w:val="21"/>
          <w:lang w:val="en-US" w:eastAsia="zh-CN"/>
        </w:rPr>
        <w:t>。</w:t>
      </w:r>
    </w:p>
    <w:p>
      <w:pPr>
        <w:pStyle w:val="10"/>
        <w:adjustRightInd w:val="0"/>
        <w:snapToGrid w:val="0"/>
        <w:spacing w:line="400" w:lineRule="exact"/>
        <w:ind w:firstLine="422" w:firstLineChars="200"/>
        <w:jc w:val="left"/>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四、响应文件递交截止时间、开标时间及地点</w:t>
      </w:r>
    </w:p>
    <w:p>
      <w:pPr>
        <w:adjustRightInd w:val="0"/>
        <w:snapToGrid w:val="0"/>
        <w:spacing w:line="400" w:lineRule="exact"/>
        <w:ind w:firstLine="420" w:firstLineChars="200"/>
        <w:rPr>
          <w:bCs/>
          <w:color w:val="auto"/>
          <w:szCs w:val="21"/>
        </w:rPr>
      </w:pPr>
      <w:bookmarkStart w:id="24" w:name="_Toc35393794"/>
      <w:bookmarkStart w:id="25" w:name="_Toc28359084"/>
      <w:bookmarkStart w:id="26" w:name="_Toc35393625"/>
      <w:bookmarkStart w:id="27" w:name="_Toc28359007"/>
      <w:r>
        <w:rPr>
          <w:rFonts w:hint="eastAsia" w:asciiTheme="minorEastAsia" w:hAnsiTheme="minorEastAsia" w:eastAsiaTheme="minorEastAsia" w:cstheme="minorEastAsia"/>
          <w:bCs/>
          <w:color w:val="auto"/>
          <w:szCs w:val="21"/>
        </w:rPr>
        <w:t>1、响应文件递交截止时间:2022年</w:t>
      </w:r>
      <w:r>
        <w:rPr>
          <w:rFonts w:hint="eastAsia" w:asciiTheme="minorEastAsia" w:hAnsiTheme="minorEastAsia" w:eastAsiaTheme="minorEastAsia" w:cstheme="minorEastAsia"/>
          <w:b w:val="0"/>
          <w:bCs/>
          <w:color w:val="auto"/>
          <w:sz w:val="21"/>
          <w:szCs w:val="21"/>
          <w:lang w:val="en-US" w:eastAsia="zh-CN"/>
        </w:rPr>
        <w:t>11月2</w:t>
      </w:r>
      <w:r>
        <w:rPr>
          <w:rFonts w:hint="eastAsia" w:asciiTheme="minorEastAsia" w:hAnsiTheme="minorEastAsia" w:eastAsiaTheme="minorEastAsia" w:cstheme="minorEastAsia"/>
          <w:bCs/>
          <w:color w:val="auto"/>
          <w:szCs w:val="21"/>
        </w:rPr>
        <w:t>日</w:t>
      </w:r>
      <w:r>
        <w:rPr>
          <w:rFonts w:hint="eastAsia" w:asciiTheme="minorEastAsia" w:hAnsiTheme="minorEastAsia" w:eastAsiaTheme="minorEastAsia" w:cstheme="minorEastAsia"/>
          <w:bCs/>
          <w:color w:val="auto"/>
          <w:szCs w:val="21"/>
          <w:lang w:val="en-US" w:eastAsia="zh-CN"/>
        </w:rPr>
        <w:t>上</w:t>
      </w:r>
      <w:r>
        <w:rPr>
          <w:rFonts w:hint="eastAsia" w:asciiTheme="minorEastAsia" w:hAnsiTheme="minorEastAsia" w:eastAsiaTheme="minorEastAsia" w:cstheme="minorEastAsia"/>
          <w:bCs/>
          <w:color w:val="auto"/>
          <w:szCs w:val="21"/>
        </w:rPr>
        <w:t>午</w:t>
      </w:r>
      <w:r>
        <w:rPr>
          <w:rFonts w:hint="eastAsia" w:asciiTheme="minorEastAsia" w:hAnsiTheme="minorEastAsia" w:eastAsiaTheme="minorEastAsia" w:cstheme="minorEastAsia"/>
          <w:bCs/>
          <w:color w:val="auto"/>
          <w:szCs w:val="21"/>
          <w:lang w:val="en-US" w:eastAsia="zh-CN"/>
        </w:rPr>
        <w:t>9</w:t>
      </w:r>
      <w:r>
        <w:rPr>
          <w:rFonts w:hint="eastAsia" w:asciiTheme="minorEastAsia" w:hAnsiTheme="minorEastAsia" w:eastAsiaTheme="minorEastAsia" w:cstheme="minorEastAsia"/>
          <w:bCs/>
          <w:color w:val="auto"/>
          <w:szCs w:val="21"/>
        </w:rPr>
        <w:t>:00（北京时间）；</w:t>
      </w:r>
    </w:p>
    <w:p>
      <w:pPr>
        <w:adjustRightInd w:val="0"/>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2、开标时间:与响应文件递交截止时间为同一时间；</w:t>
      </w:r>
    </w:p>
    <w:p>
      <w:pPr>
        <w:adjustRightInd w:val="0"/>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3、响应文件递交及开标地点:海口江东新区管理局；</w:t>
      </w:r>
    </w:p>
    <w:p>
      <w:pPr>
        <w:adjustRightInd w:val="0"/>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4、逾期提交/送达或者未送达指定地点的响应文件，视为无效响应文件不予接收。</w:t>
      </w:r>
    </w:p>
    <w:p>
      <w:pPr>
        <w:pStyle w:val="10"/>
        <w:adjustRightInd w:val="0"/>
        <w:snapToGrid w:val="0"/>
        <w:spacing w:line="400" w:lineRule="exact"/>
        <w:ind w:firstLine="422" w:firstLineChars="200"/>
        <w:jc w:val="left"/>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五、采购信息发布媒体</w:t>
      </w:r>
    </w:p>
    <w:p>
      <w:pPr>
        <w:adjustRightInd w:val="0"/>
        <w:snapToGrid w:val="0"/>
        <w:spacing w:line="400" w:lineRule="exact"/>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1、本项目采购信息指定发布媒体为海口江东新区管理局官网；</w:t>
      </w:r>
    </w:p>
    <w:p>
      <w:pPr>
        <w:pStyle w:val="10"/>
        <w:adjustRightInd w:val="0"/>
        <w:snapToGrid w:val="0"/>
        <w:spacing w:line="400" w:lineRule="exact"/>
        <w:ind w:firstLine="420" w:firstLineChars="200"/>
        <w:jc w:val="left"/>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Cs/>
          <w:color w:val="auto"/>
          <w:szCs w:val="21"/>
        </w:rPr>
        <w:t>2、有关本项目采购比选文件的补遗、澄清及变更信息以上述网站公告与下载为准，采购比选文件与更正公告的内容相互矛盾时，以最后发出的更正公告内容为准</w:t>
      </w:r>
      <w:r>
        <w:rPr>
          <w:rFonts w:hint="eastAsia" w:asciiTheme="minorEastAsia" w:hAnsiTheme="minorEastAsia" w:eastAsiaTheme="minorEastAsia" w:cstheme="minorEastAsia"/>
          <w:b/>
          <w:color w:val="auto"/>
          <w:szCs w:val="21"/>
        </w:rPr>
        <w:t>。</w:t>
      </w:r>
    </w:p>
    <w:p>
      <w:pPr>
        <w:pStyle w:val="10"/>
        <w:adjustRightInd w:val="0"/>
        <w:snapToGrid w:val="0"/>
        <w:spacing w:line="400" w:lineRule="exact"/>
        <w:ind w:firstLine="422" w:firstLineChars="200"/>
        <w:jc w:val="left"/>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六、公告期限</w:t>
      </w:r>
    </w:p>
    <w:bookmarkEnd w:id="24"/>
    <w:bookmarkEnd w:id="25"/>
    <w:bookmarkEnd w:id="26"/>
    <w:bookmarkEnd w:id="27"/>
    <w:p>
      <w:pPr>
        <w:pStyle w:val="10"/>
        <w:adjustRightInd w:val="0"/>
        <w:snapToGrid w:val="0"/>
        <w:spacing w:line="400" w:lineRule="exact"/>
        <w:ind w:firstLine="420" w:firstLineChars="200"/>
        <w:jc w:val="left"/>
        <w:outlineLvl w:val="0"/>
        <w:rPr>
          <w:rFonts w:asciiTheme="minorEastAsia" w:hAnsiTheme="minorEastAsia" w:eastAsiaTheme="minorEastAsia" w:cstheme="minorEastAsia"/>
          <w:bCs/>
          <w:color w:val="auto"/>
          <w:szCs w:val="21"/>
          <w:lang w:val="zh-CN"/>
        </w:rPr>
      </w:pPr>
      <w:bookmarkStart w:id="28" w:name="_Toc35393626"/>
      <w:bookmarkStart w:id="29" w:name="_Toc35393795"/>
      <w:r>
        <w:rPr>
          <w:rFonts w:hint="eastAsia" w:asciiTheme="minorEastAsia" w:hAnsiTheme="minorEastAsia" w:eastAsiaTheme="minorEastAsia" w:cstheme="minorEastAsia"/>
          <w:bCs/>
          <w:color w:val="auto"/>
          <w:szCs w:val="21"/>
        </w:rPr>
        <w:t>本项目比选公告、采购比选文件公告自本公告发布之日起不少于3个工作日，</w:t>
      </w:r>
      <w:r>
        <w:rPr>
          <w:rFonts w:hint="eastAsia" w:asciiTheme="minorEastAsia" w:hAnsiTheme="minorEastAsia" w:eastAsiaTheme="minorEastAsia" w:cstheme="minorEastAsia"/>
          <w:bCs/>
          <w:color w:val="auto"/>
          <w:szCs w:val="21"/>
          <w:lang w:val="zh-CN"/>
        </w:rPr>
        <w:t>自</w:t>
      </w:r>
      <w:r>
        <w:rPr>
          <w:rFonts w:hint="eastAsia" w:asciiTheme="minorEastAsia" w:hAnsiTheme="minorEastAsia" w:eastAsiaTheme="minorEastAsia" w:cstheme="minorEastAsia"/>
          <w:bCs/>
          <w:color w:val="auto"/>
          <w:szCs w:val="21"/>
        </w:rPr>
        <w:t>2022</w:t>
      </w:r>
      <w:r>
        <w:rPr>
          <w:rFonts w:hint="eastAsia" w:asciiTheme="minorEastAsia" w:hAnsiTheme="minorEastAsia" w:eastAsiaTheme="minorEastAsia" w:cstheme="minorEastAsia"/>
          <w:bCs/>
          <w:color w:val="auto"/>
          <w:szCs w:val="21"/>
          <w:lang w:val="zh-CN"/>
        </w:rPr>
        <w:t>年</w:t>
      </w:r>
      <w:r>
        <w:rPr>
          <w:rFonts w:hint="eastAsia" w:asciiTheme="minorEastAsia" w:hAnsiTheme="minorEastAsia" w:eastAsiaTheme="minorEastAsia" w:cstheme="minorEastAsia"/>
          <w:b w:val="0"/>
          <w:bCs/>
          <w:color w:val="auto"/>
          <w:sz w:val="21"/>
          <w:szCs w:val="21"/>
          <w:lang w:val="en-US" w:eastAsia="zh-CN"/>
        </w:rPr>
        <w:t>10</w:t>
      </w:r>
      <w:r>
        <w:rPr>
          <w:rFonts w:hint="eastAsia" w:asciiTheme="minorEastAsia" w:hAnsiTheme="minorEastAsia" w:eastAsiaTheme="minorEastAsia" w:cstheme="minorEastAsia"/>
          <w:b w:val="0"/>
          <w:bCs/>
          <w:color w:val="auto"/>
          <w:sz w:val="21"/>
          <w:szCs w:val="21"/>
          <w:lang w:val="zh-CN"/>
        </w:rPr>
        <w:t>月</w:t>
      </w:r>
      <w:r>
        <w:rPr>
          <w:rFonts w:hint="eastAsia" w:asciiTheme="minorEastAsia" w:hAnsiTheme="minorEastAsia" w:eastAsiaTheme="minorEastAsia" w:cstheme="minorEastAsia"/>
          <w:b w:val="0"/>
          <w:bCs/>
          <w:color w:val="auto"/>
          <w:sz w:val="21"/>
          <w:szCs w:val="21"/>
          <w:lang w:val="en-US" w:eastAsia="zh-CN"/>
        </w:rPr>
        <w:t>28</w:t>
      </w:r>
      <w:r>
        <w:rPr>
          <w:rFonts w:hint="eastAsia" w:asciiTheme="minorEastAsia" w:hAnsiTheme="minorEastAsia" w:eastAsiaTheme="minorEastAsia" w:cstheme="minorEastAsia"/>
          <w:bCs/>
          <w:color w:val="auto"/>
          <w:szCs w:val="21"/>
          <w:lang w:val="zh-CN"/>
        </w:rPr>
        <w:t>日零时起至</w:t>
      </w:r>
      <w:r>
        <w:rPr>
          <w:rFonts w:hint="eastAsia" w:asciiTheme="minorEastAsia" w:hAnsiTheme="minorEastAsia" w:eastAsiaTheme="minorEastAsia" w:cstheme="minorEastAsia"/>
          <w:bCs/>
          <w:color w:val="auto"/>
          <w:szCs w:val="21"/>
        </w:rPr>
        <w:t>2022</w:t>
      </w:r>
      <w:r>
        <w:rPr>
          <w:rFonts w:hint="eastAsia" w:asciiTheme="minorEastAsia" w:hAnsiTheme="minorEastAsia" w:eastAsiaTheme="minorEastAsia" w:cstheme="minorEastAsia"/>
          <w:bCs/>
          <w:color w:val="auto"/>
          <w:szCs w:val="21"/>
          <w:lang w:val="zh-CN"/>
        </w:rPr>
        <w:t>年</w:t>
      </w:r>
      <w:r>
        <w:rPr>
          <w:rFonts w:hint="eastAsia" w:asciiTheme="minorEastAsia" w:hAnsiTheme="minorEastAsia" w:eastAsiaTheme="minorEastAsia" w:cstheme="minorEastAsia"/>
          <w:b w:val="0"/>
          <w:bCs/>
          <w:color w:val="auto"/>
          <w:sz w:val="21"/>
          <w:szCs w:val="21"/>
          <w:lang w:val="en-US" w:eastAsia="zh-CN"/>
        </w:rPr>
        <w:t>11</w:t>
      </w:r>
      <w:r>
        <w:rPr>
          <w:rFonts w:hint="eastAsia" w:asciiTheme="minorEastAsia" w:hAnsiTheme="minorEastAsia" w:eastAsiaTheme="minorEastAsia" w:cstheme="minorEastAsia"/>
          <w:b w:val="0"/>
          <w:bCs/>
          <w:color w:val="auto"/>
          <w:sz w:val="21"/>
          <w:szCs w:val="21"/>
          <w:lang w:val="zh-CN"/>
        </w:rPr>
        <w:t>月</w:t>
      </w:r>
      <w:r>
        <w:rPr>
          <w:rFonts w:hint="eastAsia" w:asciiTheme="minorEastAsia" w:hAnsiTheme="minorEastAsia" w:eastAsiaTheme="minorEastAsia" w:cstheme="minorEastAsia"/>
          <w:b w:val="0"/>
          <w:bCs/>
          <w:color w:val="auto"/>
          <w:sz w:val="21"/>
          <w:szCs w:val="21"/>
          <w:lang w:val="en-US" w:eastAsia="zh-CN"/>
        </w:rPr>
        <w:t>1</w:t>
      </w:r>
      <w:r>
        <w:rPr>
          <w:rFonts w:hint="eastAsia" w:asciiTheme="minorEastAsia" w:hAnsiTheme="minorEastAsia" w:eastAsiaTheme="minorEastAsia" w:cstheme="minorEastAsia"/>
          <w:bCs/>
          <w:color w:val="auto"/>
          <w:szCs w:val="21"/>
          <w:lang w:val="zh-CN"/>
        </w:rPr>
        <w:t>日2</w:t>
      </w:r>
      <w:r>
        <w:rPr>
          <w:rFonts w:hint="eastAsia" w:asciiTheme="minorEastAsia" w:hAnsiTheme="minorEastAsia" w:eastAsiaTheme="minorEastAsia" w:cstheme="minorEastAsia"/>
          <w:bCs/>
          <w:color w:val="auto"/>
          <w:szCs w:val="21"/>
        </w:rPr>
        <w:t>4</w:t>
      </w:r>
      <w:r>
        <w:rPr>
          <w:rFonts w:hint="eastAsia" w:asciiTheme="minorEastAsia" w:hAnsiTheme="minorEastAsia" w:eastAsiaTheme="minorEastAsia" w:cstheme="minorEastAsia"/>
          <w:bCs/>
          <w:color w:val="auto"/>
          <w:szCs w:val="21"/>
          <w:lang w:val="zh-CN"/>
        </w:rPr>
        <w:t>时止。</w:t>
      </w:r>
    </w:p>
    <w:p>
      <w:pPr>
        <w:pStyle w:val="10"/>
        <w:adjustRightInd w:val="0"/>
        <w:snapToGrid w:val="0"/>
        <w:spacing w:line="400" w:lineRule="exact"/>
        <w:ind w:firstLine="422" w:firstLineChars="200"/>
        <w:jc w:val="left"/>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七、其他补充事宜</w:t>
      </w:r>
      <w:bookmarkEnd w:id="28"/>
      <w:bookmarkEnd w:id="29"/>
      <w:r>
        <w:rPr>
          <w:rFonts w:hint="eastAsia" w:asciiTheme="minorEastAsia" w:hAnsiTheme="minorEastAsia" w:eastAsiaTheme="minorEastAsia" w:cstheme="minorEastAsia"/>
          <w:b/>
          <w:color w:val="auto"/>
          <w:szCs w:val="21"/>
        </w:rPr>
        <w:t>：</w:t>
      </w:r>
    </w:p>
    <w:p>
      <w:pPr>
        <w:pStyle w:val="10"/>
        <w:adjustRightInd w:val="0"/>
        <w:snapToGrid w:val="0"/>
        <w:spacing w:line="400" w:lineRule="exact"/>
        <w:ind w:firstLine="422" w:firstLineChars="200"/>
        <w:jc w:val="left"/>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八、对本次招标提出询问，请按以下方式联系</w:t>
      </w:r>
      <w:bookmarkEnd w:id="20"/>
      <w:bookmarkEnd w:id="21"/>
      <w:bookmarkEnd w:id="22"/>
      <w:bookmarkEnd w:id="23"/>
    </w:p>
    <w:p>
      <w:pPr>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1、采购人信息：</w:t>
      </w:r>
    </w:p>
    <w:p>
      <w:pPr>
        <w:snapToGrid w:val="0"/>
        <w:spacing w:line="400" w:lineRule="exact"/>
        <w:ind w:firstLine="420" w:firstLineChars="200"/>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 xml:space="preserve">名称： </w:t>
      </w:r>
      <w:r>
        <w:rPr>
          <w:rFonts w:hint="eastAsia" w:asciiTheme="minorEastAsia" w:hAnsiTheme="minorEastAsia" w:eastAsiaTheme="minorEastAsia" w:cstheme="minorEastAsia"/>
          <w:bCs/>
          <w:color w:val="auto"/>
          <w:szCs w:val="21"/>
          <w:lang w:val="en-US" w:eastAsia="zh-CN"/>
        </w:rPr>
        <w:t>海口江东新区管理局</w:t>
      </w:r>
    </w:p>
    <w:p>
      <w:pPr>
        <w:snapToGrid w:val="0"/>
        <w:spacing w:line="400" w:lineRule="exact"/>
        <w:ind w:firstLine="420" w:firstLineChars="200"/>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 xml:space="preserve">地址： </w:t>
      </w:r>
      <w:r>
        <w:rPr>
          <w:rFonts w:hint="eastAsia" w:asciiTheme="minorEastAsia" w:hAnsiTheme="minorEastAsia" w:eastAsiaTheme="minorEastAsia" w:cstheme="minorEastAsia"/>
          <w:bCs/>
          <w:color w:val="auto"/>
          <w:szCs w:val="21"/>
          <w:lang w:val="en-US" w:eastAsia="zh-CN"/>
        </w:rPr>
        <w:t>海口市美兰区兴洋大道181号海口江东新区管理局</w:t>
      </w:r>
    </w:p>
    <w:p>
      <w:pPr>
        <w:snapToGrid w:val="0"/>
        <w:spacing w:line="400" w:lineRule="exact"/>
        <w:ind w:firstLine="420" w:firstLineChars="200"/>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联系人：</w:t>
      </w:r>
      <w:r>
        <w:rPr>
          <w:rFonts w:hint="eastAsia" w:asciiTheme="minorEastAsia" w:hAnsiTheme="minorEastAsia" w:eastAsiaTheme="minorEastAsia" w:cstheme="minorEastAsia"/>
          <w:bCs/>
          <w:color w:val="auto"/>
          <w:sz w:val="21"/>
          <w:szCs w:val="21"/>
          <w:lang w:val="en-US" w:eastAsia="zh-CN"/>
        </w:rPr>
        <w:t>陈女士</w:t>
      </w:r>
    </w:p>
    <w:p>
      <w:pPr>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联系方式：</w:t>
      </w:r>
      <w:bookmarkStart w:id="30" w:name="_Toc28359086"/>
      <w:bookmarkStart w:id="31" w:name="_Toc28359009"/>
      <w:r>
        <w:rPr>
          <w:rFonts w:hint="eastAsia" w:asciiTheme="minorEastAsia" w:hAnsiTheme="minorEastAsia" w:eastAsiaTheme="minorEastAsia" w:cstheme="minorEastAsia"/>
          <w:bCs/>
          <w:color w:val="auto"/>
          <w:szCs w:val="21"/>
        </w:rPr>
        <w:t xml:space="preserve"> (0898)65686529</w:t>
      </w:r>
    </w:p>
    <w:bookmarkEnd w:id="30"/>
    <w:bookmarkEnd w:id="31"/>
    <w:p>
      <w:pPr>
        <w:snapToGrid w:val="0"/>
        <w:spacing w:line="400" w:lineRule="exact"/>
        <w:ind w:firstLine="420" w:firstLineChars="200"/>
        <w:jc w:val="left"/>
        <w:rPr>
          <w:rFonts w:asciiTheme="minorEastAsia" w:hAnsiTheme="minorEastAsia" w:eastAsiaTheme="minorEastAsia" w:cstheme="minorEastAsia"/>
          <w:bCs/>
          <w:color w:val="auto"/>
          <w:szCs w:val="21"/>
        </w:rPr>
        <w:sectPr>
          <w:headerReference r:id="rId8" w:type="first"/>
          <w:footerReference r:id="rId10" w:type="first"/>
          <w:footerReference r:id="rId9"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Cs/>
          <w:color w:val="auto"/>
          <w:szCs w:val="21"/>
        </w:rPr>
        <w:t xml:space="preserve"> </w:t>
      </w:r>
    </w:p>
    <w:p>
      <w:pPr>
        <w:adjustRightInd w:val="0"/>
        <w:snapToGrid w:val="0"/>
        <w:spacing w:line="360" w:lineRule="auto"/>
        <w:jc w:val="center"/>
        <w:rPr>
          <w:rFonts w:hint="eastAsia" w:ascii="宋体" w:hAnsi="宋体" w:cs="宋体"/>
          <w:b/>
          <w:color w:val="auto"/>
          <w:szCs w:val="21"/>
        </w:rPr>
      </w:pPr>
      <w:r>
        <w:rPr>
          <w:rFonts w:hint="eastAsia" w:ascii="宋体" w:hAnsi="宋体" w:cs="宋体"/>
          <w:b/>
          <w:color w:val="auto"/>
          <w:szCs w:val="21"/>
        </w:rPr>
        <w:t>第二章  采购需求</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一、项目概况</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海口江东新区，是海南自由贸易港11个重点园区之一，将着力构建“临空经济+服务经济+生态经济“的开放型、创新型产业体系，全力以赴打造中国特色自由贸易港建设的新标杆和建设美好新海南的示范区。海口江东新区管理局，是海口市设立的法定机构，实行“领导小组+法定机构+市场运作”的管理体制，具体负责江东新区开发建设、运营管理、产业发展、投资促进、制度创新和企业服务等工作。截止2022年底，预计存量企业将达到24000家。为准确掌握海口江东新区市场主体数据，全面摸清各类市场主体的发展状况，高质量高标准地开展园区统计工作，拟聘请专业统计服务机构开展江东新区统计管理工作。</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二、服务内容及要求</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（一）开展2022年度园区企业发展情况的全面调查工作</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1.制定调查工作实施方案及调查表式。</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2.对2022年度海口江东新区管辖范围内的所有企业法人单位和产业活动单位（包括注册地址或实际经营地址在海口江东新区的所有企业）进行全面调查并负责调查数据的录入工作。</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3.按调查方案要求，提交《海口江东新区入驻企业发展情况数据集》并撰写《海口江东新区入驻企业发展情况调查工作报告》。</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4.完成调查结果全过程资料的收集、整理和归档工作。</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（二）做好2022年度省重点产业园区企业主要指标调查工作</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1.严格落实执行《海南自贸港省级重点产业园区统计报表制度》，按照规定的时间节点及要求指导园区样本企业完成省重点产业园区统计报表指导、催报及系统数据的审核、汇总、验收及报送工作。</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2.协助开展园区企业统计报表制度普及工作。</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（三）开展2022年度新增基本单位清查工作</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基本单位指的是除个体户外的市场主体，即：企业法人单位和产业活动单位。</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1.制定清查工作实施方案并印制清查表。</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2.对2022年度江东新区全部新增基本单位进行核查，并在基本单位名录库中录入清查数据。</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3.按调查方案要求，撰写《海口江东新区新增企业清查工作总结》。</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4.完成清查结果全过程资料的收集、整理和归档工作。</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（四）做好2023年1-4季度园区特色统计指标监测工作</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1.制定监测工作实施方案及数据采集表式。</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2.对江东新区重点企业进行调查，录入监测数据。</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3.按监测方案要求收集海口江东新区重点企业的特色统计指标信息，提交《海口江东新区特色统计指标数据集》和监测工作报告。</w:t>
      </w:r>
    </w:p>
    <w:p>
      <w:pPr>
        <w:pStyle w:val="7"/>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4.完成清查结果全过程资料的收集、整理和归档工作。</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三、提交成果</w:t>
      </w:r>
    </w:p>
    <w:p>
      <w:pPr>
        <w:pStyle w:val="9"/>
        <w:spacing w:after="0"/>
        <w:ind w:left="0" w:leftChars="0" w:firstLine="420" w:firstLineChars="200"/>
      </w:pPr>
      <w:r>
        <w:rPr>
          <w:rFonts w:hint="eastAsia" w:asciiTheme="minorEastAsia" w:hAnsiTheme="minorEastAsia" w:eastAsiaTheme="minorEastAsia" w:cstheme="minorEastAsia"/>
          <w:b w:val="0"/>
          <w:bCs/>
          <w:color w:val="auto"/>
          <w:kern w:val="2"/>
          <w:sz w:val="21"/>
          <w:szCs w:val="21"/>
          <w:lang w:val="en-US" w:eastAsia="zh-CN" w:bidi="ar-SA"/>
        </w:rPr>
        <w:t>统计服务机构应于合同生效之日起开展工作，在2024年02月01日前完成我局要求的全部工作，并以Word、Excel等我局指定的形式提交各类报表、统计分析报告等资料。</w:t>
      </w:r>
    </w:p>
    <w:p>
      <w:pPr>
        <w:numPr>
          <w:ilvl w:val="0"/>
          <w:numId w:val="0"/>
        </w:numPr>
        <w:adjustRightInd w:val="0"/>
        <w:snapToGrid w:val="0"/>
        <w:spacing w:line="400" w:lineRule="exact"/>
        <w:ind w:firstLine="420" w:firstLineChars="200"/>
        <w:jc w:val="left"/>
        <w:rPr>
          <w:rFonts w:hint="eastAsia" w:asciiTheme="minorEastAsia" w:hAnsiTheme="minorEastAsia" w:eastAsiaTheme="minorEastAsia" w:cstheme="minorEastAsia"/>
          <w:bCs/>
          <w:color w:val="auto"/>
          <w:sz w:val="21"/>
          <w:szCs w:val="21"/>
          <w:lang w:val="en-US" w:eastAsia="zh-CN"/>
        </w:rPr>
        <w:sectPr>
          <w:footerReference r:id="rId11" w:type="default"/>
          <w:pgSz w:w="11906" w:h="16838"/>
          <w:pgMar w:top="1440" w:right="1800" w:bottom="1440" w:left="1800" w:header="794" w:footer="992" w:gutter="0"/>
          <w:cols w:space="425" w:num="1"/>
          <w:docGrid w:type="lines" w:linePitch="312" w:charSpace="0"/>
        </w:sectPr>
      </w:pPr>
    </w:p>
    <w:p>
      <w:pPr>
        <w:numPr>
          <w:ilvl w:val="0"/>
          <w:numId w:val="0"/>
        </w:numPr>
        <w:adjustRightInd w:val="0"/>
        <w:spacing w:line="400" w:lineRule="exact"/>
        <w:ind w:left="0" w:leftChars="0" w:firstLine="422" w:firstLineChars="200"/>
        <w:jc w:val="left"/>
        <w:rPr>
          <w:rFonts w:asciiTheme="minorEastAsia" w:hAnsiTheme="minorEastAsia" w:eastAsiaTheme="minorEastAsia" w:cstheme="minorEastAsia"/>
          <w:b/>
          <w:color w:val="auto"/>
        </w:rPr>
      </w:pPr>
    </w:p>
    <w:p>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第三章  供应商须知</w:t>
      </w:r>
    </w:p>
    <w:p>
      <w:pPr>
        <w:adjustRightInd w:val="0"/>
        <w:snapToGrid w:val="0"/>
        <w:spacing w:before="120" w:after="240"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供应商须知前附表</w:t>
      </w:r>
    </w:p>
    <w:tbl>
      <w:tblPr>
        <w:tblStyle w:val="20"/>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
                <w:color w:val="auto"/>
                <w:sz w:val="21"/>
                <w:szCs w:val="21"/>
                <w:lang w:val="zh-CN"/>
              </w:rPr>
            </w:pPr>
            <w:bookmarkStart w:id="32" w:name="_Toc246826106"/>
            <w:r>
              <w:rPr>
                <w:rFonts w:hint="eastAsia" w:asciiTheme="minorEastAsia" w:hAnsiTheme="minorEastAsia" w:eastAsiaTheme="minorEastAsia" w:cstheme="minorEastAsia"/>
                <w:b/>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pPr>
              <w:pStyle w:val="34"/>
              <w:snapToGrid w:val="0"/>
              <w:spacing w:line="360" w:lineRule="auto"/>
              <w:jc w:val="center"/>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pPr>
              <w:pStyle w:val="34"/>
              <w:snapToGrid w:val="0"/>
              <w:spacing w:line="360" w:lineRule="auto"/>
              <w:jc w:val="center"/>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1</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标前现场考察或/和标前答疑会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pPr>
              <w:pStyle w:val="34"/>
              <w:snapToGrid w:val="0"/>
              <w:spacing w:line="360" w:lineRule="auto"/>
              <w:ind w:left="105" w:leftChars="50"/>
              <w:jc w:val="both"/>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pPr>
              <w:pStyle w:val="34"/>
              <w:snapToGrid w:val="0"/>
              <w:spacing w:line="360" w:lineRule="auto"/>
              <w:ind w:left="105" w:leftChars="50"/>
              <w:jc w:val="both"/>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pPr>
              <w:widowControl/>
              <w:tabs>
                <w:tab w:val="left" w:pos="425"/>
              </w:tabs>
              <w:spacing w:line="360" w:lineRule="auto"/>
              <w:ind w:left="210" w:leftChars="100"/>
              <w:jc w:val="left"/>
              <w:rPr>
                <w:rFonts w:asciiTheme="minorEastAsia" w:hAnsiTheme="minorEastAsia" w:eastAsiaTheme="minorEastAsia" w:cstheme="minorEastAsia"/>
                <w:bCs/>
                <w:color w:val="auto"/>
                <w:szCs w:val="21"/>
              </w:rPr>
            </w:pPr>
            <w:r>
              <w:rPr>
                <w:rFonts w:hint="eastAsia" w:ascii="宋体" w:hAnsi="宋体" w:cs="宋体"/>
                <w:bCs/>
                <w:color w:val="auto"/>
                <w:kern w:val="0"/>
                <w:szCs w:val="21"/>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pPr>
              <w:pStyle w:val="34"/>
              <w:snapToGrid w:val="0"/>
              <w:spacing w:line="360" w:lineRule="auto"/>
              <w:ind w:left="105" w:leftChars="5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w:t>
            </w:r>
            <w:r>
              <w:rPr>
                <w:rFonts w:hint="eastAsia" w:asciiTheme="minorEastAsia" w:hAnsiTheme="minorEastAsia" w:eastAsiaTheme="minorEastAsia" w:cstheme="minorEastAsia"/>
                <w:bCs/>
                <w:color w:val="auto"/>
                <w:sz w:val="21"/>
                <w:szCs w:val="21"/>
              </w:rPr>
              <w:t>供应商</w:t>
            </w:r>
            <w:r>
              <w:rPr>
                <w:rFonts w:hint="eastAsia" w:asciiTheme="minorEastAsia" w:hAnsiTheme="minorEastAsia" w:eastAsiaTheme="minorEastAsia" w:cstheme="minorEastAsia"/>
                <w:bCs/>
                <w:color w:val="auto"/>
                <w:sz w:val="21"/>
                <w:szCs w:val="21"/>
                <w:lang w:val="zh-CN"/>
              </w:rPr>
              <w:t>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pPr>
              <w:widowControl/>
              <w:tabs>
                <w:tab w:val="left" w:pos="425"/>
              </w:tabs>
              <w:spacing w:line="360" w:lineRule="auto"/>
              <w:ind w:left="210" w:leftChars="100"/>
              <w:jc w:val="left"/>
              <w:rPr>
                <w:rFonts w:ascii="宋体" w:hAnsi="宋体" w:cs="宋体"/>
                <w:bCs/>
                <w:color w:val="auto"/>
                <w:kern w:val="0"/>
                <w:szCs w:val="21"/>
                <w:lang w:val="zh-CN"/>
              </w:rPr>
            </w:pPr>
            <w:r>
              <w:rPr>
                <w:rFonts w:hint="eastAsia" w:ascii="宋体" w:hAnsi="宋体" w:cs="宋体"/>
                <w:bCs/>
                <w:color w:val="auto"/>
                <w:kern w:val="0"/>
                <w:szCs w:val="21"/>
              </w:rPr>
              <w:t>1</w:t>
            </w:r>
            <w:r>
              <w:rPr>
                <w:rFonts w:hint="eastAsia" w:ascii="宋体" w:hAnsi="宋体" w:cs="宋体"/>
                <w:bCs/>
                <w:color w:val="auto"/>
                <w:kern w:val="0"/>
                <w:szCs w:val="21"/>
                <w:lang w:val="zh-CN"/>
              </w:rPr>
              <w:t>、</w:t>
            </w:r>
            <w:r>
              <w:rPr>
                <w:rFonts w:hint="eastAsia" w:ascii="宋体" w:hAnsi="宋体" w:cs="宋体"/>
                <w:bCs/>
                <w:color w:val="auto"/>
                <w:kern w:val="0"/>
                <w:szCs w:val="21"/>
              </w:rPr>
              <w:t>响应</w:t>
            </w:r>
            <w:r>
              <w:rPr>
                <w:rFonts w:hint="eastAsia" w:ascii="宋体" w:hAnsi="宋体" w:cs="宋体"/>
                <w:bCs/>
                <w:color w:val="auto"/>
                <w:kern w:val="0"/>
                <w:szCs w:val="21"/>
                <w:lang w:val="zh-CN"/>
              </w:rPr>
              <w:t>声明函；</w:t>
            </w:r>
          </w:p>
          <w:p>
            <w:pPr>
              <w:widowControl/>
              <w:tabs>
                <w:tab w:val="left" w:pos="425"/>
              </w:tabs>
              <w:spacing w:line="360" w:lineRule="auto"/>
              <w:ind w:left="210" w:leftChars="100"/>
              <w:jc w:val="left"/>
              <w:rPr>
                <w:rFonts w:ascii="宋体" w:hAnsi="宋体" w:cs="宋体"/>
                <w:bCs/>
                <w:color w:val="auto"/>
                <w:kern w:val="0"/>
                <w:szCs w:val="21"/>
                <w:lang w:val="zh-CN"/>
              </w:rPr>
            </w:pPr>
            <w:r>
              <w:rPr>
                <w:rFonts w:hint="eastAsia" w:ascii="宋体" w:hAnsi="宋体" w:cs="宋体"/>
                <w:bCs/>
                <w:color w:val="auto"/>
                <w:kern w:val="0"/>
                <w:szCs w:val="21"/>
                <w:lang w:val="zh-CN"/>
              </w:rPr>
              <w:t>2、法定代表人授权委托书（提供委托代理人的身份证复印件，非中国国籍的则提供护照复印件）（非法定代表人签署响应文件适用）；</w:t>
            </w:r>
          </w:p>
          <w:p>
            <w:pPr>
              <w:widowControl/>
              <w:tabs>
                <w:tab w:val="left" w:pos="425"/>
              </w:tabs>
              <w:spacing w:line="360" w:lineRule="auto"/>
              <w:ind w:left="210" w:leftChars="100"/>
              <w:jc w:val="left"/>
              <w:rPr>
                <w:rFonts w:ascii="宋体" w:hAnsi="宋体" w:cs="宋体"/>
                <w:bCs/>
                <w:color w:val="auto"/>
                <w:kern w:val="0"/>
                <w:szCs w:val="21"/>
                <w:lang w:val="zh-CN"/>
              </w:rPr>
            </w:pPr>
            <w:r>
              <w:rPr>
                <w:rFonts w:hint="eastAsia" w:ascii="宋体" w:hAnsi="宋体" w:cs="宋体"/>
                <w:bCs/>
                <w:color w:val="auto"/>
                <w:kern w:val="0"/>
                <w:szCs w:val="21"/>
                <w:lang w:val="zh-CN"/>
              </w:rPr>
              <w:t>3、法定代表人身份证明书（提供法定代表人身份证复印件，非中国国籍的则提供护照复印件）；</w:t>
            </w:r>
          </w:p>
          <w:p>
            <w:pPr>
              <w:widowControl/>
              <w:tabs>
                <w:tab w:val="left" w:pos="425"/>
              </w:tabs>
              <w:snapToGrid w:val="0"/>
              <w:spacing w:line="360" w:lineRule="auto"/>
              <w:ind w:left="210" w:leftChars="100"/>
              <w:rPr>
                <w:rFonts w:ascii="宋体" w:hAnsi="宋体" w:cs="宋体"/>
                <w:bCs/>
                <w:color w:val="auto"/>
                <w:kern w:val="0"/>
                <w:szCs w:val="21"/>
                <w:lang w:val="zh-CN"/>
              </w:rPr>
            </w:pPr>
            <w:r>
              <w:rPr>
                <w:rFonts w:hint="eastAsia" w:ascii="宋体" w:hAnsi="宋体" w:cs="宋体"/>
                <w:bCs/>
                <w:color w:val="auto"/>
                <w:kern w:val="0"/>
                <w:szCs w:val="21"/>
                <w:lang w:val="zh-CN"/>
              </w:rPr>
              <w:t>4、提供营业执照副本、或事业单位法人证书（事业单位）、或执业许可证（非企业专业服务机构）的复印件；</w:t>
            </w:r>
          </w:p>
          <w:p>
            <w:pPr>
              <w:widowControl/>
              <w:tabs>
                <w:tab w:val="left" w:pos="425"/>
              </w:tabs>
              <w:snapToGrid w:val="0"/>
              <w:spacing w:line="360" w:lineRule="auto"/>
              <w:ind w:left="210" w:leftChars="100"/>
              <w:rPr>
                <w:rFonts w:ascii="宋体" w:hAnsi="宋体" w:cs="宋体"/>
                <w:bCs/>
                <w:color w:val="auto"/>
                <w:kern w:val="0"/>
                <w:szCs w:val="21"/>
                <w:lang w:val="zh-CN"/>
              </w:rPr>
            </w:pPr>
            <w:r>
              <w:rPr>
                <w:rFonts w:hint="eastAsia" w:ascii="宋体" w:hAnsi="宋体" w:cs="宋体"/>
                <w:bCs/>
                <w:color w:val="auto"/>
                <w:kern w:val="0"/>
                <w:szCs w:val="21"/>
                <w:lang w:val="zh-CN"/>
              </w:rPr>
              <w:t>5、</w:t>
            </w:r>
            <w:r>
              <w:rPr>
                <w:rFonts w:hint="eastAsia" w:asciiTheme="minorEastAsia" w:hAnsiTheme="minorEastAsia" w:eastAsiaTheme="minorEastAsia" w:cstheme="minorEastAsia"/>
                <w:bCs/>
                <w:color w:val="auto"/>
                <w:kern w:val="0"/>
                <w:szCs w:val="21"/>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6）；</w:t>
            </w:r>
          </w:p>
          <w:p>
            <w:pPr>
              <w:widowControl/>
              <w:tabs>
                <w:tab w:val="left" w:pos="425"/>
              </w:tabs>
              <w:snapToGrid w:val="0"/>
              <w:spacing w:line="360" w:lineRule="auto"/>
              <w:ind w:left="210" w:leftChars="100"/>
              <w:rPr>
                <w:rFonts w:ascii="宋体" w:hAnsi="宋体" w:cs="宋体"/>
                <w:bCs/>
                <w:color w:val="auto"/>
                <w:kern w:val="0"/>
                <w:szCs w:val="21"/>
                <w:lang w:val="zh-CN"/>
              </w:rPr>
            </w:pPr>
            <w:r>
              <w:rPr>
                <w:rFonts w:hint="eastAsia" w:ascii="宋体" w:hAnsi="宋体" w:cs="宋体"/>
                <w:bCs/>
                <w:color w:val="auto"/>
                <w:kern w:val="0"/>
                <w:szCs w:val="21"/>
              </w:rPr>
              <w:t>6</w:t>
            </w:r>
            <w:r>
              <w:rPr>
                <w:rFonts w:hint="eastAsia" w:ascii="宋体" w:hAnsi="宋体" w:cs="宋体"/>
                <w:bCs/>
                <w:color w:val="auto"/>
                <w:kern w:val="0"/>
                <w:szCs w:val="21"/>
                <w:lang w:val="zh-CN"/>
              </w:rPr>
              <w:t>、资格审查及符合性审查要求提供的其他资料（详见资格审查表及符合性审查表要求）；</w:t>
            </w:r>
          </w:p>
          <w:p>
            <w:pPr>
              <w:widowControl/>
              <w:tabs>
                <w:tab w:val="left" w:pos="425"/>
              </w:tabs>
              <w:snapToGrid w:val="0"/>
              <w:spacing w:line="360" w:lineRule="auto"/>
              <w:ind w:left="210" w:leftChars="100"/>
              <w:rPr>
                <w:rFonts w:ascii="宋体" w:hAnsi="宋体" w:cs="宋体"/>
                <w:bCs/>
                <w:color w:val="auto"/>
                <w:kern w:val="0"/>
                <w:szCs w:val="21"/>
                <w:lang w:val="zh-CN"/>
              </w:rPr>
            </w:pPr>
            <w:r>
              <w:rPr>
                <w:rFonts w:hint="eastAsia" w:ascii="宋体" w:hAnsi="宋体" w:cs="宋体"/>
                <w:bCs/>
                <w:color w:val="auto"/>
                <w:kern w:val="0"/>
                <w:szCs w:val="21"/>
              </w:rPr>
              <w:t>7</w:t>
            </w:r>
            <w:r>
              <w:rPr>
                <w:rFonts w:hint="eastAsia" w:ascii="宋体" w:hAnsi="宋体" w:cs="宋体"/>
                <w:bCs/>
                <w:color w:val="auto"/>
                <w:kern w:val="0"/>
                <w:szCs w:val="21"/>
                <w:lang w:val="zh-CN"/>
              </w:rPr>
              <w:t>、评审标准要求提供的其他资料（详见评审细则要求）；</w:t>
            </w:r>
          </w:p>
          <w:p>
            <w:pPr>
              <w:adjustRightInd w:val="0"/>
              <w:snapToGrid w:val="0"/>
              <w:spacing w:line="360" w:lineRule="auto"/>
              <w:ind w:left="210" w:leftChars="100"/>
              <w:jc w:val="left"/>
              <w:rPr>
                <w:rFonts w:asciiTheme="minorEastAsia" w:hAnsiTheme="minorEastAsia" w:eastAsiaTheme="minorEastAsia" w:cstheme="minorEastAsia"/>
                <w:bCs/>
                <w:color w:val="auto"/>
                <w:kern w:val="0"/>
                <w:szCs w:val="21"/>
                <w:lang w:val="zh-CN"/>
              </w:rPr>
            </w:pPr>
            <w:r>
              <w:rPr>
                <w:rFonts w:hint="eastAsia" w:ascii="宋体" w:hAnsi="宋体" w:cs="宋体"/>
                <w:bCs/>
                <w:color w:val="auto"/>
                <w:kern w:val="0"/>
                <w:szCs w:val="21"/>
              </w:rPr>
              <w:t>8</w:t>
            </w:r>
            <w:r>
              <w:rPr>
                <w:rFonts w:hint="eastAsia" w:ascii="宋体" w:hAnsi="宋体" w:cs="宋体"/>
                <w:bCs/>
                <w:color w:val="auto"/>
                <w:kern w:val="0"/>
                <w:szCs w:val="21"/>
                <w:lang w:val="zh-CN"/>
              </w:rPr>
              <w:t>、</w:t>
            </w:r>
            <w:r>
              <w:rPr>
                <w:rFonts w:hint="eastAsia" w:ascii="宋体" w:hAnsi="宋体" w:cs="宋体"/>
                <w:bCs/>
                <w:color w:val="auto"/>
                <w:kern w:val="0"/>
                <w:szCs w:val="21"/>
              </w:rPr>
              <w:t>供应商</w:t>
            </w:r>
            <w:r>
              <w:rPr>
                <w:rFonts w:hint="eastAsia" w:ascii="宋体" w:hAnsi="宋体" w:cs="宋体"/>
                <w:bCs/>
                <w:color w:val="auto"/>
                <w:kern w:val="0"/>
                <w:szCs w:val="21"/>
                <w:lang w:val="zh-CN"/>
              </w:rPr>
              <w:t>认为需要提供的其他资格证明文件和商务资料。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zh-CN"/>
              </w:rPr>
              <w:t>本项目要求</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bCs/>
                <w:color w:val="auto"/>
                <w:kern w:val="0"/>
                <w:szCs w:val="21"/>
                <w:lang w:val="zh-CN"/>
              </w:rPr>
              <w:t>提供的</w:t>
            </w:r>
            <w:r>
              <w:rPr>
                <w:rFonts w:hint="eastAsia" w:asciiTheme="minorEastAsia" w:hAnsiTheme="minorEastAsia" w:eastAsiaTheme="minorEastAsia" w:cstheme="minorEastAsia"/>
                <w:bCs/>
                <w:color w:val="auto"/>
                <w:kern w:val="0"/>
                <w:szCs w:val="21"/>
              </w:rPr>
              <w:t>响应</w:t>
            </w:r>
            <w:r>
              <w:rPr>
                <w:rFonts w:hint="eastAsia" w:asciiTheme="minorEastAsia" w:hAnsiTheme="minorEastAsia" w:eastAsiaTheme="minorEastAsia" w:cstheme="minorEastAsia"/>
                <w:bCs/>
                <w:color w:val="auto"/>
                <w:szCs w:val="21"/>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color w:val="auto"/>
                <w:kern w:val="0"/>
                <w:szCs w:val="21"/>
                <w:lang w:val="zh-CN"/>
              </w:rPr>
            </w:pPr>
            <w:r>
              <w:rPr>
                <w:rFonts w:hint="eastAsia" w:asciiTheme="minorEastAsia" w:hAnsiTheme="minorEastAsia" w:eastAsiaTheme="minorEastAsia" w:cstheme="minorEastAsia"/>
                <w:bCs/>
                <w:color w:val="auto"/>
                <w:kern w:val="0"/>
                <w:szCs w:val="21"/>
              </w:rPr>
              <w:t>1、</w:t>
            </w:r>
            <w:r>
              <w:rPr>
                <w:rFonts w:hint="eastAsia" w:asciiTheme="minorEastAsia" w:hAnsiTheme="minorEastAsia" w:eastAsiaTheme="minorEastAsia" w:cstheme="minorEastAsia"/>
                <w:bCs/>
                <w:color w:val="auto"/>
                <w:kern w:val="0"/>
                <w:szCs w:val="21"/>
                <w:lang w:val="zh-CN"/>
              </w:rPr>
              <w:t>开标一览表</w:t>
            </w:r>
          </w:p>
          <w:p>
            <w:pPr>
              <w:adjustRightInd w:val="0"/>
              <w:snapToGrid w:val="0"/>
              <w:spacing w:line="360" w:lineRule="auto"/>
              <w:ind w:left="105" w:leftChars="5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kern w:val="0"/>
                <w:szCs w:val="21"/>
              </w:rPr>
              <w:t>2、</w:t>
            </w:r>
            <w:r>
              <w:rPr>
                <w:rFonts w:hint="eastAsia" w:asciiTheme="minorEastAsia" w:hAnsiTheme="minorEastAsia" w:eastAsiaTheme="minorEastAsia" w:cstheme="minorEastAsia"/>
                <w:bCs/>
                <w:color w:val="auto"/>
                <w:kern w:val="0"/>
                <w:szCs w:val="21"/>
                <w:lang w:val="zh-CN"/>
              </w:rPr>
              <w:t>报价明细表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pPr>
              <w:pStyle w:val="34"/>
              <w:snapToGrid w:val="0"/>
              <w:spacing w:line="360" w:lineRule="auto"/>
              <w:ind w:left="105" w:leftChars="50"/>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响应</w:t>
            </w:r>
            <w:r>
              <w:rPr>
                <w:rFonts w:hint="eastAsia" w:asciiTheme="minorEastAsia" w:hAnsiTheme="minorEastAsia" w:eastAsiaTheme="minorEastAsia" w:cstheme="minorEastAsia"/>
                <w:bCs/>
                <w:color w:val="auto"/>
                <w:sz w:val="21"/>
                <w:szCs w:val="21"/>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pPr>
              <w:pStyle w:val="34"/>
              <w:snapToGrid w:val="0"/>
              <w:spacing w:line="360" w:lineRule="auto"/>
              <w:ind w:left="105" w:leftChars="50"/>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自响应文件递交截止之日起90天。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pPr>
              <w:pStyle w:val="34"/>
              <w:snapToGrid w:val="0"/>
              <w:spacing w:line="360" w:lineRule="auto"/>
              <w:ind w:left="105" w:leftChars="50"/>
              <w:rPr>
                <w:bCs/>
                <w:color w:val="auto"/>
                <w:kern w:val="2"/>
                <w:sz w:val="21"/>
                <w:szCs w:val="21"/>
              </w:rPr>
            </w:pPr>
            <w:r>
              <w:rPr>
                <w:rFonts w:hint="eastAsia"/>
                <w:bCs/>
                <w:color w:val="auto"/>
                <w:kern w:val="2"/>
                <w:sz w:val="21"/>
                <w:szCs w:val="21"/>
              </w:rPr>
              <w:t>响应</w:t>
            </w:r>
            <w:r>
              <w:rPr>
                <w:rFonts w:hint="eastAsia"/>
                <w:bCs/>
                <w:color w:val="auto"/>
                <w:kern w:val="2"/>
                <w:sz w:val="21"/>
                <w:szCs w:val="21"/>
                <w:lang w:val="zh-CN"/>
              </w:rPr>
              <w:t>保证金</w:t>
            </w:r>
            <w:r>
              <w:rPr>
                <w:rFonts w:hint="eastAsia"/>
                <w:bCs/>
                <w:color w:val="auto"/>
                <w:kern w:val="2"/>
                <w:sz w:val="21"/>
                <w:szCs w:val="21"/>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6"/>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本项目不收取响应保证金。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pPr>
              <w:pStyle w:val="34"/>
              <w:snapToGrid w:val="0"/>
              <w:spacing w:line="360" w:lineRule="auto"/>
              <w:ind w:left="105" w:leftChars="50"/>
              <w:jc w:val="both"/>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响应</w:t>
            </w:r>
            <w:r>
              <w:rPr>
                <w:rFonts w:hint="eastAsia" w:asciiTheme="minorEastAsia" w:hAnsiTheme="minorEastAsia" w:eastAsiaTheme="minorEastAsia" w:cstheme="minorEastAsia"/>
                <w:bCs/>
                <w:color w:val="auto"/>
                <w:sz w:val="21"/>
                <w:szCs w:val="21"/>
                <w:lang w:val="zh-CN"/>
              </w:rPr>
              <w:t>文件份数要求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6"/>
              <w:adjustRightInd w:val="0"/>
              <w:snapToGrid w:val="0"/>
              <w:spacing w:line="360" w:lineRule="auto"/>
              <w:ind w:left="105" w:leftChars="5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fldChar w:fldCharType="begin"/>
            </w:r>
            <w:r>
              <w:rPr>
                <w:rFonts w:hint="eastAsia" w:asciiTheme="minorEastAsia" w:hAnsiTheme="minorEastAsia" w:eastAsiaTheme="minorEastAsia" w:cstheme="minorEastAsia"/>
                <w:bCs/>
                <w:color w:val="auto"/>
                <w:szCs w:val="21"/>
                <w:lang w:val="zh-CN"/>
              </w:rPr>
              <w:instrText xml:space="preserve"> = 1 \* GB3 \* MERGEFORMAT </w:instrText>
            </w:r>
            <w:r>
              <w:rPr>
                <w:rFonts w:hint="eastAsia" w:asciiTheme="minorEastAsia" w:hAnsiTheme="minorEastAsia" w:eastAsiaTheme="minorEastAsia" w:cstheme="minorEastAsia"/>
                <w:bCs/>
                <w:color w:val="auto"/>
                <w:szCs w:val="21"/>
                <w:lang w:val="zh-CN"/>
              </w:rPr>
              <w:fldChar w:fldCharType="separate"/>
            </w:r>
            <w:r>
              <w:rPr>
                <w:rFonts w:hint="eastAsia" w:asciiTheme="minorEastAsia" w:hAnsiTheme="minorEastAsia" w:eastAsiaTheme="minorEastAsia" w:cstheme="minorEastAsia"/>
                <w:bCs/>
                <w:color w:val="auto"/>
                <w:szCs w:val="21"/>
              </w:rPr>
              <w:t>①</w:t>
            </w:r>
            <w:r>
              <w:rPr>
                <w:rFonts w:hint="eastAsia" w:asciiTheme="minorEastAsia" w:hAnsiTheme="minorEastAsia" w:eastAsiaTheme="minorEastAsia" w:cstheme="minorEastAsia"/>
                <w:bCs/>
                <w:color w:val="auto"/>
                <w:szCs w:val="21"/>
                <w:lang w:val="zh-CN"/>
              </w:rPr>
              <w:fldChar w:fldCharType="end"/>
            </w:r>
            <w:r>
              <w:rPr>
                <w:rFonts w:hint="eastAsia" w:asciiTheme="minorEastAsia" w:hAnsiTheme="minorEastAsia" w:eastAsiaTheme="minorEastAsia" w:cstheme="minorEastAsia"/>
                <w:bCs/>
                <w:color w:val="auto"/>
                <w:szCs w:val="21"/>
                <w:lang w:val="zh-CN"/>
              </w:rPr>
              <w:t>正本</w:t>
            </w:r>
            <w:r>
              <w:rPr>
                <w:rFonts w:hint="eastAsia" w:asciiTheme="minorEastAsia" w:hAnsiTheme="minorEastAsia" w:eastAsiaTheme="minorEastAsia" w:cstheme="minorEastAsia"/>
                <w:bCs/>
                <w:color w:val="auto"/>
                <w:szCs w:val="21"/>
                <w:u w:val="single"/>
                <w:lang w:val="zh-CN"/>
              </w:rPr>
              <w:t>一</w:t>
            </w:r>
            <w:r>
              <w:rPr>
                <w:rFonts w:hint="eastAsia" w:asciiTheme="minorEastAsia" w:hAnsiTheme="minorEastAsia" w:eastAsiaTheme="minorEastAsia" w:cstheme="minorEastAsia"/>
                <w:bCs/>
                <w:color w:val="auto"/>
                <w:szCs w:val="21"/>
                <w:lang w:val="zh-CN"/>
              </w:rPr>
              <w:t xml:space="preserve">份  </w:t>
            </w:r>
            <w:r>
              <w:rPr>
                <w:rFonts w:hint="eastAsia" w:asciiTheme="minorEastAsia" w:hAnsiTheme="minorEastAsia" w:eastAsiaTheme="minorEastAsia" w:cstheme="minorEastAsia"/>
                <w:bCs/>
                <w:color w:val="auto"/>
                <w:szCs w:val="21"/>
                <w:lang w:val="zh-CN"/>
              </w:rPr>
              <w:fldChar w:fldCharType="begin"/>
            </w:r>
            <w:r>
              <w:rPr>
                <w:rFonts w:hint="eastAsia" w:asciiTheme="minorEastAsia" w:hAnsiTheme="minorEastAsia" w:eastAsiaTheme="minorEastAsia" w:cstheme="minorEastAsia"/>
                <w:bCs/>
                <w:color w:val="auto"/>
                <w:szCs w:val="21"/>
                <w:lang w:val="zh-CN"/>
              </w:rPr>
              <w:instrText xml:space="preserve"> = 2 \* GB3 \* MERGEFORMAT </w:instrText>
            </w:r>
            <w:r>
              <w:rPr>
                <w:rFonts w:hint="eastAsia" w:asciiTheme="minorEastAsia" w:hAnsiTheme="minorEastAsia" w:eastAsiaTheme="minorEastAsia" w:cstheme="minorEastAsia"/>
                <w:bCs/>
                <w:color w:val="auto"/>
                <w:szCs w:val="21"/>
                <w:lang w:val="zh-CN"/>
              </w:rPr>
              <w:fldChar w:fldCharType="separate"/>
            </w:r>
            <w:r>
              <w:rPr>
                <w:rFonts w:hint="eastAsia" w:asciiTheme="minorEastAsia" w:hAnsiTheme="minorEastAsia" w:eastAsiaTheme="minorEastAsia" w:cstheme="minorEastAsia"/>
                <w:bCs/>
                <w:color w:val="auto"/>
                <w:szCs w:val="21"/>
              </w:rPr>
              <w:t>②</w:t>
            </w:r>
            <w:r>
              <w:rPr>
                <w:rFonts w:hint="eastAsia" w:asciiTheme="minorEastAsia" w:hAnsiTheme="minorEastAsia" w:eastAsiaTheme="minorEastAsia" w:cstheme="minorEastAsia"/>
                <w:bCs/>
                <w:color w:val="auto"/>
                <w:szCs w:val="21"/>
                <w:lang w:val="zh-CN"/>
              </w:rPr>
              <w:fldChar w:fldCharType="end"/>
            </w:r>
            <w:r>
              <w:rPr>
                <w:rFonts w:hint="eastAsia" w:asciiTheme="minorEastAsia" w:hAnsiTheme="minorEastAsia" w:eastAsiaTheme="minorEastAsia" w:cstheme="minorEastAsia"/>
                <w:bCs/>
                <w:color w:val="auto"/>
                <w:szCs w:val="21"/>
                <w:lang w:val="zh-CN"/>
              </w:rPr>
              <w:t>副本</w:t>
            </w:r>
            <w:r>
              <w:rPr>
                <w:rFonts w:hint="eastAsia" w:asciiTheme="minorEastAsia" w:hAnsiTheme="minorEastAsia" w:eastAsiaTheme="minorEastAsia" w:cstheme="minorEastAsia"/>
                <w:bCs/>
                <w:color w:val="auto"/>
                <w:szCs w:val="21"/>
                <w:u w:val="single"/>
              </w:rPr>
              <w:t>四</w:t>
            </w:r>
            <w:r>
              <w:rPr>
                <w:rFonts w:hint="eastAsia" w:asciiTheme="minorEastAsia" w:hAnsiTheme="minorEastAsia" w:eastAsiaTheme="minorEastAsia" w:cstheme="minorEastAsia"/>
                <w:bCs/>
                <w:color w:val="auto"/>
                <w:szCs w:val="21"/>
                <w:lang w:val="zh-CN"/>
              </w:rPr>
              <w:t>份</w:t>
            </w:r>
            <w:r>
              <w:rPr>
                <w:rFonts w:hint="eastAsia" w:asciiTheme="minorEastAsia" w:hAnsiTheme="minorEastAsia" w:eastAsiaTheme="minorEastAsia" w:cstheme="minorEastAsia"/>
                <w:bCs/>
                <w:color w:val="auto"/>
                <w:szCs w:val="21"/>
              </w:rPr>
              <w:t>。</w:t>
            </w:r>
          </w:p>
          <w:p>
            <w:pPr>
              <w:tabs>
                <w:tab w:val="left" w:pos="420"/>
              </w:tabs>
              <w:adjustRightInd w:val="0"/>
              <w:snapToGrid w:val="0"/>
              <w:spacing w:line="360" w:lineRule="auto"/>
              <w:ind w:left="105" w:leftChars="5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rPr>
              <w:t>要求：少于数量要求的响应文件视为无效响应文件。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4"/>
              <w:snapToGrid w:val="0"/>
              <w:spacing w:line="360" w:lineRule="auto"/>
              <w:ind w:left="9"/>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pPr>
              <w:pStyle w:val="34"/>
              <w:snapToGrid w:val="0"/>
              <w:spacing w:line="360" w:lineRule="auto"/>
              <w:ind w:left="105" w:leftChars="50"/>
              <w:jc w:val="both"/>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响应</w:t>
            </w:r>
            <w:r>
              <w:rPr>
                <w:rFonts w:hint="eastAsia" w:asciiTheme="minorEastAsia" w:hAnsiTheme="minorEastAsia" w:eastAsiaTheme="minorEastAsia" w:cstheme="minorEastAsia"/>
                <w:bCs/>
                <w:color w:val="auto"/>
                <w:sz w:val="21"/>
                <w:szCs w:val="21"/>
                <w:lang w:val="zh-CN"/>
              </w:rPr>
              <w:t>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34"/>
              <w:snapToGrid w:val="0"/>
              <w:spacing w:line="360" w:lineRule="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响应文件正本和副本须密封，并在密封处加盖单位公章或法定代表人或其授权代表签名；</w:t>
            </w:r>
          </w:p>
          <w:p>
            <w:pPr>
              <w:pStyle w:val="34"/>
              <w:snapToGrid w:val="0"/>
              <w:spacing w:line="360" w:lineRule="auto"/>
              <w:ind w:left="105" w:leftChars="50"/>
              <w:rPr>
                <w:rFonts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rPr>
              <w:t>要求：不符合上述密封签章要求的响应文件存在视为无效响应文件风险。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5"/>
              <w:adjustRightInd w:val="0"/>
              <w:snapToGrid w:val="0"/>
              <w:spacing w:line="360" w:lineRule="auto"/>
              <w:ind w:left="9" w:firstLine="0"/>
              <w:jc w:val="center"/>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1</w:t>
            </w:r>
            <w:r>
              <w:rPr>
                <w:rFonts w:hint="eastAsia" w:asciiTheme="minorEastAsia" w:hAnsiTheme="minorEastAsia" w:eastAsiaTheme="minorEastAsia" w:cstheme="minorEastAsia"/>
                <w:bCs/>
                <w:color w:val="auto"/>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响应文件    正本（副本）</w:t>
            </w:r>
          </w:p>
          <w:p>
            <w:pPr>
              <w:adjustRightInd w:val="0"/>
              <w:snapToGrid w:val="0"/>
              <w:spacing w:line="360" w:lineRule="auto"/>
              <w:ind w:left="105" w:leftChars="50"/>
              <w:rPr>
                <w:rFonts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Cs/>
                <w:color w:val="auto"/>
                <w:szCs w:val="21"/>
              </w:rPr>
              <w:t>项目名称:海口江东新区统计服务</w:t>
            </w:r>
          </w:p>
          <w:p>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项目编号：zfcg-fw-20221019-001</w:t>
            </w:r>
          </w:p>
          <w:p>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供应商的名称（加盖公章）：</w:t>
            </w:r>
          </w:p>
          <w:p>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供应商联系人姓名、联系电话：</w:t>
            </w:r>
          </w:p>
          <w:p>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于</w:t>
            </w:r>
            <w:r>
              <w:rPr>
                <w:rFonts w:hint="eastAsia" w:asciiTheme="minorEastAsia" w:hAnsiTheme="minorEastAsia" w:eastAsiaTheme="minorEastAsia" w:cstheme="minorEastAsia"/>
                <w:bCs/>
                <w:color w:val="auto"/>
                <w:kern w:val="0"/>
                <w:szCs w:val="21"/>
              </w:rPr>
              <w:t>在</w:t>
            </w:r>
            <w:r>
              <w:rPr>
                <w:rFonts w:hint="eastAsia" w:asciiTheme="minorEastAsia" w:hAnsiTheme="minorEastAsia" w:eastAsiaTheme="minorEastAsia" w:cstheme="minorEastAsia"/>
                <w:bCs/>
                <w:color w:val="auto"/>
                <w:kern w:val="0"/>
                <w:szCs w:val="21"/>
                <w:lang w:val="en-US" w:eastAsia="zh-CN"/>
              </w:rPr>
              <w:t>2022</w:t>
            </w:r>
            <w:r>
              <w:rPr>
                <w:rFonts w:hint="eastAsia" w:asciiTheme="minorEastAsia" w:hAnsiTheme="minorEastAsia" w:eastAsiaTheme="minorEastAsia" w:cstheme="minorEastAsia"/>
                <w:bCs/>
                <w:color w:val="auto"/>
                <w:kern w:val="0"/>
                <w:szCs w:val="21"/>
                <w:lang w:val="zh-CN"/>
              </w:rPr>
              <w:t>年</w:t>
            </w:r>
            <w:r>
              <w:rPr>
                <w:rFonts w:hint="eastAsia" w:asciiTheme="minorEastAsia" w:hAnsiTheme="minorEastAsia" w:eastAsiaTheme="minorEastAsia" w:cstheme="minorEastAsia"/>
                <w:bCs/>
                <w:color w:val="auto"/>
                <w:kern w:val="0"/>
                <w:szCs w:val="21"/>
                <w:lang w:val="en-US" w:eastAsia="zh-CN"/>
              </w:rPr>
              <w:t>11</w:t>
            </w:r>
            <w:r>
              <w:rPr>
                <w:rFonts w:hint="eastAsia" w:asciiTheme="minorEastAsia" w:hAnsiTheme="minorEastAsia" w:eastAsiaTheme="minorEastAsia" w:cstheme="minorEastAsia"/>
                <w:bCs/>
                <w:color w:val="auto"/>
                <w:kern w:val="0"/>
                <w:szCs w:val="21"/>
                <w:lang w:val="zh-CN"/>
              </w:rPr>
              <w:t>月</w:t>
            </w:r>
            <w:r>
              <w:rPr>
                <w:rFonts w:hint="eastAsia" w:asciiTheme="minorEastAsia" w:hAnsiTheme="minorEastAsia" w:eastAsiaTheme="minorEastAsia" w:cstheme="minorEastAsia"/>
                <w:bCs/>
                <w:color w:val="auto"/>
                <w:kern w:val="0"/>
                <w:szCs w:val="21"/>
                <w:lang w:val="en-US" w:eastAsia="zh-CN"/>
              </w:rPr>
              <w:t xml:space="preserve"> 2 </w:t>
            </w:r>
            <w:r>
              <w:rPr>
                <w:rFonts w:hint="eastAsia" w:asciiTheme="minorEastAsia" w:hAnsiTheme="minorEastAsia" w:eastAsiaTheme="minorEastAsia" w:cstheme="minorEastAsia"/>
                <w:bCs/>
                <w:color w:val="auto"/>
                <w:kern w:val="0"/>
                <w:szCs w:val="21"/>
                <w:lang w:val="zh-CN"/>
              </w:rPr>
              <w:t>日</w:t>
            </w:r>
            <w:r>
              <w:rPr>
                <w:rFonts w:hint="eastAsia" w:asciiTheme="minorEastAsia" w:hAnsiTheme="minorEastAsia" w:eastAsiaTheme="minorEastAsia" w:cstheme="minorEastAsia"/>
                <w:bCs/>
                <w:color w:val="auto"/>
                <w:kern w:val="0"/>
                <w:szCs w:val="21"/>
                <w:lang w:val="en-US" w:eastAsia="zh-CN"/>
              </w:rPr>
              <w:t>9</w:t>
            </w:r>
            <w:r>
              <w:rPr>
                <w:rFonts w:hint="eastAsia" w:asciiTheme="minorEastAsia" w:hAnsiTheme="minorEastAsia" w:eastAsiaTheme="minorEastAsia" w:cstheme="minorEastAsia"/>
                <w:bCs/>
                <w:color w:val="auto"/>
                <w:kern w:val="0"/>
                <w:szCs w:val="21"/>
                <w:lang w:val="zh-CN"/>
              </w:rPr>
              <w:t>时</w:t>
            </w:r>
            <w:r>
              <w:rPr>
                <w:rFonts w:hint="eastAsia" w:asciiTheme="minorEastAsia" w:hAnsiTheme="minorEastAsia" w:eastAsiaTheme="minorEastAsia" w:cstheme="minorEastAsia"/>
                <w:bCs/>
                <w:color w:val="auto"/>
                <w:kern w:val="0"/>
                <w:szCs w:val="21"/>
                <w:lang w:val="en-US" w:eastAsia="zh-CN"/>
              </w:rPr>
              <w:t>00</w:t>
            </w:r>
            <w:r>
              <w:rPr>
                <w:rFonts w:hint="eastAsia" w:asciiTheme="minorEastAsia" w:hAnsiTheme="minorEastAsia" w:eastAsiaTheme="minorEastAsia" w:cstheme="minorEastAsia"/>
                <w:bCs/>
                <w:color w:val="auto"/>
                <w:kern w:val="0"/>
                <w:szCs w:val="21"/>
                <w:lang w:val="zh-CN"/>
              </w:rPr>
              <w:t>分前</w:t>
            </w:r>
            <w:r>
              <w:rPr>
                <w:rFonts w:hint="eastAsia" w:asciiTheme="minorEastAsia" w:hAnsiTheme="minorEastAsia" w:eastAsiaTheme="minorEastAsia" w:cstheme="minorEastAsia"/>
                <w:bCs/>
                <w:color w:val="auto"/>
                <w:kern w:val="0"/>
                <w:szCs w:val="21"/>
              </w:rPr>
              <w:t>（开标时间</w:t>
            </w:r>
            <w:r>
              <w:rPr>
                <w:rFonts w:hint="eastAsia" w:asciiTheme="minorEastAsia" w:hAnsiTheme="minorEastAsia" w:eastAsiaTheme="minorEastAsia" w:cstheme="minorEastAsia"/>
                <w:bCs/>
                <w:color w:val="auto"/>
                <w:szCs w:val="21"/>
              </w:rPr>
              <w:t>）不得开启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pPr>
              <w:pStyle w:val="5"/>
              <w:adjustRightInd w:val="0"/>
              <w:snapToGrid w:val="0"/>
              <w:spacing w:line="360" w:lineRule="auto"/>
              <w:ind w:left="9" w:firstLine="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13</w:t>
            </w:r>
          </w:p>
        </w:tc>
        <w:tc>
          <w:tcPr>
            <w:tcW w:w="2435" w:type="dxa"/>
            <w:vAlign w:val="center"/>
          </w:tcPr>
          <w:p>
            <w:pPr>
              <w:pStyle w:val="34"/>
              <w:snapToGrid w:val="0"/>
              <w:spacing w:line="360" w:lineRule="auto"/>
              <w:ind w:left="105" w:leftChars="5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参加开标供应商代表身份证明文件</w:t>
            </w:r>
          </w:p>
        </w:tc>
        <w:tc>
          <w:tcPr>
            <w:tcW w:w="5220" w:type="dxa"/>
            <w:vAlign w:val="center"/>
          </w:tcPr>
          <w:p>
            <w:pPr>
              <w:pStyle w:val="34"/>
              <w:snapToGrid w:val="0"/>
              <w:spacing w:line="360" w:lineRule="auto"/>
              <w:ind w:left="105" w:leftChars="5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5"/>
              <w:adjustRightInd w:val="0"/>
              <w:snapToGrid w:val="0"/>
              <w:spacing w:line="360" w:lineRule="auto"/>
              <w:ind w:left="9" w:firstLine="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14</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开标程序</w:t>
            </w:r>
          </w:p>
        </w:tc>
        <w:tc>
          <w:tcPr>
            <w:tcW w:w="5220" w:type="dxa"/>
            <w:vAlign w:val="center"/>
          </w:tcPr>
          <w:p>
            <w:pPr>
              <w:adjustRightInd w:val="0"/>
              <w:snapToGrid w:val="0"/>
              <w:spacing w:line="360" w:lineRule="auto"/>
              <w:ind w:left="105" w:leftChars="50"/>
              <w:outlineLvl w:val="1"/>
              <w:rPr>
                <w:color w:val="auto"/>
              </w:rPr>
            </w:pPr>
            <w:r>
              <w:rPr>
                <w:rFonts w:hint="eastAsia"/>
                <w:color w:val="auto"/>
              </w:rPr>
              <w:t>1、主持人宣布开标会议开始；</w:t>
            </w:r>
          </w:p>
          <w:p>
            <w:pPr>
              <w:adjustRightInd w:val="0"/>
              <w:snapToGrid w:val="0"/>
              <w:spacing w:line="360" w:lineRule="auto"/>
              <w:ind w:left="105" w:leftChars="50"/>
              <w:outlineLvl w:val="1"/>
              <w:rPr>
                <w:color w:val="auto"/>
              </w:rPr>
            </w:pPr>
            <w:r>
              <w:rPr>
                <w:rFonts w:hint="eastAsia"/>
                <w:color w:val="auto"/>
              </w:rPr>
              <w:t>2、介绍参加开标会议的人员；</w:t>
            </w:r>
          </w:p>
          <w:p>
            <w:pPr>
              <w:adjustRightInd w:val="0"/>
              <w:snapToGrid w:val="0"/>
              <w:spacing w:line="360" w:lineRule="auto"/>
              <w:ind w:left="105" w:leftChars="50"/>
              <w:outlineLvl w:val="1"/>
              <w:rPr>
                <w:color w:val="auto"/>
              </w:rPr>
            </w:pPr>
            <w:r>
              <w:rPr>
                <w:rFonts w:hint="eastAsia"/>
                <w:color w:val="auto"/>
              </w:rPr>
              <w:t>3、宣读开标纪律；</w:t>
            </w:r>
          </w:p>
          <w:p>
            <w:pPr>
              <w:adjustRightInd w:val="0"/>
              <w:snapToGrid w:val="0"/>
              <w:spacing w:line="360" w:lineRule="auto"/>
              <w:ind w:left="105" w:leftChars="50"/>
              <w:outlineLvl w:val="1"/>
              <w:rPr>
                <w:color w:val="auto"/>
              </w:rPr>
            </w:pPr>
            <w:r>
              <w:rPr>
                <w:rFonts w:hint="eastAsia"/>
                <w:color w:val="auto"/>
              </w:rPr>
              <w:t>4、查验各响应文件的密封性并予以确认；</w:t>
            </w:r>
          </w:p>
          <w:p>
            <w:pPr>
              <w:adjustRightInd w:val="0"/>
              <w:snapToGrid w:val="0"/>
              <w:spacing w:line="360" w:lineRule="auto"/>
              <w:ind w:left="105" w:leftChars="50"/>
              <w:outlineLvl w:val="1"/>
              <w:rPr>
                <w:color w:val="auto"/>
              </w:rPr>
            </w:pPr>
            <w:r>
              <w:rPr>
                <w:rFonts w:hint="eastAsia"/>
                <w:color w:val="auto"/>
              </w:rPr>
              <w:t>5、拆封响应文件；</w:t>
            </w:r>
          </w:p>
          <w:p>
            <w:pPr>
              <w:adjustRightInd w:val="0"/>
              <w:snapToGrid w:val="0"/>
              <w:spacing w:line="360" w:lineRule="auto"/>
              <w:ind w:left="105" w:leftChars="50"/>
              <w:outlineLvl w:val="1"/>
              <w:rPr>
                <w:color w:val="auto"/>
              </w:rPr>
            </w:pPr>
            <w:r>
              <w:rPr>
                <w:rFonts w:hint="eastAsia"/>
                <w:color w:val="auto"/>
              </w:rPr>
              <w:t>6、唱标，唱标内容为“开标一览表”所载明的内容；</w:t>
            </w:r>
          </w:p>
          <w:p>
            <w:pPr>
              <w:adjustRightInd w:val="0"/>
              <w:snapToGrid w:val="0"/>
              <w:spacing w:line="360" w:lineRule="auto"/>
              <w:ind w:left="105" w:leftChars="50"/>
              <w:outlineLvl w:val="1"/>
              <w:rPr>
                <w:color w:val="auto"/>
              </w:rPr>
            </w:pPr>
            <w:r>
              <w:rPr>
                <w:rFonts w:hint="eastAsia"/>
                <w:color w:val="auto"/>
              </w:rPr>
              <w:t>7、记录唱标结果及开标过程；</w:t>
            </w:r>
          </w:p>
          <w:p>
            <w:pPr>
              <w:adjustRightInd w:val="0"/>
              <w:snapToGrid w:val="0"/>
              <w:spacing w:line="360" w:lineRule="auto"/>
              <w:ind w:left="105" w:leftChars="50"/>
              <w:rPr>
                <w:color w:val="auto"/>
              </w:rPr>
            </w:pPr>
            <w:r>
              <w:rPr>
                <w:rFonts w:hint="eastAsia"/>
                <w:color w:val="auto"/>
              </w:rPr>
              <w:t>8、主持人宣布开标会议结束。</w:t>
            </w:r>
          </w:p>
          <w:p>
            <w:pPr>
              <w:pStyle w:val="9"/>
              <w:ind w:left="0" w:leftChars="0" w:firstLine="0" w:firstLineChars="0"/>
              <w:rPr>
                <w:rFonts w:eastAsiaTheme="minorEastAsia"/>
                <w:color w:val="auto"/>
              </w:rPr>
            </w:pPr>
            <w:r>
              <w:rPr>
                <w:rFonts w:hint="eastAsia" w:asciiTheme="minorEastAsia" w:hAnsiTheme="minorEastAsia" w:eastAsiaTheme="minorEastAsia" w:cstheme="minorEastAsia"/>
                <w:color w:val="auto"/>
              </w:rPr>
              <w:t>备注：本项目不要求供应商授权代表参与开标会议。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5"/>
              <w:adjustRightInd w:val="0"/>
              <w:snapToGrid w:val="0"/>
              <w:spacing w:line="360" w:lineRule="auto"/>
              <w:ind w:left="9" w:firstLine="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唱标内容</w:t>
            </w:r>
          </w:p>
        </w:tc>
        <w:tc>
          <w:tcPr>
            <w:tcW w:w="5220" w:type="dxa"/>
            <w:vAlign w:val="center"/>
          </w:tcPr>
          <w:p>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1、“开标一览表”所载明的内容</w:t>
            </w:r>
          </w:p>
          <w:p>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供应商对响应报价若有说明应在开标一览表显著处予以注明，只有开标时唱出的响应价格、价格折扣等内容才会被考虑。供应商若有响应报价、价格折扣等未被唱出的，应在唱标时及时提出。否则，采购人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pPr>
              <w:pStyle w:val="5"/>
              <w:adjustRightInd w:val="0"/>
              <w:snapToGrid w:val="0"/>
              <w:spacing w:line="360" w:lineRule="auto"/>
              <w:ind w:left="9" w:firstLine="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16</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资格审查</w:t>
            </w:r>
          </w:p>
        </w:tc>
        <w:tc>
          <w:tcPr>
            <w:tcW w:w="5220" w:type="dxa"/>
            <w:vAlign w:val="center"/>
          </w:tcPr>
          <w:p>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开标结束后，先对供应商的资格进行审查。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pPr>
              <w:pStyle w:val="5"/>
              <w:adjustRightInd w:val="0"/>
              <w:snapToGrid w:val="0"/>
              <w:spacing w:line="360" w:lineRule="auto"/>
              <w:ind w:left="9" w:firstLine="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17</w:t>
            </w:r>
          </w:p>
        </w:tc>
        <w:tc>
          <w:tcPr>
            <w:tcW w:w="2435" w:type="dxa"/>
            <w:vAlign w:val="center"/>
          </w:tcPr>
          <w:p>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修正内容</w:t>
            </w:r>
          </w:p>
        </w:tc>
        <w:tc>
          <w:tcPr>
            <w:tcW w:w="5220" w:type="dxa"/>
            <w:vAlign w:val="center"/>
          </w:tcPr>
          <w:p>
            <w:pPr>
              <w:adjustRightInd w:val="0"/>
              <w:snapToGrid w:val="0"/>
              <w:spacing w:line="360" w:lineRule="auto"/>
              <w:ind w:left="105" w:leftChars="5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响应文件中开标一览表（报价表）内容与响应文件中相应内容不一致的，以开标一览表（报价表）为准,但价格评审时则以最不利于评审结果的标准取值。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pPr>
              <w:pStyle w:val="5"/>
              <w:adjustRightInd w:val="0"/>
              <w:snapToGrid w:val="0"/>
              <w:spacing w:line="360" w:lineRule="auto"/>
              <w:ind w:left="9" w:firstLine="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w:t>
            </w:r>
          </w:p>
        </w:tc>
        <w:tc>
          <w:tcPr>
            <w:tcW w:w="2435" w:type="dxa"/>
            <w:vAlign w:val="center"/>
          </w:tcPr>
          <w:p>
            <w:pPr>
              <w:pStyle w:val="34"/>
              <w:snapToGrid w:val="0"/>
              <w:spacing w:line="360" w:lineRule="auto"/>
              <w:ind w:left="105" w:leftChars="50"/>
              <w:jc w:val="both"/>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评审方法</w:t>
            </w:r>
          </w:p>
        </w:tc>
        <w:tc>
          <w:tcPr>
            <w:tcW w:w="5220" w:type="dxa"/>
            <w:vAlign w:val="center"/>
          </w:tcPr>
          <w:p>
            <w:pPr>
              <w:pStyle w:val="34"/>
              <w:snapToGrid w:val="0"/>
              <w:spacing w:line="360" w:lineRule="auto"/>
              <w:ind w:left="105" w:leftChars="5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综合评分法</w:t>
            </w:r>
          </w:p>
        </w:tc>
      </w:tr>
    </w:tbl>
    <w:p>
      <w:pPr>
        <w:adjustRightInd w:val="0"/>
        <w:snapToGrid w:val="0"/>
        <w:spacing w:line="360" w:lineRule="auto"/>
        <w:ind w:firstLine="420" w:firstLineChars="200"/>
        <w:outlineLvl w:val="1"/>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一、总则</w:t>
      </w:r>
      <w:bookmarkEnd w:id="32"/>
    </w:p>
    <w:p>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bookmarkStart w:id="33" w:name="_Toc246826115"/>
      <w:r>
        <w:rPr>
          <w:rFonts w:hint="eastAsia" w:asciiTheme="minorEastAsia" w:hAnsiTheme="minorEastAsia" w:eastAsiaTheme="minorEastAsia" w:cstheme="minorEastAsia"/>
          <w:bCs/>
          <w:color w:val="auto"/>
          <w:kern w:val="0"/>
          <w:szCs w:val="21"/>
        </w:rPr>
        <w:t>1、适用范围</w:t>
      </w:r>
    </w:p>
    <w:p>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本采购比选文件仅适用于本次比选公告中所述项目的采购。</w:t>
      </w:r>
    </w:p>
    <w:p>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2、定义</w:t>
      </w:r>
    </w:p>
    <w:p>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本采购比选文件中的下列术语应解释为：</w:t>
      </w:r>
    </w:p>
    <w:p>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2.1“采购人”系指本项目的采购人，是依法开展政府采购活动的国家机关、事业单位和团体组织。在履行合同阶段称为甲方或买方。</w:t>
      </w:r>
    </w:p>
    <w:p>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2.2“供应商”系指向采购人提供货物、工程或者服务的法人、其他组织或者自然人。法人的分支机构不得参加政府采购活动，但银行、保险、石油石化、电力、电信等特殊行业除外</w:t>
      </w:r>
      <w:r>
        <w:rPr>
          <w:rFonts w:hint="eastAsia" w:asciiTheme="minorEastAsia" w:hAnsiTheme="minorEastAsia" w:eastAsiaTheme="minorEastAsia" w:cstheme="minorEastAsia"/>
          <w:bCs/>
          <w:color w:val="auto"/>
          <w:szCs w:val="21"/>
          <w:lang w:val="zh-CN"/>
        </w:rPr>
        <w:t>。</w:t>
      </w:r>
      <w:r>
        <w:rPr>
          <w:rFonts w:hint="eastAsia" w:asciiTheme="minorEastAsia" w:hAnsiTheme="minorEastAsia" w:eastAsiaTheme="minorEastAsia" w:cstheme="minorEastAsia"/>
          <w:bCs/>
          <w:color w:val="auto"/>
          <w:kern w:val="0"/>
          <w:szCs w:val="21"/>
        </w:rPr>
        <w:t>在响应阶段称为供应商、供应商，在签订和履行合同阶段称为乙方、卖方或成交供应商。</w:t>
      </w:r>
      <w:bookmarkStart w:id="34" w:name="_Toc267320062"/>
    </w:p>
    <w:p>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3、</w:t>
      </w:r>
      <w:bookmarkEnd w:id="34"/>
      <w:r>
        <w:rPr>
          <w:rFonts w:hint="eastAsia" w:asciiTheme="minorEastAsia" w:hAnsiTheme="minorEastAsia" w:eastAsiaTheme="minorEastAsia" w:cstheme="minorEastAsia"/>
          <w:bCs/>
          <w:color w:val="auto"/>
          <w:kern w:val="0"/>
          <w:szCs w:val="21"/>
        </w:rPr>
        <w:t>供应商</w:t>
      </w:r>
    </w:p>
    <w:p>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3.1合格供应商条件</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Cs w:val="21"/>
          <w:lang w:val="zh-CN"/>
        </w:rPr>
        <w:t>或者</w:t>
      </w:r>
      <w:r>
        <w:rPr>
          <w:rFonts w:hint="eastAsia" w:asciiTheme="minorEastAsia" w:hAnsiTheme="minorEastAsia" w:eastAsiaTheme="minorEastAsia" w:cstheme="minorEastAsia"/>
          <w:bCs/>
          <w:color w:val="auto"/>
          <w:szCs w:val="21"/>
        </w:rPr>
        <w:t>自然人；</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3.1.2符合《政府采购法》第二十二条规定的条件：</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kern w:val="0"/>
          <w:szCs w:val="21"/>
        </w:rPr>
        <w:t>3.1.2.1具有独立承担民事责任的能力；</w:t>
      </w:r>
      <w:r>
        <w:rPr>
          <w:rFonts w:hint="eastAsia" w:asciiTheme="minorEastAsia" w:hAnsiTheme="minorEastAsia" w:eastAsiaTheme="minorEastAsia" w:cstheme="minorEastAsia"/>
          <w:bCs/>
          <w:color w:val="auto"/>
          <w:kern w:val="0"/>
          <w:szCs w:val="21"/>
        </w:rPr>
        <w:br w:type="textWrapping"/>
      </w:r>
      <w:r>
        <w:rPr>
          <w:rFonts w:hint="eastAsia" w:asciiTheme="minorEastAsia" w:hAnsiTheme="minorEastAsia" w:eastAsiaTheme="minorEastAsia" w:cstheme="minorEastAsia"/>
          <w:bCs/>
          <w:color w:val="auto"/>
          <w:kern w:val="0"/>
          <w:szCs w:val="21"/>
        </w:rPr>
        <w:tab/>
      </w:r>
      <w:r>
        <w:rPr>
          <w:rFonts w:hint="eastAsia" w:asciiTheme="minorEastAsia" w:hAnsiTheme="minorEastAsia" w:eastAsiaTheme="minorEastAsia" w:cstheme="minorEastAsia"/>
          <w:bCs/>
          <w:color w:val="auto"/>
          <w:kern w:val="0"/>
          <w:szCs w:val="21"/>
        </w:rPr>
        <w:t>3.1.2.</w:t>
      </w:r>
      <w:r>
        <w:rPr>
          <w:rFonts w:hint="eastAsia" w:asciiTheme="minorEastAsia" w:hAnsiTheme="minorEastAsia" w:eastAsiaTheme="minorEastAsia" w:cstheme="minorEastAsia"/>
          <w:bCs/>
          <w:color w:val="auto"/>
          <w:kern w:val="0"/>
          <w:szCs w:val="21"/>
          <w:lang w:val="en-US" w:eastAsia="zh-CN"/>
        </w:rPr>
        <w:t>2</w:t>
      </w:r>
      <w:r>
        <w:rPr>
          <w:rFonts w:hint="eastAsia" w:asciiTheme="minorEastAsia" w:hAnsiTheme="minorEastAsia" w:eastAsiaTheme="minorEastAsia" w:cstheme="minorEastAsia"/>
          <w:bCs/>
          <w:color w:val="auto"/>
          <w:kern w:val="0"/>
          <w:szCs w:val="21"/>
        </w:rPr>
        <w:t>具有良好的商业信誉和健全的财务会计制度；</w:t>
      </w:r>
      <w:r>
        <w:rPr>
          <w:rFonts w:hint="eastAsia" w:asciiTheme="minorEastAsia" w:hAnsiTheme="minorEastAsia" w:eastAsiaTheme="minorEastAsia" w:cstheme="minorEastAsia"/>
          <w:bCs/>
          <w:color w:val="auto"/>
          <w:kern w:val="0"/>
          <w:szCs w:val="21"/>
        </w:rPr>
        <w:br w:type="textWrapping"/>
      </w:r>
      <w:r>
        <w:rPr>
          <w:rFonts w:hint="eastAsia" w:asciiTheme="minorEastAsia" w:hAnsiTheme="minorEastAsia" w:eastAsiaTheme="minorEastAsia" w:cstheme="minorEastAsia"/>
          <w:bCs/>
          <w:color w:val="auto"/>
          <w:kern w:val="0"/>
          <w:szCs w:val="21"/>
        </w:rPr>
        <w:tab/>
      </w:r>
      <w:r>
        <w:rPr>
          <w:rFonts w:hint="eastAsia" w:asciiTheme="minorEastAsia" w:hAnsiTheme="minorEastAsia" w:eastAsiaTheme="minorEastAsia" w:cstheme="minorEastAsia"/>
          <w:bCs/>
          <w:color w:val="auto"/>
          <w:kern w:val="0"/>
          <w:szCs w:val="21"/>
        </w:rPr>
        <w:t>3.1.2.</w:t>
      </w:r>
      <w:r>
        <w:rPr>
          <w:rFonts w:hint="eastAsia" w:asciiTheme="minorEastAsia" w:hAnsiTheme="minorEastAsia" w:eastAsiaTheme="minorEastAsia" w:cstheme="minorEastAsia"/>
          <w:bCs/>
          <w:color w:val="auto"/>
          <w:kern w:val="0"/>
          <w:szCs w:val="21"/>
          <w:lang w:val="en-US" w:eastAsia="zh-CN"/>
        </w:rPr>
        <w:t>3</w:t>
      </w:r>
      <w:r>
        <w:rPr>
          <w:rFonts w:hint="eastAsia" w:asciiTheme="minorEastAsia" w:hAnsiTheme="minorEastAsia" w:eastAsiaTheme="minorEastAsia" w:cstheme="minorEastAsia"/>
          <w:bCs/>
          <w:color w:val="auto"/>
          <w:kern w:val="0"/>
          <w:szCs w:val="21"/>
        </w:rPr>
        <w:t>具有履行合同所必需的设备和专业技术能力；</w:t>
      </w:r>
      <w:r>
        <w:rPr>
          <w:rFonts w:hint="eastAsia" w:asciiTheme="minorEastAsia" w:hAnsiTheme="minorEastAsia" w:eastAsiaTheme="minorEastAsia" w:cstheme="minorEastAsia"/>
          <w:bCs/>
          <w:color w:val="auto"/>
          <w:kern w:val="0"/>
          <w:szCs w:val="21"/>
        </w:rPr>
        <w:br w:type="textWrapping"/>
      </w:r>
      <w:r>
        <w:rPr>
          <w:rFonts w:hint="eastAsia" w:asciiTheme="minorEastAsia" w:hAnsiTheme="minorEastAsia" w:eastAsiaTheme="minorEastAsia" w:cstheme="minorEastAsia"/>
          <w:bCs/>
          <w:color w:val="auto"/>
          <w:kern w:val="0"/>
          <w:szCs w:val="21"/>
        </w:rPr>
        <w:tab/>
      </w:r>
      <w:r>
        <w:rPr>
          <w:rFonts w:hint="eastAsia" w:asciiTheme="minorEastAsia" w:hAnsiTheme="minorEastAsia" w:eastAsiaTheme="minorEastAsia" w:cstheme="minorEastAsia"/>
          <w:bCs/>
          <w:color w:val="auto"/>
          <w:kern w:val="0"/>
          <w:szCs w:val="21"/>
        </w:rPr>
        <w:t>3.1.2.</w:t>
      </w:r>
      <w:r>
        <w:rPr>
          <w:rFonts w:hint="eastAsia" w:asciiTheme="minorEastAsia" w:hAnsiTheme="minorEastAsia" w:eastAsiaTheme="minorEastAsia" w:cstheme="minorEastAsia"/>
          <w:bCs/>
          <w:color w:val="auto"/>
          <w:kern w:val="0"/>
          <w:szCs w:val="21"/>
          <w:lang w:val="en-US" w:eastAsia="zh-CN"/>
        </w:rPr>
        <w:t>4</w:t>
      </w:r>
      <w:r>
        <w:rPr>
          <w:rFonts w:hint="eastAsia" w:asciiTheme="minorEastAsia" w:hAnsiTheme="minorEastAsia" w:eastAsiaTheme="minorEastAsia" w:cstheme="minorEastAsia"/>
          <w:bCs/>
          <w:color w:val="auto"/>
          <w:kern w:val="0"/>
          <w:szCs w:val="21"/>
        </w:rPr>
        <w:t>有依法缴纳税收和社会保障资金的良好记录；</w:t>
      </w:r>
      <w:r>
        <w:rPr>
          <w:rFonts w:hint="eastAsia" w:asciiTheme="minorEastAsia" w:hAnsiTheme="minorEastAsia" w:eastAsiaTheme="minorEastAsia" w:cstheme="minorEastAsia"/>
          <w:bCs/>
          <w:color w:val="auto"/>
          <w:kern w:val="0"/>
          <w:szCs w:val="21"/>
        </w:rPr>
        <w:br w:type="textWrapping"/>
      </w:r>
      <w:r>
        <w:rPr>
          <w:rFonts w:hint="eastAsia" w:asciiTheme="minorEastAsia" w:hAnsiTheme="minorEastAsia" w:eastAsiaTheme="minorEastAsia" w:cstheme="minorEastAsia"/>
          <w:bCs/>
          <w:color w:val="auto"/>
          <w:kern w:val="0"/>
          <w:szCs w:val="21"/>
        </w:rPr>
        <w:tab/>
      </w:r>
      <w:r>
        <w:rPr>
          <w:rFonts w:hint="eastAsia" w:asciiTheme="minorEastAsia" w:hAnsiTheme="minorEastAsia" w:eastAsiaTheme="minorEastAsia" w:cstheme="minorEastAsia"/>
          <w:bCs/>
          <w:color w:val="auto"/>
          <w:kern w:val="0"/>
          <w:szCs w:val="21"/>
        </w:rPr>
        <w:t>3.1.2.</w:t>
      </w:r>
      <w:r>
        <w:rPr>
          <w:rFonts w:hint="eastAsia" w:asciiTheme="minorEastAsia" w:hAnsiTheme="minorEastAsia" w:eastAsiaTheme="minorEastAsia" w:cstheme="minorEastAsia"/>
          <w:bCs/>
          <w:color w:val="auto"/>
          <w:kern w:val="0"/>
          <w:szCs w:val="21"/>
          <w:lang w:val="en-US" w:eastAsia="zh-CN"/>
        </w:rPr>
        <w:t>5</w:t>
      </w:r>
      <w:r>
        <w:rPr>
          <w:rFonts w:hint="eastAsia" w:asciiTheme="minorEastAsia" w:hAnsiTheme="minorEastAsia" w:eastAsiaTheme="minorEastAsia" w:cstheme="minorEastAsia"/>
          <w:bCs/>
          <w:color w:val="auto"/>
          <w:kern w:val="0"/>
          <w:szCs w:val="21"/>
        </w:rPr>
        <w:t>参加政府采购活动前三年内，在经营活动中没有重大违法记录；</w:t>
      </w:r>
      <w:r>
        <w:rPr>
          <w:rFonts w:hint="eastAsia" w:asciiTheme="minorEastAsia" w:hAnsiTheme="minorEastAsia" w:eastAsiaTheme="minorEastAsia" w:cstheme="minorEastAsia"/>
          <w:bCs/>
          <w:color w:val="auto"/>
          <w:kern w:val="0"/>
          <w:szCs w:val="21"/>
        </w:rPr>
        <w:br w:type="textWrapping"/>
      </w:r>
      <w:r>
        <w:rPr>
          <w:rFonts w:hint="eastAsia" w:asciiTheme="minorEastAsia" w:hAnsiTheme="minorEastAsia" w:eastAsiaTheme="minorEastAsia" w:cstheme="minorEastAsia"/>
          <w:bCs/>
          <w:color w:val="auto"/>
          <w:kern w:val="0"/>
          <w:szCs w:val="21"/>
        </w:rPr>
        <w:tab/>
      </w:r>
      <w:r>
        <w:rPr>
          <w:rFonts w:hint="eastAsia" w:asciiTheme="minorEastAsia" w:hAnsiTheme="minorEastAsia" w:eastAsiaTheme="minorEastAsia" w:cstheme="minorEastAsia"/>
          <w:bCs/>
          <w:color w:val="auto"/>
          <w:kern w:val="0"/>
          <w:szCs w:val="21"/>
        </w:rPr>
        <w:t>3.1.2.</w:t>
      </w:r>
      <w:r>
        <w:rPr>
          <w:rFonts w:hint="eastAsia" w:asciiTheme="minorEastAsia" w:hAnsiTheme="minorEastAsia" w:eastAsiaTheme="minorEastAsia" w:cstheme="minorEastAsia"/>
          <w:bCs/>
          <w:color w:val="auto"/>
          <w:kern w:val="0"/>
          <w:szCs w:val="21"/>
          <w:lang w:val="en-US" w:eastAsia="zh-CN"/>
        </w:rPr>
        <w:t>6</w:t>
      </w:r>
      <w:r>
        <w:rPr>
          <w:rFonts w:hint="eastAsia" w:asciiTheme="minorEastAsia" w:hAnsiTheme="minorEastAsia" w:eastAsiaTheme="minorEastAsia" w:cstheme="minorEastAsia"/>
          <w:bCs/>
          <w:color w:val="auto"/>
          <w:kern w:val="0"/>
          <w:szCs w:val="21"/>
        </w:rPr>
        <w:t>法律、行政法规规定的其他条件。</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3.1.3满足采购比选文件报价、商务和技术等实质性要求的；</w:t>
      </w:r>
    </w:p>
    <w:p>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3.2供应商的风险</w:t>
      </w:r>
    </w:p>
    <w:p>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3.2.1供应商没有按照采购比选文件的要求编制、签署、密封、标记、递交及修正响应文件的，或者响应文件没有对采购比选文件在各方面都做出实质性响应的，将导致响应无效。</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3.2.2供应商提交的响应文件内容有下列情形之一的，一经发现，视为无效响应，并依法上报政府采购监督管理部门处理</w:t>
      </w:r>
      <w:r>
        <w:rPr>
          <w:rFonts w:hint="eastAsia" w:asciiTheme="minorEastAsia" w:hAnsiTheme="minorEastAsia" w:eastAsiaTheme="minorEastAsia" w:cstheme="minorEastAsia"/>
          <w:bCs/>
          <w:color w:val="auto"/>
          <w:kern w:val="0"/>
          <w:szCs w:val="21"/>
        </w:rPr>
        <w:t>：</w:t>
      </w:r>
    </w:p>
    <w:p>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（1）提供虚假的资料；</w:t>
      </w:r>
    </w:p>
    <w:p>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（2）在实质性方面失实；</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kern w:val="0"/>
          <w:szCs w:val="21"/>
        </w:rPr>
        <w:t>3.2.3</w:t>
      </w:r>
      <w:r>
        <w:rPr>
          <w:rFonts w:hint="eastAsia" w:asciiTheme="minorEastAsia" w:hAnsiTheme="minorEastAsia" w:eastAsiaTheme="minorEastAsia" w:cstheme="minorEastAsia"/>
          <w:bCs/>
          <w:color w:val="auto"/>
          <w:szCs w:val="21"/>
        </w:rPr>
        <w:t>供应商享受政策优惠条件但提供的证明（说明）文件或</w:t>
      </w:r>
      <w:r>
        <w:rPr>
          <w:rFonts w:hint="eastAsia"/>
          <w:color w:val="auto"/>
          <w:szCs w:val="21"/>
        </w:rPr>
        <w:t>承诺文件失实的，</w:t>
      </w:r>
      <w:r>
        <w:rPr>
          <w:rFonts w:hint="eastAsia" w:asciiTheme="minorEastAsia" w:hAnsiTheme="minorEastAsia" w:eastAsiaTheme="minorEastAsia" w:cstheme="minorEastAsia"/>
          <w:bCs/>
          <w:color w:val="auto"/>
          <w:szCs w:val="21"/>
        </w:rPr>
        <w:t>视同响应文件提供虚假资料论处。</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4、参与采购活动费用</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4.1无论参与本项目采购活动过程中的做法和结果如何，供应商自行承担所有与参加采购活动有关的全部费用；</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、注意事项</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.1如果没有特别声明或要求，供应商被视为充分熟悉本采购项目所在地与履行合同有关的各种情况，包括自然环境、气候条件、劳动力及公用设施等，本采购比选文件不再对上述情况进行描述。</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35" w:name="_Toc246826107"/>
      <w:r>
        <w:rPr>
          <w:rFonts w:hint="eastAsia" w:asciiTheme="minorEastAsia" w:hAnsiTheme="minorEastAsia" w:eastAsiaTheme="minorEastAsia" w:cstheme="minorEastAsia"/>
          <w:bCs/>
          <w:color w:val="auto"/>
          <w:szCs w:val="21"/>
        </w:rPr>
        <w:t>二、采购比选文件</w:t>
      </w:r>
      <w:bookmarkEnd w:id="35"/>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6</w:t>
      </w:r>
      <w:r>
        <w:rPr>
          <w:rFonts w:hint="eastAsia" w:asciiTheme="minorEastAsia" w:hAnsiTheme="minorEastAsia" w:eastAsiaTheme="minorEastAsia" w:cstheme="minorEastAsia"/>
          <w:bCs/>
          <w:color w:val="auto"/>
          <w:szCs w:val="21"/>
        </w:rPr>
        <w:t>、采购比选文件的组成</w:t>
      </w:r>
    </w:p>
    <w:p>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采购比选文件用以阐明供应商准备响应文件所必须的信息，以及开标、评审和签订合同等有关规定。采购比选文件以电子版形式下载，采购比选文件由下述章节组成：</w:t>
      </w:r>
    </w:p>
    <w:p>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（1）比选公告</w:t>
      </w:r>
    </w:p>
    <w:p>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（2）采购需求</w:t>
      </w:r>
    </w:p>
    <w:p>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（3）供应商须知</w:t>
      </w:r>
    </w:p>
    <w:p>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（4）评审标准</w:t>
      </w:r>
    </w:p>
    <w:p>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（5）采购合同格式</w:t>
      </w:r>
    </w:p>
    <w:p>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（6）响应文件格式及附件</w:t>
      </w:r>
    </w:p>
    <w:p>
      <w:pPr>
        <w:tabs>
          <w:tab w:val="left" w:pos="720"/>
        </w:tabs>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36" w:name="_Toc183582211"/>
      <w:bookmarkStart w:id="37" w:name="_Toc183682348"/>
      <w:bookmarkStart w:id="38" w:name="_Toc217446040"/>
      <w:r>
        <w:rPr>
          <w:rFonts w:hint="eastAsia" w:asciiTheme="minorEastAsia" w:hAnsiTheme="minorEastAsia" w:eastAsiaTheme="minorEastAsia" w:cstheme="minorEastAsia"/>
          <w:bCs/>
          <w:color w:val="auto"/>
          <w:szCs w:val="21"/>
          <w:lang w:val="en-US" w:eastAsia="zh-CN"/>
        </w:rPr>
        <w:t>7</w:t>
      </w:r>
      <w:r>
        <w:rPr>
          <w:rFonts w:hint="eastAsia" w:asciiTheme="minorEastAsia" w:hAnsiTheme="minorEastAsia" w:eastAsiaTheme="minorEastAsia" w:cstheme="minorEastAsia"/>
          <w:bCs/>
          <w:color w:val="auto"/>
          <w:szCs w:val="21"/>
        </w:rPr>
        <w:t>、采购比选文件的澄清</w:t>
      </w:r>
      <w:bookmarkEnd w:id="36"/>
      <w:bookmarkEnd w:id="37"/>
      <w:r>
        <w:rPr>
          <w:rFonts w:hint="eastAsia" w:asciiTheme="minorEastAsia" w:hAnsiTheme="minorEastAsia" w:eastAsiaTheme="minorEastAsia" w:cstheme="minorEastAsia"/>
          <w:bCs/>
          <w:color w:val="auto"/>
          <w:szCs w:val="21"/>
        </w:rPr>
        <w:t>和修改</w:t>
      </w:r>
      <w:bookmarkEnd w:id="38"/>
    </w:p>
    <w:p>
      <w:pPr>
        <w:tabs>
          <w:tab w:val="left" w:pos="720"/>
        </w:tabs>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7</w:t>
      </w:r>
      <w:r>
        <w:rPr>
          <w:rFonts w:hint="eastAsia" w:asciiTheme="minorEastAsia" w:hAnsiTheme="minorEastAsia" w:eastAsiaTheme="minorEastAsia" w:cstheme="minorEastAsia"/>
          <w:bCs/>
          <w:color w:val="auto"/>
          <w:szCs w:val="21"/>
        </w:rPr>
        <w:t>.1 在响应文件递交截止时间前，采购人无论出于何种原因，可以对采购比选文件进行澄清或者修改。</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7</w:t>
      </w:r>
      <w:r>
        <w:rPr>
          <w:rFonts w:hint="eastAsia" w:asciiTheme="minorEastAsia" w:hAnsiTheme="minorEastAsia" w:eastAsiaTheme="minorEastAsia" w:cstheme="minorEastAsia"/>
          <w:bCs/>
          <w:color w:val="auto"/>
          <w:szCs w:val="21"/>
        </w:rPr>
        <w:t>.2</w:t>
      </w:r>
      <w:bookmarkStart w:id="39" w:name="_Toc415567498"/>
      <w:bookmarkStart w:id="40" w:name="_Toc430488645"/>
      <w:bookmarkStart w:id="41" w:name="_Toc430422414"/>
      <w:bookmarkStart w:id="42" w:name="_Toc430488852"/>
      <w:bookmarkStart w:id="43" w:name="_Toc430492127"/>
      <w:bookmarkStart w:id="44" w:name="_Toc430489120"/>
      <w:bookmarkStart w:id="45" w:name="_Toc430490613"/>
      <w:r>
        <w:rPr>
          <w:rFonts w:hint="eastAsia" w:asciiTheme="minorEastAsia" w:hAnsiTheme="minorEastAsia" w:eastAsiaTheme="minorEastAsia" w:cstheme="minorEastAsia"/>
          <w:bCs/>
          <w:color w:val="auto"/>
          <w:szCs w:val="21"/>
        </w:rPr>
        <w:t xml:space="preserve"> 采购比选文件的修改</w:t>
      </w:r>
      <w:bookmarkEnd w:id="39"/>
      <w:bookmarkEnd w:id="40"/>
      <w:bookmarkEnd w:id="41"/>
      <w:bookmarkEnd w:id="42"/>
      <w:bookmarkEnd w:id="43"/>
      <w:bookmarkEnd w:id="44"/>
      <w:bookmarkEnd w:id="45"/>
    </w:p>
    <w:p>
      <w:pPr>
        <w:pStyle w:val="10"/>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46" w:name="_Toc246826109"/>
      <w:bookmarkStart w:id="47" w:name="_Toc246825804"/>
      <w:bookmarkStart w:id="48" w:name="_Toc245888275"/>
      <w:bookmarkStart w:id="49" w:name="_Toc245887536"/>
      <w:r>
        <w:rPr>
          <w:rFonts w:hint="eastAsia" w:asciiTheme="minorEastAsia" w:hAnsiTheme="minorEastAsia" w:eastAsiaTheme="minorEastAsia" w:cstheme="minorEastAsia"/>
          <w:bCs/>
          <w:color w:val="auto"/>
          <w:szCs w:val="21"/>
        </w:rPr>
        <w:t>（1）在响应文件递交截止时间以前，采购人可主动或依供应商要求澄清或质疑的问题对采购比选文件进行必要的补遗、澄清或修改；</w:t>
      </w:r>
      <w:bookmarkEnd w:id="46"/>
      <w:bookmarkEnd w:id="47"/>
      <w:bookmarkEnd w:id="48"/>
      <w:bookmarkEnd w:id="49"/>
      <w:bookmarkStart w:id="50" w:name="_Toc208848971"/>
      <w:bookmarkStart w:id="51" w:name="_Toc217446041"/>
    </w:p>
    <w:p>
      <w:pPr>
        <w:pStyle w:val="10"/>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（2）补遗、澄清或修改内容可能影响响应文件编制的，采购人适当延长响应文件递交截止时间（以公告为准），在此情况下，采购当事人受响应文件递交截止期制约的所有权利和义务均应延长至新的截止日期；</w:t>
      </w:r>
    </w:p>
    <w:p>
      <w:pPr>
        <w:pStyle w:val="10"/>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（3）补遗、澄清或修改后的内容是采购比选文件的组成部分，并对潜在供应商具有约束力。有关</w:t>
      </w:r>
      <w:r>
        <w:rPr>
          <w:rFonts w:hint="eastAsia" w:asciiTheme="minorEastAsia" w:hAnsiTheme="minorEastAsia" w:eastAsiaTheme="minorEastAsia" w:cstheme="minorEastAsia"/>
          <w:bCs/>
          <w:color w:val="auto"/>
          <w:spacing w:val="-8"/>
          <w:szCs w:val="21"/>
        </w:rPr>
        <w:t>本项目采购比选文件的补遗、澄清及变更信息以第一章指定网站公告及下载内容为准，</w:t>
      </w:r>
      <w:r>
        <w:rPr>
          <w:rFonts w:hint="eastAsia" w:asciiTheme="minorEastAsia" w:hAnsiTheme="minorEastAsia" w:eastAsiaTheme="minorEastAsia" w:cstheme="minorEastAsia"/>
          <w:bCs/>
          <w:color w:val="auto"/>
          <w:szCs w:val="21"/>
        </w:rPr>
        <w:t>采购人不再另行通知，潜在供应商须及时关注关于本项目采购信息的更新事项，否则自行承担由此产生的风险。采购比选文件与更正公告的内容相互矛盾时，以最后发出的更正公告为准。</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8</w:t>
      </w:r>
      <w:r>
        <w:rPr>
          <w:rFonts w:hint="eastAsia" w:asciiTheme="minorEastAsia" w:hAnsiTheme="minorEastAsia" w:eastAsiaTheme="minorEastAsia" w:cstheme="minorEastAsia"/>
          <w:bCs/>
          <w:color w:val="auto"/>
          <w:szCs w:val="21"/>
        </w:rPr>
        <w:t>、其他</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8</w:t>
      </w:r>
      <w:r>
        <w:rPr>
          <w:rFonts w:hint="eastAsia" w:asciiTheme="minorEastAsia" w:hAnsiTheme="minorEastAsia" w:eastAsiaTheme="minorEastAsia" w:cstheme="minorEastAsia"/>
          <w:bCs/>
          <w:color w:val="auto"/>
          <w:szCs w:val="21"/>
        </w:rPr>
        <w:t>.1标前答疑会和</w:t>
      </w:r>
      <w:bookmarkEnd w:id="50"/>
      <w:bookmarkEnd w:id="51"/>
      <w:r>
        <w:rPr>
          <w:rFonts w:hint="eastAsia" w:asciiTheme="minorEastAsia" w:hAnsiTheme="minorEastAsia" w:eastAsiaTheme="minorEastAsia" w:cstheme="minorEastAsia"/>
          <w:bCs/>
          <w:color w:val="auto"/>
          <w:szCs w:val="21"/>
        </w:rPr>
        <w:t>现场考察</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8</w:t>
      </w:r>
      <w:r>
        <w:rPr>
          <w:rFonts w:hint="eastAsia" w:asciiTheme="minorEastAsia" w:hAnsiTheme="minorEastAsia" w:eastAsiaTheme="minorEastAsia" w:cstheme="minorEastAsia"/>
          <w:bCs/>
          <w:color w:val="auto"/>
          <w:szCs w:val="21"/>
        </w:rPr>
        <w:t>.1.1供应商须知前附表规定组织答疑会或/和现场考察的，采购人按供应商须知前附表规定的时间、地点组织答疑会或/和供应商考察项目现场，供应商如不参加的，其风险由供应商自行承担，采购人不承担任何责任。采购人不组织现场考察的，供应商可以自行决定是否考察现场。</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8</w:t>
      </w:r>
      <w:r>
        <w:rPr>
          <w:rFonts w:hint="eastAsia" w:asciiTheme="minorEastAsia" w:hAnsiTheme="minorEastAsia" w:eastAsiaTheme="minorEastAsia" w:cstheme="minorEastAsia"/>
          <w:bCs/>
          <w:color w:val="auto"/>
          <w:szCs w:val="21"/>
        </w:rPr>
        <w:t>.1.2答疑会上，采购人将解答供应商的疑问。会上所有的解答与说明仅供供应商编制响应文件时参考，采购人不对供应商据此作出的判断和决策负责。</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8</w:t>
      </w:r>
      <w:r>
        <w:rPr>
          <w:rFonts w:hint="eastAsia" w:asciiTheme="minorEastAsia" w:hAnsiTheme="minorEastAsia" w:eastAsiaTheme="minorEastAsia" w:cstheme="minorEastAsia"/>
          <w:bCs/>
          <w:color w:val="auto"/>
          <w:szCs w:val="21"/>
        </w:rPr>
        <w:t>.1.3采购人在考察现场中口头介绍的情况（如有），供供应商在编制响应文件时参考，采购人不对供应商据此作出的判断和决策负责。</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8</w:t>
      </w:r>
      <w:r>
        <w:rPr>
          <w:rFonts w:hint="eastAsia" w:asciiTheme="minorEastAsia" w:hAnsiTheme="minorEastAsia" w:eastAsiaTheme="minorEastAsia" w:cstheme="minorEastAsia"/>
          <w:bCs/>
          <w:color w:val="auto"/>
          <w:szCs w:val="21"/>
        </w:rPr>
        <w:t>.1.4采购人不单独或者分别组织只有1个供应商参加的现场考察及标前答疑会。</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8</w:t>
      </w:r>
      <w:r>
        <w:rPr>
          <w:rFonts w:hint="eastAsia" w:asciiTheme="minorEastAsia" w:hAnsiTheme="minorEastAsia" w:eastAsiaTheme="minorEastAsia" w:cstheme="minorEastAsia"/>
          <w:bCs/>
          <w:color w:val="auto"/>
          <w:szCs w:val="21"/>
        </w:rPr>
        <w:t>.1.5供应商自行承担参加答疑或现场考察所发生的一切费用。</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8</w:t>
      </w:r>
      <w:r>
        <w:rPr>
          <w:rFonts w:hint="eastAsia" w:asciiTheme="minorEastAsia" w:hAnsiTheme="minorEastAsia" w:eastAsiaTheme="minorEastAsia" w:cstheme="minorEastAsia"/>
          <w:bCs/>
          <w:color w:val="auto"/>
          <w:szCs w:val="21"/>
        </w:rPr>
        <w:t>.2述标和/或演示</w:t>
      </w:r>
    </w:p>
    <w:p>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具体要求详见第二章“采购需求”和/或“供应商须知前附表”有关规定。</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bookmarkStart w:id="52" w:name="_Toc246826110"/>
      <w:r>
        <w:rPr>
          <w:rFonts w:hint="eastAsia" w:asciiTheme="minorEastAsia" w:hAnsiTheme="minorEastAsia" w:eastAsiaTheme="minorEastAsia" w:cstheme="minorEastAsia"/>
          <w:bCs/>
          <w:color w:val="auto"/>
          <w:szCs w:val="21"/>
        </w:rPr>
        <w:t>三、响应文件的编写</w:t>
      </w:r>
      <w:bookmarkEnd w:id="52"/>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9</w:t>
      </w:r>
      <w:r>
        <w:rPr>
          <w:rFonts w:hint="eastAsia" w:asciiTheme="minorEastAsia" w:hAnsiTheme="minorEastAsia" w:eastAsiaTheme="minorEastAsia" w:cstheme="minorEastAsia"/>
          <w:bCs/>
          <w:color w:val="auto"/>
          <w:szCs w:val="21"/>
        </w:rPr>
        <w:t>. 响应文件的编制要求：供应商应当根据采购比选文件的要求编制响应文件（包括签名和盖章），否则自行承担由此产生的风险。</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9</w:t>
      </w:r>
      <w:r>
        <w:rPr>
          <w:rFonts w:hint="eastAsia" w:asciiTheme="minorEastAsia" w:hAnsiTheme="minorEastAsia" w:eastAsiaTheme="minorEastAsia" w:cstheme="minorEastAsia"/>
          <w:bCs/>
          <w:color w:val="auto"/>
          <w:szCs w:val="21"/>
        </w:rPr>
        <w:t>.1供应商应当根据自己的商务能力、技术水平对采购比选文件提出的要求和条件逐条标明响应与否。如果因为响应文件填报的内容不详，或没有提供采购比选文件中所要求的全部资料及数据，则供应商自行承担由此产生的风险。</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9</w:t>
      </w:r>
      <w:r>
        <w:rPr>
          <w:rFonts w:hint="eastAsia" w:asciiTheme="minorEastAsia" w:hAnsiTheme="minorEastAsia" w:eastAsiaTheme="minorEastAsia" w:cstheme="minorEastAsia"/>
          <w:bCs/>
          <w:color w:val="auto"/>
          <w:szCs w:val="21"/>
        </w:rPr>
        <w:t>.2供应商提供的文件必须真实、充分、全面，并对响应文件所提供全部资料的真实性和合法性承担法律责任。</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9</w:t>
      </w:r>
      <w:r>
        <w:rPr>
          <w:rFonts w:hint="eastAsia" w:asciiTheme="minorEastAsia" w:hAnsiTheme="minorEastAsia" w:eastAsiaTheme="minorEastAsia" w:cstheme="minorEastAsia"/>
          <w:bCs/>
          <w:color w:val="auto"/>
          <w:szCs w:val="21"/>
        </w:rPr>
        <w:t>.3每一单项服务项目只允许有一个报价，否则将被视为无效响应。</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9</w:t>
      </w:r>
      <w:r>
        <w:rPr>
          <w:rFonts w:hint="eastAsia" w:asciiTheme="minorEastAsia" w:hAnsiTheme="minorEastAsia" w:eastAsiaTheme="minorEastAsia" w:cstheme="minorEastAsia"/>
          <w:bCs/>
          <w:color w:val="auto"/>
          <w:szCs w:val="21"/>
        </w:rPr>
        <w:t>.4只允许供应商有一个响应方案，否则将被视为无效响应（采购比选文件允许有备选方案的除外）。</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9</w:t>
      </w:r>
      <w:r>
        <w:rPr>
          <w:rFonts w:hint="eastAsia" w:asciiTheme="minorEastAsia" w:hAnsiTheme="minorEastAsia" w:eastAsiaTheme="minorEastAsia" w:cstheme="minorEastAsia"/>
          <w:bCs/>
          <w:color w:val="auto"/>
          <w:szCs w:val="21"/>
        </w:rPr>
        <w:t>.5 供应商根据采购比选文件载明的采购项目实际情况，拟在成交后将成交项目的非主体、非关键性工作交由他人完成的，应当在响应文件中载明。</w:t>
      </w:r>
    </w:p>
    <w:p>
      <w:pPr>
        <w:pStyle w:val="6"/>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9</w:t>
      </w:r>
      <w:r>
        <w:rPr>
          <w:rFonts w:hint="eastAsia" w:asciiTheme="minorEastAsia" w:hAnsiTheme="minorEastAsia" w:eastAsiaTheme="minorEastAsia" w:cstheme="minorEastAsia"/>
          <w:bCs/>
          <w:color w:val="auto"/>
          <w:szCs w:val="21"/>
        </w:rPr>
        <w:t>.6响应文件的正本、副本的数量应当符合采购比选文件的要求。</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9</w:t>
      </w:r>
      <w:r>
        <w:rPr>
          <w:rFonts w:hint="eastAsia" w:asciiTheme="minorEastAsia" w:hAnsiTheme="minorEastAsia" w:eastAsiaTheme="minorEastAsia" w:cstheme="minorEastAsia"/>
          <w:bCs/>
          <w:color w:val="auto"/>
          <w:szCs w:val="21"/>
        </w:rPr>
        <w:t>.7响应文件必须编页码，页码必须连续。</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9</w:t>
      </w:r>
      <w:r>
        <w:rPr>
          <w:rFonts w:hint="eastAsia" w:asciiTheme="minorEastAsia" w:hAnsiTheme="minorEastAsia" w:eastAsiaTheme="minorEastAsia" w:cstheme="minorEastAsia"/>
          <w:bCs/>
          <w:color w:val="auto"/>
          <w:szCs w:val="21"/>
        </w:rPr>
        <w:t>.8响应文件应装订牢固不可拆卸（如：胶订），如因装订不牢固导致的任何损失及风险由供应商承担。</w:t>
      </w:r>
    </w:p>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10、</w:t>
      </w:r>
      <w:r>
        <w:rPr>
          <w:rFonts w:hint="eastAsia" w:asciiTheme="minorEastAsia" w:hAnsiTheme="minorEastAsia" w:eastAsiaTheme="minorEastAsia" w:cstheme="minorEastAsia"/>
          <w:bCs/>
          <w:color w:val="auto"/>
          <w:szCs w:val="21"/>
        </w:rPr>
        <w:t xml:space="preserve"> 响应文件语言、货物及计量单位</w:t>
      </w:r>
    </w:p>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color w:val="auto"/>
          <w:szCs w:val="21"/>
          <w:lang w:val="en-US" w:eastAsia="zh-CN"/>
        </w:rPr>
        <w:t>0</w:t>
      </w:r>
      <w:r>
        <w:rPr>
          <w:rFonts w:hint="eastAsia" w:asciiTheme="minorEastAsia" w:hAnsiTheme="minorEastAsia" w:eastAsiaTheme="minorEastAsia" w:cstheme="minorEastAsia"/>
          <w:bCs/>
          <w:color w:val="auto"/>
          <w:szCs w:val="21"/>
        </w:rPr>
        <w:t>.1除采购比选文件中另有规定外，供应商提交的响应文件及其与采购人所有来往文件均应使用中文，若有不同文本，以中文文本为准。非中文的响应文件内容应翻译成中文。</w:t>
      </w:r>
    </w:p>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color w:val="auto"/>
          <w:szCs w:val="21"/>
          <w:lang w:val="en-US" w:eastAsia="zh-CN"/>
        </w:rPr>
        <w:t>0</w:t>
      </w:r>
      <w:r>
        <w:rPr>
          <w:rFonts w:hint="eastAsia" w:asciiTheme="minorEastAsia" w:hAnsiTheme="minorEastAsia" w:eastAsiaTheme="minorEastAsia" w:cstheme="minorEastAsia"/>
          <w:bCs/>
          <w:color w:val="auto"/>
          <w:szCs w:val="21"/>
        </w:rPr>
        <w:t>.2货币单位：本次采购项目的响应均以人民币报价。</w:t>
      </w:r>
    </w:p>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color w:val="auto"/>
          <w:szCs w:val="21"/>
          <w:lang w:val="en-US" w:eastAsia="zh-CN"/>
        </w:rPr>
        <w:t>0</w:t>
      </w:r>
      <w:r>
        <w:rPr>
          <w:rFonts w:hint="eastAsia" w:asciiTheme="minorEastAsia" w:hAnsiTheme="minorEastAsia" w:eastAsiaTheme="minorEastAsia" w:cstheme="minorEastAsia"/>
          <w:bCs/>
          <w:color w:val="auto"/>
          <w:szCs w:val="21"/>
        </w:rPr>
        <w:t>.3计量单位：除采购比选文件中另有规定外，供应商在响应文件中及其与采购人所有往来文件中所使用的计量单位均应采用中华人民共和国法定计量单位。</w:t>
      </w:r>
      <w:bookmarkStart w:id="53" w:name="_Toc217446046"/>
    </w:p>
    <w:bookmarkEnd w:id="53"/>
    <w:p>
      <w:pPr>
        <w:pStyle w:val="10"/>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color w:val="auto"/>
          <w:szCs w:val="21"/>
          <w:lang w:val="en-US" w:eastAsia="zh-CN"/>
        </w:rPr>
        <w:t>1</w:t>
      </w:r>
      <w:r>
        <w:rPr>
          <w:rFonts w:hint="eastAsia" w:asciiTheme="minorEastAsia" w:hAnsiTheme="minorEastAsia" w:eastAsiaTheme="minorEastAsia" w:cstheme="minorEastAsia"/>
          <w:bCs/>
          <w:color w:val="auto"/>
          <w:szCs w:val="21"/>
        </w:rPr>
        <w:t>、响应文件的组成：由商务部分、技术部分、价格部分以及其他部分组成。所有证明材料、说明文件、</w:t>
      </w:r>
      <w:r>
        <w:rPr>
          <w:rFonts w:hint="eastAsia" w:asciiTheme="minorEastAsia" w:hAnsiTheme="minorEastAsia" w:eastAsiaTheme="minorEastAsia" w:cstheme="minorEastAsia"/>
          <w:bCs/>
          <w:color w:val="auto"/>
          <w:szCs w:val="21"/>
          <w:lang w:val="en-US" w:eastAsia="zh-CN"/>
        </w:rPr>
        <w:t>响应</w:t>
      </w:r>
      <w:r>
        <w:rPr>
          <w:rFonts w:hint="eastAsia" w:asciiTheme="minorEastAsia" w:hAnsiTheme="minorEastAsia" w:eastAsiaTheme="minorEastAsia" w:cstheme="minorEastAsia"/>
          <w:bCs/>
          <w:color w:val="auto"/>
          <w:szCs w:val="21"/>
        </w:rPr>
        <w:t>要求详见“供应商须知前附表”的具体要求，供应商不提供或不按要求提供的则自行承担由此产生的风险。</w:t>
      </w:r>
    </w:p>
    <w:p>
      <w:pPr>
        <w:pStyle w:val="8"/>
        <w:adjustRightInd w:val="0"/>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.1响应文件的商务部分</w:t>
      </w:r>
    </w:p>
    <w:p>
      <w:pPr>
        <w:pStyle w:val="8"/>
        <w:adjustRightInd w:val="0"/>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.1.1 商务部分是证明供应商是合格的，并且在成交后有能力履行合同的证明文件，这些文件可以是但不限于文字资料、证书复印件和数据报表等。</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color w:val="auto"/>
          <w:szCs w:val="21"/>
          <w:lang w:val="en-US" w:eastAsia="zh-CN"/>
        </w:rPr>
        <w:t>1</w:t>
      </w:r>
      <w:r>
        <w:rPr>
          <w:rFonts w:hint="eastAsia" w:asciiTheme="minorEastAsia" w:hAnsiTheme="minorEastAsia" w:eastAsiaTheme="minorEastAsia" w:cstheme="minorEastAsia"/>
          <w:bCs/>
          <w:color w:val="auto"/>
          <w:szCs w:val="21"/>
        </w:rPr>
        <w:t>.1.2 不满足商务部分实质性要求的将视为无效响应。</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color w:val="auto"/>
          <w:szCs w:val="21"/>
          <w:lang w:val="en-US" w:eastAsia="zh-CN"/>
        </w:rPr>
        <w:t>1</w:t>
      </w:r>
      <w:r>
        <w:rPr>
          <w:rFonts w:hint="eastAsia" w:asciiTheme="minorEastAsia" w:hAnsiTheme="minorEastAsia" w:eastAsiaTheme="minorEastAsia" w:cstheme="minorEastAsia"/>
          <w:bCs/>
          <w:color w:val="auto"/>
          <w:szCs w:val="21"/>
        </w:rPr>
        <w:t>.2 响应文件的技术部分</w:t>
      </w:r>
    </w:p>
    <w:p>
      <w:pPr>
        <w:pStyle w:val="8"/>
        <w:adjustRightInd w:val="0"/>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是证明响应的技术（服务）标准以及配套/辅助服务标准是符合国家或/和行业的强制标准（包括但不限于经营许可或质量标准等），并符合采购比选文件要求的证明文件，这些文件可以是但不限于文字资料、图片和数据等。</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color w:val="auto"/>
          <w:szCs w:val="21"/>
          <w:lang w:val="en-US" w:eastAsia="zh-CN"/>
        </w:rPr>
        <w:t>1</w:t>
      </w:r>
      <w:r>
        <w:rPr>
          <w:rFonts w:hint="eastAsia" w:asciiTheme="minorEastAsia" w:hAnsiTheme="minorEastAsia" w:eastAsiaTheme="minorEastAsia" w:cstheme="minorEastAsia"/>
          <w:bCs/>
          <w:color w:val="auto"/>
          <w:szCs w:val="21"/>
        </w:rPr>
        <w:t xml:space="preserve">.3 响应文件的价格部分 </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价格部分是供应商对响应服务以及配套所需设施设备等价格的构成所作的说明。该响应总价是供应商在可独立履行项目合同义务，通过准确核算，可满足预期实施效果、验收标准和符合自身合法利益的前提下所作出的综合性合理报价。对在采购比选文件和合同书中未有明确列述、市场剧变因素、应预见和不可预见的费用等均视为已完全考虑到并包括在响应报价之内；该响应总价不得高于预算金额或最高限价，且须是本项目服务期限内所有服务费用的总和，否则视为无效响应。</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12.4 响应文件的其他部分</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其他部分由供应商根据编制响应文件需要提供的其他相关文件组成。</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13、响应有效期</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13.1 响应文件从“供应商须知前附表”所规定的响应文件递交截止期之后开始生效，在“供应商须知前附表”所规定的响应有效期期限内保持有效。有效期不足将导致其响应无效。</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13.2 特殊情况下采购人可于响应有效期满之前书面要求供应商同意延长有效期，供应商应在采购人规定的期限内以书面形式予以答复，供应商答复不明确或者逾期未答复的，均视为拒绝上述要求。供应商拒绝上述要求的，其响应保证金（如有）可按规定予以退还。对于接受该要求的供应商，既不要求也不允许其修改响应文件，但将要求其相应延长</w:t>
      </w:r>
      <w:r>
        <w:rPr>
          <w:rFonts w:hint="eastAsia" w:asciiTheme="minorEastAsia" w:hAnsiTheme="minorEastAsia" w:eastAsiaTheme="minorEastAsia" w:cstheme="minorEastAsia"/>
          <w:bCs/>
          <w:color w:val="auto"/>
          <w:szCs w:val="21"/>
          <w:lang w:val="en-US" w:eastAsia="zh-CN"/>
        </w:rPr>
        <w:t>响应</w:t>
      </w:r>
      <w:r>
        <w:rPr>
          <w:rFonts w:hint="eastAsia" w:asciiTheme="minorEastAsia" w:hAnsiTheme="minorEastAsia" w:eastAsiaTheme="minorEastAsia" w:cstheme="minorEastAsia"/>
          <w:bCs/>
          <w:color w:val="auto"/>
          <w:szCs w:val="21"/>
        </w:rPr>
        <w:t>保证金有效期，有关退还和不予退还</w:t>
      </w:r>
      <w:r>
        <w:rPr>
          <w:rFonts w:hint="eastAsia" w:asciiTheme="minorEastAsia" w:hAnsiTheme="minorEastAsia" w:eastAsiaTheme="minorEastAsia" w:cstheme="minorEastAsia"/>
          <w:bCs/>
          <w:color w:val="auto"/>
          <w:szCs w:val="21"/>
          <w:lang w:val="en-US" w:eastAsia="zh-CN"/>
        </w:rPr>
        <w:t>响应</w:t>
      </w:r>
      <w:r>
        <w:rPr>
          <w:rFonts w:hint="eastAsia" w:asciiTheme="minorEastAsia" w:hAnsiTheme="minorEastAsia" w:eastAsiaTheme="minorEastAsia" w:cstheme="minorEastAsia"/>
          <w:bCs/>
          <w:color w:val="auto"/>
          <w:szCs w:val="21"/>
        </w:rPr>
        <w:t>保证金的规定在投标有效期延长期内继续有效。同意投标有效期延长的，如提交的保证金为保函，应对保函做相应延长，供应商自行承担由此产生的费用；同意投标有效期延长的供应商不足三家的，予以废标。不同意延长投标有效期的，投标有效期满自动失效。</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14、响应保证金</w:t>
      </w:r>
    </w:p>
    <w:p>
      <w:pPr>
        <w:pStyle w:val="9"/>
        <w:ind w:left="0" w:leftChars="0" w:firstLineChars="0"/>
        <w:rPr>
          <w:rFonts w:eastAsiaTheme="minorEastAsia"/>
          <w:color w:val="auto"/>
        </w:rPr>
      </w:pPr>
      <w:r>
        <w:rPr>
          <w:rFonts w:hint="eastAsia" w:asciiTheme="minorEastAsia" w:hAnsiTheme="minorEastAsia" w:eastAsiaTheme="minorEastAsia" w:cstheme="minorEastAsia"/>
          <w:color w:val="auto"/>
        </w:rPr>
        <w:t>本项目不要求提交响应保证金。</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 响应文件的格式及签署</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15.1响应文件正本一份，副本四份。正本、副本必须打印装订，副本可以用正本的完整复印件，并在封面标明“正本”、“副本”字样。正本与副本如有不一致，则以正本为准。</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15.2响应文件应当由供应商的法定代表人或经其正式授权的代表签字，授权代表须出具书面的法定代表人授权委托书并附载响应文件中，否则视为无效响应文件；</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15.3响应文件所使用的印章必须为单位公章，且与供应商单位名称完全一致，不能以其他业务章或附属机构印章代替，否则视为无效响应文件；</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15.4响应文件中的任何行间插字，涂改和增删，须由法定代表人或经其正式授权的代表在旁边签字方可有效；</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15.5供应商应按照采购比选文件第六章中提供的“响应文件格式”编制响应文件，如自有格式并按其格式编制的响应文件，其内容必须包含“响应文件格式”中所有的实质性内容并受其约束。</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15.6供应商须将响应文件的商务部分、技术部分和价格部分整合为一份响应文件，并制作详细目录、页码索引。</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15.7响应文件因字迹潦草或表达不清所引起的后果由供应商负责。</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bookmarkStart w:id="54" w:name="_Toc246826111"/>
      <w:r>
        <w:rPr>
          <w:rFonts w:hint="eastAsia" w:asciiTheme="minorEastAsia" w:hAnsiTheme="minorEastAsia" w:eastAsiaTheme="minorEastAsia" w:cstheme="minorEastAsia"/>
          <w:bCs/>
          <w:color w:val="auto"/>
          <w:szCs w:val="21"/>
        </w:rPr>
        <w:t>四、响应文件的提交</w:t>
      </w:r>
      <w:bookmarkEnd w:id="54"/>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16.响应文件的密封和递交</w:t>
      </w:r>
    </w:p>
    <w:p>
      <w:pPr>
        <w:pStyle w:val="6"/>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16.1 供应商应将纸质版响应文件密封提交，响应文件密封袋上标示“供应商须知前附表”所规定的内容。</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16.2供应商应将响应文件按照本须知正文第16.1条的规定进行密封和标记后，按第一章/比选公告注明的递交响应文件地址送至指定地点。</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16.3如果未按上述规定进行密封和标记，采购人将不承担由此造成的对响应文件的误投或提前拆封的责任。</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16.4响应文件应在第一章比选公告中所规定的响应文件递交截止时间前送达，迟到的响应文件为无效响应文件, 将被拒收；未按照采购比选文件要求密封的响应文件将被拒收。</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16.5 邮寄送达的响应文件应按要求密封完整，否决采购人有权拒收其响应文件。</w:t>
      </w:r>
      <w:bookmarkStart w:id="55" w:name="_Toc183682365"/>
      <w:bookmarkStart w:id="56" w:name="_Toc183582228"/>
      <w:bookmarkStart w:id="57" w:name="_Toc217446055"/>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17.响应文件的修改和撤</w:t>
      </w:r>
      <w:bookmarkEnd w:id="55"/>
      <w:bookmarkEnd w:id="56"/>
      <w:r>
        <w:rPr>
          <w:rFonts w:hint="eastAsia" w:asciiTheme="minorEastAsia" w:hAnsiTheme="minorEastAsia" w:eastAsiaTheme="minorEastAsia" w:cstheme="minorEastAsia"/>
          <w:bCs/>
          <w:color w:val="auto"/>
          <w:szCs w:val="21"/>
        </w:rPr>
        <w:t>回</w:t>
      </w:r>
      <w:bookmarkEnd w:id="57"/>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58" w:name="_Toc246826112"/>
      <w:r>
        <w:rPr>
          <w:rFonts w:hint="eastAsia" w:asciiTheme="minorEastAsia" w:hAnsiTheme="minorEastAsia" w:eastAsiaTheme="minorEastAsia" w:cstheme="minorEastAsia"/>
          <w:bCs/>
          <w:color w:val="auto"/>
          <w:szCs w:val="21"/>
        </w:rPr>
        <w:t>17.l 供应商在提交响应文件后可对其进行修改或撤回，但必须使采购人在响应文件递交截止时间前收到该修改的书面内容或撤回的书面通知。</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17.2 响应文件的修改文件应按第15条规定签署，并按第 16.1条规定盖章及标记，还须注明“修改响应文件”和“开标前不得启封”字样。修改文件须在投标截止时间前送达规定的投标地点。上述补充或修改若涉及响应报价，必须注明“最终唯一报价”字样，否则将视为有选择的报价。</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17.3 供应商不得在响应文件递交截止时间以后修改或/和撤回响应文件。</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五、开标与评</w:t>
      </w:r>
      <w:bookmarkEnd w:id="58"/>
      <w:r>
        <w:rPr>
          <w:rFonts w:hint="eastAsia" w:asciiTheme="minorEastAsia" w:hAnsiTheme="minorEastAsia" w:eastAsiaTheme="minorEastAsia" w:cstheme="minorEastAsia"/>
          <w:bCs/>
          <w:color w:val="auto"/>
          <w:szCs w:val="21"/>
        </w:rPr>
        <w:t>审</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18．开标</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18.1 在第一章比选公告所规定的开标时间和地点开标。开标由采购人内部自行召开，供应商可自愿参与参加开标会议。</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18.2开标时，参加开标会议的供应商法定代表人或法人授权的代表须携带个人身份证（或其他有效证件）复印件和授权委托书原件亲自出席开标会并确认开标情况。如果不参加开标会议的，则视为认可开标情况。</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18.3 开标时，由采购人检查响应文件的密封情况，对密封等情形予以确认。</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18.4开标程序详见“供应商须知前附表”。</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18.5唱标要求详见“供应商须知前附表”。</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18.6资格审查：开标结束后，先对供应商的资格进行审查，以确定其是否具备合格的供应商资格。依据法律法规和采购比选文件的规定，资格审查内容是指采购比选文件对供应商的资格要求等内容，详见《资格审查表》。</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19、评审</w:t>
      </w:r>
    </w:p>
    <w:p>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19.1评审委员会</w:t>
      </w:r>
    </w:p>
    <w:p>
      <w:pPr>
        <w:pStyle w:val="6"/>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19.1.1评审委员会由采购人</w:t>
      </w:r>
      <w:r>
        <w:rPr>
          <w:rFonts w:hint="eastAsia" w:asciiTheme="minorEastAsia" w:hAnsiTheme="minorEastAsia" w:eastAsiaTheme="minorEastAsia" w:cstheme="minorEastAsia"/>
          <w:bCs/>
          <w:color w:val="auto"/>
          <w:szCs w:val="21"/>
          <w:lang w:val="en-US" w:eastAsia="zh-CN"/>
        </w:rPr>
        <w:t>各部门</w:t>
      </w:r>
      <w:r>
        <w:rPr>
          <w:rFonts w:hint="eastAsia" w:asciiTheme="minorEastAsia" w:hAnsiTheme="minorEastAsia" w:eastAsiaTheme="minorEastAsia" w:cstheme="minorEastAsia"/>
          <w:bCs/>
          <w:color w:val="auto"/>
          <w:szCs w:val="21"/>
        </w:rPr>
        <w:t>代表组成，成员人数应当为5人以上单数。</w:t>
      </w:r>
    </w:p>
    <w:p>
      <w:pPr>
        <w:snapToGrid w:val="0"/>
        <w:spacing w:line="360" w:lineRule="auto"/>
        <w:ind w:firstLine="420" w:firstLineChars="200"/>
        <w:outlineLvl w:val="1"/>
        <w:rPr>
          <w:rFonts w:ascii="宋体" w:hAnsi="宋体" w:cs="宋体"/>
          <w:bCs/>
          <w:color w:val="auto"/>
          <w:szCs w:val="21"/>
        </w:rPr>
      </w:pPr>
      <w:r>
        <w:rPr>
          <w:rFonts w:hint="eastAsia" w:ascii="宋体" w:hAnsi="宋体" w:cs="宋体"/>
          <w:bCs/>
          <w:color w:val="auto"/>
          <w:szCs w:val="21"/>
        </w:rPr>
        <w:t>19.1.2评审委员会成员与供应商有下列利害关系之一的，应当回避：</w:t>
      </w:r>
    </w:p>
    <w:p>
      <w:pPr>
        <w:snapToGrid w:val="0"/>
        <w:spacing w:line="360" w:lineRule="auto"/>
        <w:ind w:firstLine="420" w:firstLineChars="200"/>
        <w:outlineLvl w:val="1"/>
        <w:rPr>
          <w:rFonts w:ascii="宋体" w:hAnsi="宋体" w:cs="宋体"/>
          <w:bCs/>
          <w:color w:val="auto"/>
          <w:szCs w:val="21"/>
        </w:rPr>
      </w:pPr>
      <w:r>
        <w:rPr>
          <w:rFonts w:hint="eastAsia" w:ascii="宋体" w:hAnsi="宋体" w:cs="宋体"/>
          <w:bCs/>
          <w:color w:val="auto"/>
          <w:szCs w:val="21"/>
        </w:rPr>
        <w:t>（1）参加采购活动前3年内与供应商存在劳动关系；</w:t>
      </w:r>
    </w:p>
    <w:p>
      <w:pPr>
        <w:snapToGrid w:val="0"/>
        <w:spacing w:line="360" w:lineRule="auto"/>
        <w:ind w:firstLine="420" w:firstLineChars="200"/>
        <w:outlineLvl w:val="1"/>
        <w:rPr>
          <w:rFonts w:ascii="宋体" w:hAnsi="宋体" w:cs="宋体"/>
          <w:bCs/>
          <w:color w:val="auto"/>
          <w:szCs w:val="21"/>
        </w:rPr>
      </w:pPr>
      <w:r>
        <w:rPr>
          <w:rFonts w:hint="eastAsia" w:ascii="宋体" w:hAnsi="宋体" w:cs="宋体"/>
          <w:bCs/>
          <w:color w:val="auto"/>
          <w:szCs w:val="21"/>
        </w:rPr>
        <w:t>（2）参加采购活动前3年内担任供应商的董事、监事；</w:t>
      </w:r>
    </w:p>
    <w:p>
      <w:pPr>
        <w:snapToGrid w:val="0"/>
        <w:spacing w:line="360" w:lineRule="auto"/>
        <w:ind w:firstLine="420" w:firstLineChars="200"/>
        <w:outlineLvl w:val="1"/>
        <w:rPr>
          <w:rFonts w:ascii="宋体" w:hAnsi="宋体" w:cs="宋体"/>
          <w:bCs/>
          <w:color w:val="auto"/>
          <w:szCs w:val="21"/>
        </w:rPr>
      </w:pPr>
      <w:r>
        <w:rPr>
          <w:rFonts w:hint="eastAsia" w:ascii="宋体" w:hAnsi="宋体" w:cs="宋体"/>
          <w:bCs/>
          <w:color w:val="auto"/>
          <w:szCs w:val="21"/>
        </w:rPr>
        <w:t>（3）参加采购活动前3年内是供应商的控股股东或者实际控制人；</w:t>
      </w:r>
    </w:p>
    <w:p>
      <w:pPr>
        <w:snapToGrid w:val="0"/>
        <w:spacing w:line="360" w:lineRule="auto"/>
        <w:ind w:firstLine="420" w:firstLineChars="200"/>
        <w:outlineLvl w:val="1"/>
        <w:rPr>
          <w:rFonts w:ascii="宋体" w:hAnsi="宋体" w:cs="宋体"/>
          <w:bCs/>
          <w:color w:val="auto"/>
          <w:szCs w:val="21"/>
        </w:rPr>
      </w:pPr>
      <w:r>
        <w:rPr>
          <w:rFonts w:hint="eastAsia" w:ascii="宋体" w:hAnsi="宋体" w:cs="宋体"/>
          <w:bCs/>
          <w:color w:val="auto"/>
          <w:szCs w:val="21"/>
        </w:rPr>
        <w:t>（4）与供应商的法定代表人或者负责人有夫妻、直系血亲、三代以内旁系血亲或者近姻亲关系；</w:t>
      </w:r>
    </w:p>
    <w:p>
      <w:pPr>
        <w:snapToGrid w:val="0"/>
        <w:spacing w:line="360" w:lineRule="auto"/>
        <w:ind w:firstLine="420" w:firstLineChars="200"/>
        <w:outlineLvl w:val="1"/>
        <w:rPr>
          <w:rFonts w:ascii="宋体" w:hAnsi="宋体" w:cs="宋体"/>
          <w:bCs/>
          <w:color w:val="auto"/>
          <w:szCs w:val="21"/>
        </w:rPr>
      </w:pPr>
      <w:r>
        <w:rPr>
          <w:rFonts w:hint="eastAsia" w:ascii="宋体" w:hAnsi="宋体" w:cs="宋体"/>
          <w:bCs/>
          <w:color w:val="auto"/>
          <w:szCs w:val="21"/>
        </w:rPr>
        <w:t>（5）与供应商有其他可能影响政府采购活动公平、公正进行的关系。</w:t>
      </w:r>
    </w:p>
    <w:p>
      <w:pPr>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宋体" w:hAnsi="宋体" w:cs="宋体"/>
          <w:bCs/>
          <w:color w:val="auto"/>
          <w:szCs w:val="21"/>
        </w:rPr>
        <w:t>供应商认为评审委员会成员与其他供应商有利害关系的，可以向采购人书面提出回避申请，并说明理由。采购人应当及时询问被申请回避人员，有利害关系的被申请回避人员应当回避。评审专家发现本人与参加采购活动的供应商有利害关系的，应当主动提出回避。</w:t>
      </w:r>
    </w:p>
    <w:p>
      <w:pPr>
        <w:pStyle w:val="6"/>
        <w:adjustRightInd w:val="0"/>
        <w:snapToGrid w:val="0"/>
        <w:spacing w:line="360" w:lineRule="auto"/>
        <w:ind w:firstLine="420" w:firstLineChars="200"/>
        <w:rPr>
          <w:rFonts w:ascii="宋体" w:hAnsi="宋体" w:cs="宋体"/>
          <w:bCs/>
          <w:color w:val="auto"/>
          <w:szCs w:val="21"/>
        </w:rPr>
      </w:pPr>
      <w:r>
        <w:rPr>
          <w:rFonts w:hint="eastAsia" w:asciiTheme="minorEastAsia" w:hAnsiTheme="minorEastAsia" w:eastAsiaTheme="minorEastAsia" w:cstheme="minorEastAsia"/>
          <w:bCs/>
          <w:color w:val="auto"/>
          <w:szCs w:val="21"/>
        </w:rPr>
        <w:t>19.1.3</w:t>
      </w:r>
      <w:r>
        <w:rPr>
          <w:rFonts w:hint="eastAsia" w:ascii="宋体" w:hAnsi="宋体" w:cs="宋体"/>
          <w:bCs/>
          <w:color w:val="auto"/>
          <w:szCs w:val="21"/>
        </w:rPr>
        <w:t>评审委员会将严格遵守评审工作纪律，按照客观、公正、审慎的原则，根据采购比选文件规定的评审程序、评审方法和评审标准进行独立评审。</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 响应文件的评审</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19.2.1 要求</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评审委员会对所有供应商的评审，都采用相同的程序和标准并严格按照采购比选文件的要求和条件进行。评审委员会决定投标实质性响应与否只根据响应文件本身的内容，以及述标和/或演示内容（如果有），而不寻求其他的外部证据。</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19.2.2 符合性审查：依据采购比选文件的规定，评审委员会将从响应文件的有效性、完整性和对采购比选文件的响应程度进行审查，以确定是否符合对采购比选文件的实质性要求作出响应。</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19.2.3 响应文件的澄清 </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19.2.3．1对响应文件中含义不明确、同类问题表述不一致或者有明显文字和计算错误的内容，评审委员会应当以书面形式要求供应商作出必要的澄清、说明或者补正。供应商的澄清、说明或者补正应当在评审委员会规定的时间内以书面形式作出，并加盖公章，或者由法定代表人或者其授权代表签字。供应商的澄清、说明或者补正不得超出响应文件的范围或者改变响应文件的实质性内容。</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19.2.3.2算术错误将按以下方法更正：</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（1）响应文件中开标一览表（报价表）内容与响应文件中相应内容不一致的，以开标一览表（报价表）为准；</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（2）大写金额和小写金额不一致的，以大写金额为准；</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（3）单价金额小数点或者百分比有明显错位的，以开标一览表的总价为准，并修改单价；</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（4）总价金额与按单价汇总金额不一致的，以单价金额计算结果为准；同时出现两种以上不一致的，按照前款规定的顺序修正。修正后的报价经供应商确认后产生约束力，供应商不确认的，其投标无效。</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19.2.4 比较与评价</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19.2.4.1 评审委员会将按第四章所规定的评审标准，对资格性审查和符合性检查合格的响应文件进行评审。</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19.2.4.2 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经评审委员会投票认定，超过半数将以无效响应处理。</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19.2.5有下列情形之一的，视为供应商串通谋取成交，其响应无效：</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（一）不同供应商的响应文件由同一单位或者个人编制；</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（二）不同供应商委托同一单位或者个人办理响应事宜；</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（三）不同供应商的响应文件载明的项目管理成员或者联系人员为同一人；</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（四）不同供应商的响应文件异常一致或者响应报价呈规律性差异；</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（五）不同供应商的响应文件相互混装。</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20、废标</w:t>
      </w:r>
      <w:bookmarkStart w:id="59" w:name="_Toc217446072"/>
      <w:r>
        <w:rPr>
          <w:rFonts w:hint="eastAsia" w:asciiTheme="minorEastAsia" w:hAnsiTheme="minorEastAsia" w:eastAsiaTheme="minorEastAsia" w:cstheme="minorEastAsia"/>
          <w:bCs/>
          <w:color w:val="auto"/>
          <w:szCs w:val="21"/>
        </w:rPr>
        <w:t>的情形</w:t>
      </w:r>
      <w:bookmarkEnd w:id="59"/>
    </w:p>
    <w:p>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招标采购中，出现下列情形之一的，予以废标：</w:t>
      </w:r>
    </w:p>
    <w:p>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（1）出现影响采购公正的违法、违规行为的；</w:t>
      </w:r>
    </w:p>
    <w:p>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（2）供应商的报价均超过了预算，采购人不能支付的；</w:t>
      </w:r>
    </w:p>
    <w:p>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（3）因重大变故，采购任务取消的。</w:t>
      </w:r>
    </w:p>
    <w:p>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废标后，采购人将在指定网站发布废标公告。</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60" w:name="_Toc246996963"/>
      <w:bookmarkStart w:id="61" w:name="_Toc296602463"/>
      <w:bookmarkStart w:id="62" w:name="_Toc246996220"/>
      <w:bookmarkStart w:id="63" w:name="_Toc152042352"/>
      <w:bookmarkStart w:id="64" w:name="_Toc247085734"/>
      <w:bookmarkStart w:id="65" w:name="_Toc179632594"/>
      <w:bookmarkStart w:id="66" w:name="_Toc144974544"/>
      <w:bookmarkStart w:id="67" w:name="_Toc152045576"/>
      <w:r>
        <w:rPr>
          <w:rFonts w:hint="eastAsia" w:asciiTheme="minorEastAsia" w:hAnsiTheme="minorEastAsia" w:eastAsiaTheme="minorEastAsia" w:cstheme="minorEastAsia"/>
          <w:bCs/>
          <w:color w:val="auto"/>
          <w:szCs w:val="21"/>
        </w:rPr>
        <w:t>21.1对供应商的纪律要求</w:t>
      </w:r>
      <w:bookmarkEnd w:id="60"/>
      <w:bookmarkEnd w:id="61"/>
      <w:bookmarkEnd w:id="62"/>
      <w:bookmarkEnd w:id="63"/>
      <w:bookmarkEnd w:id="64"/>
      <w:bookmarkEnd w:id="65"/>
      <w:bookmarkEnd w:id="66"/>
      <w:bookmarkEnd w:id="67"/>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供应商不得相互串通或者与采购人串通谋取成交，不得评审委员会成员行贿谋取谋取成交，不得以他人名义响应或者以其他方式弄虚作假骗取成交；供应商不得以任何方式干扰、影响评审工作。</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68" w:name="_Toc179632595"/>
      <w:bookmarkStart w:id="69" w:name="_Toc152042353"/>
      <w:bookmarkStart w:id="70" w:name="_Toc246996221"/>
      <w:bookmarkStart w:id="71" w:name="_Toc152045577"/>
      <w:bookmarkStart w:id="72" w:name="_Toc144974545"/>
      <w:bookmarkStart w:id="73" w:name="_Toc296602464"/>
      <w:bookmarkStart w:id="74" w:name="_Toc246996964"/>
      <w:bookmarkStart w:id="75" w:name="_Toc247085735"/>
      <w:r>
        <w:rPr>
          <w:rFonts w:hint="eastAsia" w:asciiTheme="minorEastAsia" w:hAnsiTheme="minorEastAsia" w:eastAsiaTheme="minorEastAsia" w:cstheme="minorEastAsia"/>
          <w:bCs/>
          <w:color w:val="auto"/>
          <w:szCs w:val="21"/>
        </w:rPr>
        <w:t>21.3对评审委员会成员的纪律要求</w:t>
      </w:r>
      <w:bookmarkEnd w:id="68"/>
      <w:bookmarkEnd w:id="69"/>
      <w:bookmarkEnd w:id="70"/>
      <w:bookmarkEnd w:id="71"/>
      <w:bookmarkEnd w:id="72"/>
      <w:bookmarkEnd w:id="73"/>
      <w:bookmarkEnd w:id="74"/>
      <w:bookmarkEnd w:id="75"/>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评审委员会成员不得收受他人的财物或者其他好处，不得向他人透漏对响应文件的评审和比较、成交候选人的推荐情况以及评审有关的其他情况。在评审活动中，评审委员会成员应当客观、公正地履行职责，独立评审，遵守职业道德，不得擅离职守，影响评审程序正常进行，不得使用采购比选文件没有规定的评审因素和标准进行评审。</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76" w:name="_Toc296602465"/>
      <w:bookmarkStart w:id="77" w:name="_Toc152042354"/>
      <w:bookmarkStart w:id="78" w:name="_Toc179632596"/>
      <w:bookmarkStart w:id="79" w:name="_Toc152045578"/>
      <w:bookmarkStart w:id="80" w:name="_Toc246996222"/>
      <w:bookmarkStart w:id="81" w:name="_Toc247085736"/>
      <w:bookmarkStart w:id="82" w:name="_Toc246996965"/>
      <w:r>
        <w:rPr>
          <w:rFonts w:hint="eastAsia" w:asciiTheme="minorEastAsia" w:hAnsiTheme="minorEastAsia" w:eastAsiaTheme="minorEastAsia" w:cstheme="minorEastAsia"/>
          <w:bCs/>
          <w:color w:val="auto"/>
          <w:szCs w:val="21"/>
        </w:rPr>
        <w:t>21.4对与评审活动有关的工作人员的纪律要求</w:t>
      </w:r>
      <w:bookmarkEnd w:id="76"/>
      <w:bookmarkEnd w:id="77"/>
      <w:bookmarkEnd w:id="78"/>
      <w:bookmarkEnd w:id="79"/>
      <w:bookmarkEnd w:id="80"/>
      <w:bookmarkEnd w:id="81"/>
      <w:bookmarkEnd w:id="82"/>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83" w:name="_Toc152042355"/>
      <w:r>
        <w:rPr>
          <w:rFonts w:hint="eastAsia" w:asciiTheme="minorEastAsia" w:hAnsiTheme="minorEastAsia" w:eastAsiaTheme="minorEastAsia" w:cstheme="minorEastAsia"/>
          <w:bCs/>
          <w:color w:val="auto"/>
          <w:szCs w:val="2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bookmarkEnd w:id="83"/>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bookmarkStart w:id="84" w:name="_Toc246826113"/>
      <w:r>
        <w:rPr>
          <w:rFonts w:hint="eastAsia" w:asciiTheme="minorEastAsia" w:hAnsiTheme="minorEastAsia" w:eastAsiaTheme="minorEastAsia" w:cstheme="minorEastAsia"/>
          <w:bCs/>
          <w:color w:val="auto"/>
          <w:szCs w:val="21"/>
        </w:rPr>
        <w:t>六、定标、合同</w:t>
      </w:r>
      <w:bookmarkEnd w:id="84"/>
      <w:r>
        <w:rPr>
          <w:rFonts w:hint="eastAsia" w:asciiTheme="minorEastAsia" w:hAnsiTheme="minorEastAsia" w:eastAsiaTheme="minorEastAsia" w:cstheme="minorEastAsia"/>
          <w:bCs/>
          <w:color w:val="auto"/>
          <w:szCs w:val="21"/>
        </w:rPr>
        <w:t>与验收</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22、定标准则</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22.1任何单项因素的最优不能作为成交的保证。</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22.2评审委员会推荐排名第一的供应商即为成交供应商。</w:t>
      </w:r>
    </w:p>
    <w:p>
      <w:pPr>
        <w:adjustRightInd w:val="0"/>
        <w:snapToGrid w:val="0"/>
        <w:spacing w:line="360" w:lineRule="auto"/>
        <w:ind w:left="420" w:left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23、成交通知</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23.1由采购人在比选公告发布媒体上公布成交结果，并向成交供应商发送《成交通知书》。</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23.2成交通知书为签订采购合同的依据，是合同的有效组成部分。</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23.3成交通知书对采购人和成交供应商均具有法律效力。成交通知书发出后，采购人改变成交结果，或者成交供应商无正当理由放弃成交的，应当承担相应的法律责任。</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24、合同签订</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24.1成交供应商在收到《成交通知书》后，应在规定的时间内与采购人签订采购合同。由于成交供应商的原因逾期未与采购人签订采购合同的，将视为放弃中标，取消其中标资格并将按相关规定进行处理。</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24.2采购人不得向成交供应商提出任何不合理的要求作为签订合同的条件，不得与成交供应商私下订立背离合同实质性内容的任何协议，所签订的合同不得对采购比选文件和成交供应商响应文件作实质性修改。</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bookmarkStart w:id="85" w:name="_Toc217446069"/>
      <w:r>
        <w:rPr>
          <w:rFonts w:hint="eastAsia" w:asciiTheme="minorEastAsia" w:hAnsiTheme="minorEastAsia" w:eastAsiaTheme="minorEastAsia" w:cstheme="minorEastAsia"/>
          <w:bCs/>
          <w:color w:val="auto"/>
          <w:szCs w:val="21"/>
        </w:rPr>
        <w:t>25、合同</w:t>
      </w:r>
      <w:bookmarkEnd w:id="85"/>
      <w:r>
        <w:rPr>
          <w:rFonts w:hint="eastAsia" w:asciiTheme="minorEastAsia" w:hAnsiTheme="minorEastAsia" w:eastAsiaTheme="minorEastAsia" w:cstheme="minorEastAsia"/>
          <w:bCs/>
          <w:color w:val="auto"/>
          <w:szCs w:val="21"/>
        </w:rPr>
        <w:t>履行</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25.1成交供应商与采购人签订合同后，合同双方应严格执行合同条款，履行合同规定的义务，保证合同的顺利完成。</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25.2采购人应严格按照合同约定事项，制定科学合理的验收方案开展验收；</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25.3在合同履行过程中，如发生合同纠纷，合同双方应按照《民法典》的有关规定进行处理。</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七、评审方法</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26、政府采购招标评审方法分为:最低评审价法和综合评分法。</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26.1最低评审价法，是指响应文件满足采购比选文件全部实质性要求且响应报价最低的供应商为成交候选人的评审方法。</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26.2综合评分法，是指响应文件满足采购比选文件全部实质性要求且按照评审因素的量化指标评审得分最高的供应商为成交候选人的评审方法。</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评审总得分＝F1×A1＋F2×A2＋……＋Fn×An</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F1、F2……Fn分别为价格、商务和技术部分评分因素的汇总得分；A1、A2、……An分别为价格、商务和技术部分评分因素所占的权重(A1＋A2＋......＋An＝1)。</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其中价格分统一采用低价优先法计算，即满足采购比选文件要求且</w:t>
      </w:r>
      <w:r>
        <w:rPr>
          <w:rFonts w:hint="eastAsia" w:asciiTheme="minorEastAsia" w:hAnsiTheme="minorEastAsia" w:eastAsiaTheme="minorEastAsia" w:cstheme="minorEastAsia"/>
          <w:bCs/>
          <w:color w:val="auto"/>
          <w:szCs w:val="21"/>
          <w:lang w:val="en-US" w:eastAsia="zh-CN"/>
        </w:rPr>
        <w:t>响应</w:t>
      </w:r>
      <w:r>
        <w:rPr>
          <w:rFonts w:hint="eastAsia" w:asciiTheme="minorEastAsia" w:hAnsiTheme="minorEastAsia" w:eastAsiaTheme="minorEastAsia" w:cstheme="minorEastAsia"/>
          <w:bCs/>
          <w:color w:val="auto"/>
          <w:szCs w:val="21"/>
        </w:rPr>
        <w:t>价格最低的响应报价为评审基准价，其价格分为满分。其他供应商的价格分统一按照下列公式计算：</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响应报价得分＝（评审基准价／响应报价）×价格权值×100　　</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八、质疑</w:t>
      </w:r>
    </w:p>
    <w:p>
      <w:pPr>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27、供应商认为采购比选文件、采购过程和成交结果使自己的合法权益受到损害的，应当在知道或者应知其权益受到损害之日起七个工作日（质疑有效期）内，向采购人提出询问或以书面形式向其质疑。 </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28、采购人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29、质疑有效期的计算</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采购比选文件的质疑有效期为采购比选文件公告期限届满之日起七个工作日内；采购过程的质疑有效期为各采购程序环节结束之日起七个工作日内；采购结果的质疑有效期为采购结果公告期限届满之日起七个工作日内。</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九、无效响应的其他有关规定：</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30、除符合采购比选文件中载明的无效响应规定外，如果发现下列情况之一者，同样作无效响应处理，其中30.1至30.3款情形的所有相关供应商均作无效响应处理。因此产生其他法律责任的由供应商自行承担：</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30.1不同供应商的法定代表人、委托代理人等由同一个单位缴纳社会保险的；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30.2由同一人携带两个及以上供应商的企业资料参与开标会议的；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30.3单位负责人为同一人或者存在直接控股、管理关系的不同供应商，同时参加同一合同项下的政府采购活动的；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30.4为采购项目提供整体设计、规范编制或者项目管理、监理、检测等服务的供应商，再参加该采购项目的其他采购活动的；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30.5属于采购人任何不具有独立法人资格的附属机构（单位）；</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30.6没有按要求提供补充文件，或调整补充内容超出规定范围。</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30.7</w:t>
      </w:r>
      <w:r>
        <w:rPr>
          <w:rFonts w:asciiTheme="minorEastAsia" w:hAnsiTheme="minorEastAsia" w:eastAsiaTheme="minorEastAsia" w:cstheme="minorEastAsia"/>
          <w:bCs/>
          <w:color w:val="auto"/>
          <w:szCs w:val="21"/>
        </w:rPr>
        <w:t>未按照</w:t>
      </w:r>
      <w:r>
        <w:rPr>
          <w:rFonts w:hint="eastAsia" w:asciiTheme="minorEastAsia" w:hAnsiTheme="minorEastAsia" w:eastAsiaTheme="minorEastAsia" w:cstheme="minorEastAsia"/>
          <w:bCs/>
          <w:color w:val="auto"/>
          <w:szCs w:val="21"/>
        </w:rPr>
        <w:t>采购比选文件</w:t>
      </w:r>
      <w:r>
        <w:rPr>
          <w:rFonts w:asciiTheme="minorEastAsia" w:hAnsiTheme="minorEastAsia" w:eastAsiaTheme="minorEastAsia" w:cstheme="minorEastAsia"/>
          <w:bCs/>
          <w:color w:val="auto"/>
          <w:szCs w:val="21"/>
        </w:rPr>
        <w:t>的规定提交保证金的；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30.8响应文件</w:t>
      </w:r>
      <w:r>
        <w:rPr>
          <w:rFonts w:asciiTheme="minorEastAsia" w:hAnsiTheme="minorEastAsia" w:eastAsiaTheme="minorEastAsia" w:cstheme="minorEastAsia"/>
          <w:bCs/>
          <w:color w:val="auto"/>
          <w:szCs w:val="21"/>
        </w:rPr>
        <w:t>未按</w:t>
      </w:r>
      <w:r>
        <w:rPr>
          <w:rFonts w:hint="eastAsia" w:asciiTheme="minorEastAsia" w:hAnsiTheme="minorEastAsia" w:eastAsiaTheme="minorEastAsia" w:cstheme="minorEastAsia"/>
          <w:bCs/>
          <w:color w:val="auto"/>
          <w:szCs w:val="21"/>
        </w:rPr>
        <w:t>采购比选文件</w:t>
      </w:r>
      <w:r>
        <w:rPr>
          <w:rFonts w:asciiTheme="minorEastAsia" w:hAnsiTheme="minorEastAsia" w:eastAsiaTheme="minorEastAsia" w:cstheme="minorEastAsia"/>
          <w:bCs/>
          <w:color w:val="auto"/>
          <w:szCs w:val="21"/>
        </w:rPr>
        <w:t>要求签署、盖章的；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30.9</w:t>
      </w:r>
      <w:r>
        <w:rPr>
          <w:rFonts w:asciiTheme="minorEastAsia" w:hAnsiTheme="minorEastAsia" w:eastAsiaTheme="minorEastAsia" w:cstheme="minorEastAsia"/>
          <w:bCs/>
          <w:color w:val="auto"/>
          <w:szCs w:val="21"/>
        </w:rPr>
        <w:t>不具备</w:t>
      </w:r>
      <w:r>
        <w:rPr>
          <w:rFonts w:hint="eastAsia" w:asciiTheme="minorEastAsia" w:hAnsiTheme="minorEastAsia" w:eastAsiaTheme="minorEastAsia" w:cstheme="minorEastAsia"/>
          <w:bCs/>
          <w:color w:val="auto"/>
          <w:szCs w:val="21"/>
        </w:rPr>
        <w:t>采购比选文件</w:t>
      </w:r>
      <w:r>
        <w:rPr>
          <w:rFonts w:asciiTheme="minorEastAsia" w:hAnsiTheme="minorEastAsia" w:eastAsiaTheme="minorEastAsia" w:cstheme="minorEastAsia"/>
          <w:bCs/>
          <w:color w:val="auto"/>
          <w:szCs w:val="21"/>
        </w:rPr>
        <w:t>中规定的资格要求的；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30.10</w:t>
      </w:r>
      <w:r>
        <w:rPr>
          <w:rFonts w:asciiTheme="minorEastAsia" w:hAnsiTheme="minorEastAsia" w:eastAsiaTheme="minorEastAsia" w:cstheme="minorEastAsia"/>
          <w:bCs/>
          <w:color w:val="auto"/>
          <w:szCs w:val="21"/>
        </w:rPr>
        <w:t>报价超过</w:t>
      </w:r>
      <w:r>
        <w:rPr>
          <w:rFonts w:hint="eastAsia" w:asciiTheme="minorEastAsia" w:hAnsiTheme="minorEastAsia" w:eastAsiaTheme="minorEastAsia" w:cstheme="minorEastAsia"/>
          <w:bCs/>
          <w:color w:val="auto"/>
          <w:szCs w:val="21"/>
        </w:rPr>
        <w:t>采购比选文件</w:t>
      </w:r>
      <w:r>
        <w:rPr>
          <w:rFonts w:asciiTheme="minorEastAsia" w:hAnsiTheme="minorEastAsia" w:eastAsiaTheme="minorEastAsia" w:cstheme="minorEastAsia"/>
          <w:bCs/>
          <w:color w:val="auto"/>
          <w:szCs w:val="21"/>
        </w:rPr>
        <w:t>中规定的预算金额或者最高限价的；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30.11响应文件</w:t>
      </w:r>
      <w:r>
        <w:rPr>
          <w:rFonts w:asciiTheme="minorEastAsia" w:hAnsiTheme="minorEastAsia" w:eastAsiaTheme="minorEastAsia" w:cstheme="minorEastAsia"/>
          <w:bCs/>
          <w:color w:val="auto"/>
          <w:szCs w:val="21"/>
        </w:rPr>
        <w:t>含有采购人不能接受的附加条件的；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30.12</w:t>
      </w:r>
      <w:r>
        <w:rPr>
          <w:rFonts w:asciiTheme="minorEastAsia" w:hAnsiTheme="minorEastAsia" w:eastAsiaTheme="minorEastAsia" w:cstheme="minorEastAsia"/>
          <w:bCs/>
          <w:color w:val="auto"/>
          <w:szCs w:val="21"/>
        </w:rPr>
        <w:t>法律、法规和</w:t>
      </w:r>
      <w:r>
        <w:rPr>
          <w:rFonts w:hint="eastAsia" w:asciiTheme="minorEastAsia" w:hAnsiTheme="minorEastAsia" w:eastAsiaTheme="minorEastAsia" w:cstheme="minorEastAsia"/>
          <w:bCs/>
          <w:color w:val="auto"/>
          <w:szCs w:val="21"/>
        </w:rPr>
        <w:t>采购比选文件</w:t>
      </w:r>
      <w:r>
        <w:rPr>
          <w:rFonts w:asciiTheme="minorEastAsia" w:hAnsiTheme="minorEastAsia" w:eastAsiaTheme="minorEastAsia" w:cstheme="minorEastAsia"/>
          <w:bCs/>
          <w:color w:val="auto"/>
          <w:szCs w:val="21"/>
        </w:rPr>
        <w:t>规定的其他无效情形。</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31、其他法律法规及规章制度认定参加政府采购无效的情形等。</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31.1存在恶意串通投标行为的；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31.2参与政府采购活动有不良行为记录且正处于处罚期内并适用于海口行政区域的；</w:t>
      </w:r>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31.3企业在经营活动中存在不诚信记录且正处于处罚期内并适用于海口行政区域政府采购领域的；</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31.4其他法律法规及规章制度认定参加政府采购活动无效并适用海口行政区域的情形等。</w:t>
      </w:r>
    </w:p>
    <w:p>
      <w:pPr>
        <w:pStyle w:val="5"/>
        <w:adjustRightInd w:val="0"/>
        <w:snapToGrid w:val="0"/>
        <w:spacing w:line="360" w:lineRule="auto"/>
        <w:ind w:firstLine="0"/>
        <w:jc w:val="center"/>
        <w:outlineLvl w:val="0"/>
        <w:rPr>
          <w:rFonts w:asciiTheme="minorEastAsia" w:hAnsiTheme="minorEastAsia" w:eastAsiaTheme="minorEastAsia" w:cstheme="minorEastAsia"/>
          <w:b/>
          <w:color w:val="auto"/>
          <w:szCs w:val="21"/>
        </w:rPr>
      </w:pPr>
      <w:r>
        <w:rPr>
          <w:rFonts w:asciiTheme="minorEastAsia" w:hAnsiTheme="minorEastAsia" w:eastAsiaTheme="minorEastAsia" w:cstheme="minorEastAsia"/>
          <w:b/>
          <w:color w:val="auto"/>
          <w:szCs w:val="21"/>
        </w:rPr>
        <w:br w:type="textWrapping"/>
      </w:r>
    </w:p>
    <w:p>
      <w:r>
        <w:rPr>
          <w:rFonts w:asciiTheme="minorEastAsia" w:hAnsiTheme="minorEastAsia" w:eastAsiaTheme="minorEastAsia" w:cstheme="minorEastAsia"/>
          <w:b/>
          <w:color w:val="auto"/>
          <w:szCs w:val="21"/>
        </w:rPr>
        <w:br w:type="page"/>
      </w:r>
    </w:p>
    <w:p>
      <w:pPr>
        <w:pStyle w:val="5"/>
        <w:adjustRightInd w:val="0"/>
        <w:snapToGrid w:val="0"/>
        <w:spacing w:line="360" w:lineRule="auto"/>
        <w:ind w:firstLine="0"/>
        <w:jc w:val="center"/>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第四章  </w:t>
      </w:r>
      <w:bookmarkEnd w:id="33"/>
      <w:r>
        <w:rPr>
          <w:rFonts w:hint="eastAsia" w:asciiTheme="minorEastAsia" w:hAnsiTheme="minorEastAsia" w:eastAsiaTheme="minorEastAsia" w:cstheme="minorEastAsia"/>
          <w:b/>
          <w:color w:val="auto"/>
          <w:szCs w:val="21"/>
        </w:rPr>
        <w:t>评审标准</w:t>
      </w:r>
      <w:bookmarkStart w:id="86" w:name="_Toc246826116"/>
    </w:p>
    <w:bookmarkEnd w:id="86"/>
    <w:p>
      <w:pPr>
        <w:spacing w:line="360" w:lineRule="auto"/>
        <w:ind w:firstLine="422" w:firstLineChars="200"/>
        <w:outlineLvl w:val="0"/>
        <w:rPr>
          <w:rFonts w:ascii="宋体" w:hAnsi="宋体" w:cs="宋体"/>
          <w:b/>
          <w:color w:val="auto"/>
          <w:szCs w:val="21"/>
        </w:rPr>
      </w:pPr>
      <w:bookmarkStart w:id="87" w:name="_Toc246826117"/>
      <w:r>
        <w:rPr>
          <w:rFonts w:hint="eastAsia" w:ascii="宋体" w:hAnsi="宋体" w:cs="宋体"/>
          <w:b/>
          <w:color w:val="auto"/>
          <w:szCs w:val="21"/>
        </w:rPr>
        <w:t>一、基本要求：</w:t>
      </w:r>
    </w:p>
    <w:p>
      <w:pPr>
        <w:pStyle w:val="5"/>
        <w:snapToGrid w:val="0"/>
        <w:spacing w:line="360" w:lineRule="auto"/>
        <w:ind w:firstLineChars="200"/>
        <w:outlineLvl w:val="0"/>
        <w:rPr>
          <w:rFonts w:ascii="宋体" w:hAnsi="宋体" w:cs="宋体"/>
          <w:bCs/>
          <w:color w:val="auto"/>
          <w:szCs w:val="21"/>
        </w:rPr>
      </w:pPr>
      <w:r>
        <w:rPr>
          <w:rFonts w:hint="eastAsia" w:ascii="宋体" w:hAnsi="宋体" w:cs="宋体"/>
          <w:bCs/>
          <w:color w:val="auto"/>
          <w:szCs w:val="21"/>
        </w:rPr>
        <w:t>（一）资格审查、符合性审查或评审标准中凡涉及到提供针对本项目授权书、承诺书的，均须以原件为准，否则不予认可，</w:t>
      </w:r>
    </w:p>
    <w:p>
      <w:pPr>
        <w:pStyle w:val="5"/>
        <w:snapToGrid w:val="0"/>
        <w:spacing w:line="360" w:lineRule="auto"/>
        <w:ind w:firstLineChars="200"/>
        <w:outlineLvl w:val="0"/>
        <w:rPr>
          <w:rFonts w:ascii="宋体" w:hAnsi="宋体" w:cs="宋体"/>
          <w:bCs/>
          <w:color w:val="auto"/>
          <w:szCs w:val="21"/>
        </w:rPr>
      </w:pPr>
      <w:r>
        <w:rPr>
          <w:rFonts w:hint="eastAsia" w:ascii="宋体" w:hAnsi="宋体" w:cs="宋体"/>
          <w:bCs/>
          <w:color w:val="auto"/>
          <w:szCs w:val="21"/>
        </w:rPr>
        <w:t>（二）资格审查、符合性审查或评审标准中凡涉及到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其响应将以无效响应或取消成交资格论处，并上报政府采购监督管理部门。</w:t>
      </w:r>
    </w:p>
    <w:p>
      <w:pPr>
        <w:pStyle w:val="5"/>
        <w:snapToGri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二、审查标准</w:t>
      </w:r>
    </w:p>
    <w:p>
      <w:pPr>
        <w:snapToGrid w:val="0"/>
        <w:spacing w:line="360" w:lineRule="auto"/>
        <w:ind w:firstLine="420" w:firstLineChars="200"/>
        <w:outlineLvl w:val="0"/>
        <w:rPr>
          <w:rFonts w:ascii="宋体" w:hAnsi="宋体" w:cs="宋体"/>
          <w:bCs/>
          <w:color w:val="auto"/>
          <w:szCs w:val="21"/>
        </w:rPr>
      </w:pPr>
      <w:r>
        <w:rPr>
          <w:rFonts w:hint="eastAsia" w:ascii="宋体" w:hAnsi="宋体" w:cs="宋体"/>
          <w:bCs/>
          <w:color w:val="auto"/>
          <w:szCs w:val="21"/>
        </w:rPr>
        <w:t>1、资格审查表和符合性审查表中所列内容全部审查意见为“合格”，方视为“合格”，其中有一项不合格，将视为不合格供应商。</w:t>
      </w:r>
    </w:p>
    <w:p>
      <w:pPr>
        <w:snapToGrid w:val="0"/>
        <w:spacing w:line="360" w:lineRule="auto"/>
        <w:ind w:firstLine="420" w:firstLineChars="200"/>
        <w:outlineLvl w:val="0"/>
        <w:rPr>
          <w:rFonts w:ascii="宋体" w:hAnsi="宋体" w:cs="宋体"/>
          <w:bCs/>
          <w:color w:val="auto"/>
          <w:szCs w:val="21"/>
        </w:rPr>
      </w:pPr>
      <w:r>
        <w:rPr>
          <w:rFonts w:hint="eastAsia" w:ascii="宋体" w:hAnsi="宋体" w:cs="宋体"/>
          <w:bCs/>
          <w:color w:val="auto"/>
          <w:szCs w:val="21"/>
        </w:rPr>
        <w:t>2、在审查意见汇总的过程中，如存在不同审查意见，则按照少数服从多数的原则做出结论。</w:t>
      </w:r>
    </w:p>
    <w:p>
      <w:pPr>
        <w:snapToGrid w:val="0"/>
        <w:spacing w:line="360" w:lineRule="auto"/>
        <w:ind w:firstLine="420" w:firstLineChars="200"/>
        <w:outlineLvl w:val="0"/>
        <w:rPr>
          <w:rFonts w:ascii="宋体" w:hAnsi="宋体" w:cs="宋体"/>
          <w:bCs/>
          <w:color w:val="auto"/>
          <w:szCs w:val="21"/>
        </w:rPr>
      </w:pPr>
      <w:r>
        <w:rPr>
          <w:rFonts w:hint="eastAsia" w:ascii="宋体" w:hAnsi="宋体" w:cs="宋体"/>
          <w:bCs/>
          <w:color w:val="auto"/>
          <w:szCs w:val="21"/>
        </w:rPr>
        <w:t>3、本表格“审查意见”栏默认“√”视为合格标示，“×”视为不合格标示。</w:t>
      </w:r>
    </w:p>
    <w:p>
      <w:pPr>
        <w:snapToGrid w:val="0"/>
        <w:spacing w:line="360" w:lineRule="auto"/>
        <w:ind w:firstLine="211" w:firstLineChars="100"/>
        <w:jc w:val="left"/>
        <w:rPr>
          <w:rFonts w:ascii="宋体" w:hAnsi="宋体" w:cs="宋体"/>
          <w:b/>
          <w:color w:val="auto"/>
          <w:szCs w:val="21"/>
        </w:rPr>
      </w:pPr>
      <w:r>
        <w:rPr>
          <w:rFonts w:hint="eastAsia" w:ascii="宋体" w:hAnsi="宋体" w:cs="宋体"/>
          <w:b/>
          <w:color w:val="auto"/>
          <w:szCs w:val="21"/>
        </w:rPr>
        <w:t>（一）资格审查表</w:t>
      </w:r>
    </w:p>
    <w:tbl>
      <w:tblPr>
        <w:tblStyle w:val="2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color w:val="auto"/>
                <w:szCs w:val="21"/>
              </w:rPr>
            </w:pPr>
            <w:r>
              <w:rPr>
                <w:rFonts w:hint="eastAsia" w:ascii="宋体" w:hAnsi="宋体" w:cs="宋体"/>
                <w:b/>
                <w:color w:val="auto"/>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color w:val="auto"/>
                <w:szCs w:val="21"/>
              </w:rPr>
            </w:pPr>
            <w:r>
              <w:rPr>
                <w:rFonts w:hint="eastAsia" w:ascii="宋体" w:hAnsi="宋体" w:cs="宋体"/>
                <w:b/>
                <w:color w:val="auto"/>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color w:val="auto"/>
                <w:szCs w:val="21"/>
              </w:rPr>
            </w:pPr>
            <w:r>
              <w:rPr>
                <w:rFonts w:hint="eastAsia" w:ascii="宋体" w:hAnsi="宋体" w:cs="宋体"/>
                <w:b/>
                <w:color w:val="auto"/>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color w:val="auto"/>
                <w:szCs w:val="21"/>
              </w:rPr>
            </w:pPr>
            <w:r>
              <w:rPr>
                <w:rFonts w:hint="eastAsia" w:ascii="宋体" w:hAnsi="宋体" w:cs="宋体"/>
                <w:bCs/>
                <w:color w:val="auto"/>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pPr>
              <w:snapToGrid w:val="0"/>
              <w:spacing w:line="360" w:lineRule="auto"/>
              <w:jc w:val="center"/>
              <w:rPr>
                <w:rFonts w:ascii="宋体" w:hAnsi="宋体" w:cs="宋体"/>
                <w:bCs/>
                <w:color w:val="auto"/>
                <w:kern w:val="0"/>
                <w:szCs w:val="21"/>
              </w:rPr>
            </w:pPr>
            <w:r>
              <w:rPr>
                <w:rFonts w:hint="eastAsia" w:ascii="宋体" w:hAnsi="宋体" w:cs="宋体"/>
                <w:bCs/>
                <w:color w:val="auto"/>
                <w:kern w:val="0"/>
                <w:szCs w:val="21"/>
              </w:rPr>
              <w:t>2</w:t>
            </w:r>
          </w:p>
        </w:tc>
        <w:tc>
          <w:tcPr>
            <w:tcW w:w="4650"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color w:val="auto"/>
                <w:szCs w:val="21"/>
              </w:rPr>
            </w:pPr>
            <w:r>
              <w:rPr>
                <w:rFonts w:hint="eastAsia" w:ascii="宋体" w:hAnsi="宋体" w:cs="宋体"/>
                <w:bCs/>
                <w:color w:val="auto"/>
                <w:szCs w:val="21"/>
              </w:rPr>
              <w:t>3</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pacing w:line="360" w:lineRule="auto"/>
              <w:rPr>
                <w:rFonts w:hint="eastAsia" w:asciiTheme="minorEastAsia" w:hAnsiTheme="minorEastAsia" w:eastAsiaTheme="minorEastAsia" w:cstheme="minorEastAsia"/>
                <w:color w:val="auto"/>
                <w:kern w:val="0"/>
                <w:sz w:val="21"/>
                <w:szCs w:val="21"/>
                <w:lang w:val="zh-CN" w:eastAsia="zh-CN" w:bidi="ar-SA"/>
              </w:rPr>
            </w:pPr>
            <w:r>
              <w:rPr>
                <w:rFonts w:hint="eastAsia" w:asciiTheme="minorEastAsia" w:hAnsiTheme="minorEastAsia" w:eastAsiaTheme="minorEastAsia" w:cstheme="minorEastAsia"/>
                <w:color w:val="auto"/>
                <w:kern w:val="0"/>
                <w:sz w:val="21"/>
                <w:szCs w:val="21"/>
                <w:lang w:val="zh-CN" w:eastAsia="zh-CN" w:bidi="ar-SA"/>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pacing w:line="360" w:lineRule="auto"/>
              <w:rPr>
                <w:rFonts w:hint="eastAsia" w:asciiTheme="minorEastAsia" w:hAnsiTheme="minorEastAsia" w:eastAsiaTheme="minorEastAsia" w:cstheme="minorEastAsia"/>
                <w:color w:val="auto"/>
                <w:kern w:val="0"/>
                <w:sz w:val="21"/>
                <w:szCs w:val="21"/>
                <w:lang w:val="zh-CN" w:eastAsia="zh-CN" w:bidi="ar-SA"/>
              </w:rPr>
            </w:pPr>
            <w:r>
              <w:rPr>
                <w:rFonts w:hint="eastAsia" w:asciiTheme="minorEastAsia" w:hAnsiTheme="minorEastAsia" w:eastAsiaTheme="minorEastAsia" w:cstheme="minorEastAsia"/>
                <w:color w:val="auto"/>
                <w:kern w:val="0"/>
                <w:sz w:val="21"/>
                <w:szCs w:val="21"/>
                <w:lang w:val="zh-CN" w:eastAsia="zh-CN" w:bidi="ar-SA"/>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color w:val="auto"/>
                <w:szCs w:val="21"/>
              </w:rPr>
            </w:pPr>
            <w:r>
              <w:rPr>
                <w:rFonts w:hint="eastAsia" w:ascii="宋体" w:hAnsi="宋体" w:cs="宋体"/>
                <w:bCs/>
                <w:color w:val="auto"/>
                <w:szCs w:val="21"/>
              </w:rPr>
              <w:t>4</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jc w:val="both"/>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zh-CN" w:eastAsia="zh-CN" w:bidi="ar-SA"/>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color w:val="auto"/>
                <w:szCs w:val="21"/>
              </w:rPr>
            </w:pPr>
            <w:r>
              <w:rPr>
                <w:rFonts w:hint="eastAsia" w:ascii="宋体" w:hAnsi="宋体" w:cs="宋体"/>
                <w:bCs/>
                <w:color w:val="auto"/>
                <w:szCs w:val="21"/>
              </w:rPr>
              <w:t>5</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jc w:val="both"/>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6"/>
              <w:snapToGrid w:val="0"/>
              <w:spacing w:line="360" w:lineRule="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zh-CN" w:eastAsia="zh-CN" w:bidi="ar-SA"/>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color w:val="auto"/>
                <w:szCs w:val="21"/>
              </w:rPr>
            </w:pPr>
          </w:p>
        </w:tc>
      </w:tr>
    </w:tbl>
    <w:p>
      <w:pPr>
        <w:adjustRightInd w:val="0"/>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（二）符合性审查表</w:t>
      </w:r>
    </w:p>
    <w:tbl>
      <w:tblPr>
        <w:tblStyle w:val="20"/>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w:t>
            </w:r>
          </w:p>
        </w:tc>
        <w:tc>
          <w:tcPr>
            <w:tcW w:w="4260"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与营业执照、或事业单位法人证书（事业单位）、或执业许可证（非企业专业服务机构）一致。</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w:t>
            </w:r>
          </w:p>
        </w:tc>
        <w:tc>
          <w:tcPr>
            <w:tcW w:w="4260"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w:t>
            </w:r>
          </w:p>
        </w:tc>
        <w:tc>
          <w:tcPr>
            <w:tcW w:w="4260"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w:t>
            </w:r>
          </w:p>
        </w:tc>
        <w:tc>
          <w:tcPr>
            <w:tcW w:w="4260"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质量标准。</w:t>
            </w:r>
          </w:p>
        </w:tc>
        <w:tc>
          <w:tcPr>
            <w:tcW w:w="2535" w:type="dxa"/>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w:t>
            </w:r>
          </w:p>
        </w:tc>
        <w:tc>
          <w:tcPr>
            <w:tcW w:w="4260"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报价。</w:t>
            </w:r>
          </w:p>
        </w:tc>
        <w:tc>
          <w:tcPr>
            <w:tcW w:w="2535" w:type="dxa"/>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w:t>
            </w:r>
          </w:p>
        </w:tc>
        <w:tc>
          <w:tcPr>
            <w:tcW w:w="4260"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w:t>
            </w:r>
          </w:p>
        </w:tc>
        <w:tc>
          <w:tcPr>
            <w:tcW w:w="4260"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color w:val="auto"/>
                <w:szCs w:val="21"/>
              </w:rPr>
            </w:pPr>
          </w:p>
        </w:tc>
      </w:tr>
    </w:tbl>
    <w:p>
      <w:pPr>
        <w:pStyle w:val="9"/>
        <w:ind w:left="0" w:leftChars="0" w:firstLine="0" w:firstLineChars="0"/>
        <w:rPr>
          <w:color w:val="auto"/>
        </w:rPr>
      </w:pPr>
    </w:p>
    <w:p>
      <w:pPr>
        <w:adjustRightInd w:val="0"/>
        <w:snapToGrid w:val="0"/>
        <w:spacing w:line="360" w:lineRule="auto"/>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三、评审标准</w:t>
      </w:r>
    </w:p>
    <w:p>
      <w:pPr>
        <w:adjustRightInd w:val="0"/>
        <w:snapToGrid w:val="0"/>
        <w:spacing w:line="360" w:lineRule="auto"/>
        <w:ind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（一）评审方法及评审结果排列顺序规定如下：</w:t>
      </w:r>
    </w:p>
    <w:p>
      <w:pPr>
        <w:pStyle w:val="6"/>
        <w:spacing w:line="360" w:lineRule="auto"/>
        <w:ind w:firstLine="420" w:firstLineChars="200"/>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采用综合评分法的，评审结果按评审后得分由高到低顺序排列。得分相同的，按响应报价由低到高顺序排列。得分且响应报价相同的并列或者评审委员会根据</w:t>
      </w:r>
      <w:r>
        <w:rPr>
          <w:rFonts w:hint="eastAsia" w:asciiTheme="minorEastAsia" w:hAnsiTheme="minorEastAsia" w:eastAsiaTheme="minorEastAsia" w:cstheme="minorEastAsia"/>
          <w:bCs/>
          <w:color w:val="auto"/>
          <w:szCs w:val="21"/>
          <w:lang w:val="en-US" w:eastAsia="zh-CN"/>
        </w:rPr>
        <w:t>响应</w:t>
      </w:r>
      <w:r>
        <w:rPr>
          <w:rFonts w:hint="eastAsia" w:asciiTheme="minorEastAsia" w:hAnsiTheme="minorEastAsia" w:eastAsiaTheme="minorEastAsia" w:cstheme="minorEastAsia"/>
          <w:bCs/>
          <w:color w:val="auto"/>
          <w:szCs w:val="21"/>
        </w:rPr>
        <w:t>情况推荐评审结果排列顺序或予以授标建议。</w:t>
      </w:r>
    </w:p>
    <w:p>
      <w:pPr>
        <w:numPr>
          <w:ilvl w:val="0"/>
          <w:numId w:val="1"/>
        </w:numPr>
        <w:adjustRightInd w:val="0"/>
        <w:snapToGrid w:val="0"/>
        <w:spacing w:line="360" w:lineRule="auto"/>
        <w:ind w:firstLine="422"/>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评审因素及分值分配</w:t>
      </w:r>
    </w:p>
    <w:tbl>
      <w:tblPr>
        <w:tblStyle w:val="20"/>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评审因素</w:t>
            </w:r>
          </w:p>
        </w:tc>
        <w:tc>
          <w:tcPr>
            <w:tcW w:w="28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技术商务</w:t>
            </w:r>
          </w:p>
        </w:tc>
        <w:tc>
          <w:tcPr>
            <w:tcW w:w="29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分值</w:t>
            </w:r>
          </w:p>
        </w:tc>
        <w:tc>
          <w:tcPr>
            <w:tcW w:w="28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color w:val="auto"/>
                <w:szCs w:val="21"/>
              </w:rPr>
            </w:pPr>
            <w:r>
              <w:rPr>
                <w:rFonts w:hint="eastAsia" w:ascii="宋体" w:hAnsi="宋体" w:cs="宋体"/>
                <w:bCs/>
                <w:color w:val="auto"/>
                <w:szCs w:val="21"/>
                <w:lang w:val="en-US" w:eastAsia="zh-CN"/>
              </w:rPr>
              <w:t>90</w:t>
            </w:r>
            <w:r>
              <w:rPr>
                <w:rFonts w:hint="eastAsia" w:ascii="宋体" w:hAnsi="宋体" w:cs="宋体"/>
                <w:bCs/>
                <w:color w:val="auto"/>
                <w:szCs w:val="21"/>
              </w:rPr>
              <w:t>分</w:t>
            </w:r>
          </w:p>
        </w:tc>
        <w:tc>
          <w:tcPr>
            <w:tcW w:w="29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color w:val="auto"/>
                <w:szCs w:val="21"/>
              </w:rPr>
            </w:pPr>
            <w:r>
              <w:rPr>
                <w:rFonts w:hint="eastAsia" w:ascii="宋体" w:hAnsi="宋体" w:cs="宋体"/>
                <w:bCs/>
                <w:color w:val="auto"/>
                <w:szCs w:val="21"/>
                <w:lang w:val="en-US" w:eastAsia="zh-CN"/>
              </w:rPr>
              <w:t>10</w:t>
            </w:r>
            <w:r>
              <w:rPr>
                <w:rFonts w:hint="eastAsia" w:ascii="宋体" w:hAnsi="宋体" w:cs="宋体"/>
                <w:bCs/>
                <w:color w:val="auto"/>
                <w:szCs w:val="21"/>
              </w:rPr>
              <w:t>分</w:t>
            </w:r>
          </w:p>
        </w:tc>
      </w:tr>
      <w:bookmarkEnd w:id="87"/>
    </w:tbl>
    <w:p>
      <w:pPr>
        <w:adjustRightInd w:val="0"/>
        <w:snapToGrid w:val="0"/>
        <w:spacing w:line="360" w:lineRule="auto"/>
        <w:ind w:firstLine="422" w:firstLineChars="200"/>
        <w:outlineLvl w:val="1"/>
        <w:rPr>
          <w:rFonts w:asciiTheme="minorEastAsia" w:hAnsiTheme="minorEastAsia" w:eastAsiaTheme="minorEastAsia" w:cstheme="minorEastAsia"/>
          <w:b/>
          <w:color w:val="auto"/>
          <w:szCs w:val="21"/>
        </w:rPr>
      </w:pPr>
      <w:bookmarkStart w:id="88" w:name="_Toc246826118"/>
      <w:r>
        <w:rPr>
          <w:rFonts w:hint="eastAsia" w:asciiTheme="minorEastAsia" w:hAnsiTheme="minorEastAsia" w:eastAsiaTheme="minorEastAsia" w:cstheme="minorEastAsia"/>
          <w:b/>
          <w:color w:val="auto"/>
          <w:szCs w:val="21"/>
        </w:rPr>
        <w:t>（三）响应报价的评审要求</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1、价格核准：评审委员会对符合性审查合格的供应商的响应报价明细进行复核，看其是否有计算错误，如有则按供应商须知有关规定修正或澄清。</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2、价格评审：</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综合评分法，价格分统一采用低价优先法计算，即满足采购比选文件要求（通过资格审查和符合性审查）且评审价(指修正及价格扣除后的价格，下同)最低的为评审基准价，其价格分为满分。其他供应商的价格分统一按照下列公式计算：</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价格评分=（评审基准价／评审价）×价格分值</w:t>
      </w:r>
    </w:p>
    <w:p>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3</w:t>
      </w:r>
      <w:r>
        <w:rPr>
          <w:rFonts w:hint="eastAsia" w:asciiTheme="minorEastAsia" w:hAnsiTheme="minorEastAsia" w:eastAsiaTheme="minorEastAsia" w:cstheme="minorEastAsia"/>
          <w:bCs/>
          <w:color w:val="auto"/>
          <w:szCs w:val="21"/>
        </w:rPr>
        <w:t>、在评审过程中，不得去掉报价中的最高报价和最低报价。</w:t>
      </w:r>
    </w:p>
    <w:p>
      <w:pPr>
        <w:adjustRightInd w:val="0"/>
        <w:snapToGrid w:val="0"/>
        <w:spacing w:line="360" w:lineRule="auto"/>
        <w:ind w:firstLine="561"/>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（四）评审细则</w:t>
      </w:r>
    </w:p>
    <w:tbl>
      <w:tblPr>
        <w:tblStyle w:val="20"/>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auto"/>
                <w:sz w:val="20"/>
                <w:szCs w:val="20"/>
              </w:rPr>
            </w:pPr>
            <w:r>
              <w:rPr>
                <w:rFonts w:hint="eastAsia" w:ascii="宋体" w:hAnsi="宋体" w:cs="宋体"/>
                <w:b/>
                <w:color w:val="auto"/>
                <w:sz w:val="20"/>
                <w:szCs w:val="20"/>
              </w:rPr>
              <w:t>条款号</w:t>
            </w: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auto"/>
                <w:sz w:val="20"/>
                <w:szCs w:val="20"/>
              </w:rPr>
            </w:pPr>
            <w:r>
              <w:rPr>
                <w:rFonts w:hint="eastAsia" w:ascii="宋体" w:hAnsi="宋体" w:cs="宋体"/>
                <w:b/>
                <w:color w:val="auto"/>
                <w:sz w:val="20"/>
                <w:szCs w:val="20"/>
              </w:rPr>
              <w:t>评审因素</w:t>
            </w:r>
          </w:p>
        </w:tc>
        <w:tc>
          <w:tcPr>
            <w:tcW w:w="63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auto"/>
                <w:sz w:val="20"/>
                <w:szCs w:val="20"/>
              </w:rPr>
            </w:pPr>
            <w:r>
              <w:rPr>
                <w:rFonts w:hint="eastAsia" w:ascii="宋体" w:hAnsi="宋体" w:cs="宋体"/>
                <w:b/>
                <w:color w:val="auto"/>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分值构成</w:t>
            </w:r>
          </w:p>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0"/>
                <w:szCs w:val="20"/>
              </w:rPr>
              <w:t>(总分100分)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价格评审</w:t>
            </w:r>
            <w:r>
              <w:rPr>
                <w:rFonts w:hint="eastAsia" w:asciiTheme="minorEastAsia" w:hAnsiTheme="minorEastAsia" w:eastAsiaTheme="minorEastAsia" w:cstheme="minorEastAsia"/>
                <w:color w:val="auto"/>
                <w:kern w:val="0"/>
                <w:sz w:val="21"/>
                <w:szCs w:val="21"/>
                <w:u w:val="none"/>
                <w:lang w:val="en-US" w:eastAsia="zh-CN"/>
              </w:rPr>
              <w:t>1</w:t>
            </w:r>
            <w:r>
              <w:rPr>
                <w:rFonts w:hint="eastAsia" w:asciiTheme="minorEastAsia" w:hAnsiTheme="minorEastAsia" w:eastAsiaTheme="minorEastAsia" w:cstheme="minorEastAsia"/>
                <w:color w:val="auto"/>
                <w:kern w:val="0"/>
                <w:sz w:val="21"/>
                <w:szCs w:val="21"/>
                <w:u w:val="none"/>
              </w:rPr>
              <w:t>0</w:t>
            </w:r>
            <w:r>
              <w:rPr>
                <w:rFonts w:hint="eastAsia" w:asciiTheme="minorEastAsia" w:hAnsiTheme="minorEastAsia" w:eastAsiaTheme="minorEastAsia" w:cstheme="minorEastAsia"/>
                <w:color w:val="auto"/>
                <w:kern w:val="0"/>
                <w:sz w:val="21"/>
                <w:szCs w:val="21"/>
              </w:rPr>
              <w:t>分</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技术部分</w:t>
            </w:r>
            <w:r>
              <w:rPr>
                <w:rFonts w:hint="eastAsia" w:asciiTheme="minorEastAsia" w:hAnsiTheme="minorEastAsia" w:eastAsiaTheme="minorEastAsia" w:cstheme="minorEastAsia"/>
                <w:color w:val="auto"/>
                <w:kern w:val="0"/>
                <w:sz w:val="21"/>
                <w:szCs w:val="21"/>
                <w:u w:val="none"/>
                <w:lang w:val="en-US" w:eastAsia="zh-CN"/>
              </w:rPr>
              <w:t>6</w:t>
            </w:r>
            <w:r>
              <w:rPr>
                <w:rFonts w:hint="eastAsia" w:asciiTheme="minorEastAsia" w:hAnsiTheme="minorEastAsia" w:eastAsiaTheme="minorEastAsia" w:cstheme="minorEastAsia"/>
                <w:color w:val="auto"/>
                <w:kern w:val="0"/>
                <w:sz w:val="21"/>
                <w:szCs w:val="21"/>
                <w:u w:val="none"/>
              </w:rPr>
              <w:t>0</w:t>
            </w:r>
            <w:r>
              <w:rPr>
                <w:rFonts w:hint="eastAsia" w:asciiTheme="minorEastAsia" w:hAnsiTheme="minorEastAsia" w:eastAsiaTheme="minorEastAsia" w:cstheme="minorEastAsia"/>
                <w:color w:val="auto"/>
                <w:kern w:val="0"/>
                <w:sz w:val="21"/>
                <w:szCs w:val="21"/>
              </w:rPr>
              <w:t>分</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 w:val="21"/>
                <w:szCs w:val="21"/>
              </w:rPr>
              <w:t>商务部分</w:t>
            </w:r>
            <w:r>
              <w:rPr>
                <w:rFonts w:hint="eastAsia" w:asciiTheme="minorEastAsia" w:hAnsiTheme="minorEastAsia" w:eastAsiaTheme="minorEastAsia" w:cstheme="minorEastAsia"/>
                <w:color w:val="auto"/>
                <w:kern w:val="0"/>
                <w:sz w:val="21"/>
                <w:szCs w:val="21"/>
                <w:u w:val="none"/>
                <w:lang w:val="en-US" w:eastAsia="zh-CN"/>
              </w:rPr>
              <w:t>3</w:t>
            </w:r>
            <w:r>
              <w:rPr>
                <w:rFonts w:hint="eastAsia" w:asciiTheme="minorEastAsia" w:hAnsiTheme="minorEastAsia" w:eastAsiaTheme="minorEastAsia" w:cstheme="minorEastAsia"/>
                <w:color w:val="auto"/>
                <w:kern w:val="0"/>
                <w:sz w:val="21"/>
                <w:szCs w:val="21"/>
                <w:u w:val="none"/>
              </w:rPr>
              <w:t>0</w:t>
            </w:r>
            <w:r>
              <w:rPr>
                <w:rFonts w:hint="eastAsia" w:asciiTheme="minorEastAsia" w:hAnsiTheme="minorEastAsia" w:eastAsiaTheme="minorEastAsia" w:cstheme="minorEastAsia"/>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价格评审</w:t>
            </w:r>
          </w:p>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1</w:t>
            </w:r>
            <w:r>
              <w:rPr>
                <w:rFonts w:asciiTheme="minorEastAsia" w:hAnsiTheme="minorEastAsia" w:eastAsiaTheme="minorEastAsia" w:cstheme="minorEastAsia"/>
                <w:color w:val="auto"/>
                <w:sz w:val="20"/>
                <w:szCs w:val="20"/>
              </w:rPr>
              <w:t>0</w:t>
            </w:r>
            <w:r>
              <w:rPr>
                <w:rFonts w:hint="eastAsia" w:asciiTheme="minorEastAsia" w:hAnsiTheme="minorEastAsia" w:eastAsiaTheme="minorEastAsia" w:cstheme="minorEastAsia"/>
                <w:color w:val="auto"/>
                <w:sz w:val="20"/>
                <w:szCs w:val="20"/>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响应报价得分以满分</w:t>
            </w:r>
            <w:r>
              <w:rPr>
                <w:rFonts w:hint="eastAsia" w:asciiTheme="minorEastAsia" w:hAnsiTheme="minorEastAsia" w:eastAsiaTheme="minorEastAsia" w:cstheme="minorEastAsia"/>
                <w:color w:val="auto"/>
                <w:kern w:val="0"/>
                <w:sz w:val="21"/>
                <w:szCs w:val="21"/>
                <w:u w:val="none"/>
                <w:lang w:val="en-US" w:eastAsia="zh-CN"/>
              </w:rPr>
              <w:t>1</w:t>
            </w:r>
            <w:r>
              <w:rPr>
                <w:rFonts w:hint="eastAsia" w:asciiTheme="minorEastAsia" w:hAnsiTheme="minorEastAsia" w:eastAsiaTheme="minorEastAsia" w:cstheme="minorEastAsia"/>
                <w:color w:val="auto"/>
                <w:kern w:val="0"/>
                <w:sz w:val="21"/>
                <w:szCs w:val="21"/>
                <w:u w:val="none"/>
              </w:rPr>
              <w:t>0分</w:t>
            </w:r>
            <w:r>
              <w:rPr>
                <w:rFonts w:hint="eastAsia" w:asciiTheme="minorEastAsia" w:hAnsiTheme="minorEastAsia" w:eastAsiaTheme="minorEastAsia" w:cstheme="minorEastAsia"/>
                <w:color w:val="auto"/>
                <w:kern w:val="0"/>
                <w:sz w:val="21"/>
                <w:szCs w:val="21"/>
              </w:rPr>
              <w:t>计算。满足招标文件要求且响应报价最低的响应报价为评审基准价，其价格分为满分。其他供应商的价格分统一按照下列公式计算：</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响应报价得分=（评审基准价/响应报价）×</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0</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 w:val="21"/>
                <w:szCs w:val="21"/>
              </w:rPr>
              <w:t>财政部印发财政部令87号《政府采购货物和服务招标投标管理办法》第六十条：评审委员会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委员会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3" w:type="dxa"/>
            <w:vMerge w:val="restart"/>
            <w:tcBorders>
              <w:top w:val="single" w:color="auto" w:sz="4" w:space="0"/>
              <w:left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技术部分</w:t>
            </w:r>
            <w:r>
              <w:rPr>
                <w:rFonts w:hint="eastAsia" w:ascii="宋体" w:hAnsi="宋体" w:cs="宋体"/>
                <w:color w:val="auto"/>
                <w:sz w:val="20"/>
                <w:szCs w:val="20"/>
              </w:rPr>
              <w:t>（</w:t>
            </w:r>
            <w:r>
              <w:rPr>
                <w:rFonts w:hint="eastAsia" w:ascii="宋体" w:hAnsi="宋体" w:cs="宋体"/>
                <w:color w:val="auto"/>
                <w:sz w:val="20"/>
                <w:szCs w:val="20"/>
                <w:lang w:val="en-US" w:eastAsia="zh-CN"/>
              </w:rPr>
              <w:t>6</w:t>
            </w:r>
            <w:r>
              <w:rPr>
                <w:rFonts w:ascii="宋体" w:hAnsi="宋体" w:cs="宋体"/>
                <w:color w:val="auto"/>
                <w:sz w:val="20"/>
                <w:szCs w:val="20"/>
              </w:rPr>
              <w:t>0</w:t>
            </w:r>
            <w:r>
              <w:rPr>
                <w:rFonts w:hint="eastAsia" w:ascii="宋体" w:hAnsi="宋体" w:cs="宋体"/>
                <w:color w:val="auto"/>
                <w:sz w:val="20"/>
                <w:szCs w:val="20"/>
              </w:rPr>
              <w:t>分）</w:t>
            </w:r>
          </w:p>
          <w:p>
            <w:pPr>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lang w:val="en-US" w:eastAsia="zh-CN"/>
              </w:rPr>
              <w:t>服务方案</w:t>
            </w:r>
            <w:r>
              <w:rPr>
                <w:rFonts w:hint="default" w:asciiTheme="minorEastAsia" w:hAnsiTheme="minorEastAsia" w:eastAsiaTheme="minorEastAsia" w:cstheme="minorEastAsia"/>
                <w:color w:val="auto"/>
                <w:kern w:val="0"/>
                <w:sz w:val="21"/>
                <w:szCs w:val="21"/>
                <w:lang w:val="en-US" w:eastAsia="zh-CN"/>
              </w:rPr>
              <w:br w:type="textWrapping"/>
            </w:r>
            <w:r>
              <w:rPr>
                <w:rFonts w:hint="eastAsia" w:ascii="宋体" w:hAnsi="宋体" w:cs="宋体"/>
                <w:color w:val="auto"/>
                <w:sz w:val="20"/>
                <w:szCs w:val="20"/>
              </w:rPr>
              <w:t>（</w:t>
            </w:r>
            <w:r>
              <w:rPr>
                <w:rFonts w:hint="eastAsia" w:ascii="宋体" w:hAnsi="宋体" w:cs="宋体"/>
                <w:color w:val="auto"/>
                <w:sz w:val="20"/>
                <w:szCs w:val="20"/>
                <w:lang w:val="en-US" w:eastAsia="zh-CN"/>
              </w:rPr>
              <w:t>30</w:t>
            </w:r>
            <w:r>
              <w:rPr>
                <w:rFonts w:hint="eastAsia" w:ascii="宋体" w:hAnsi="宋体" w:cs="宋体"/>
                <w:color w:val="auto"/>
                <w:sz w:val="20"/>
                <w:szCs w:val="20"/>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hint="default"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rPr>
              <w:t>供应商提交的服务方案对本项目需求的理解程度，具有针对性、思路及逻辑清晰情况。</w:t>
            </w:r>
          </w:p>
          <w:p>
            <w:pPr>
              <w:rPr>
                <w:rFonts w:hint="default"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default" w:asciiTheme="minorEastAsia" w:hAnsiTheme="minorEastAsia" w:eastAsiaTheme="minorEastAsia" w:cstheme="minorEastAsia"/>
                <w:color w:val="auto"/>
                <w:kern w:val="0"/>
                <w:sz w:val="21"/>
                <w:szCs w:val="21"/>
              </w:rPr>
              <w:t>非常具有针对性、思路及逻辑非常清晰：得</w:t>
            </w:r>
            <w:r>
              <w:rPr>
                <w:rFonts w:hint="eastAsia" w:asciiTheme="minorEastAsia" w:hAnsiTheme="minorEastAsia" w:eastAsiaTheme="minorEastAsia" w:cstheme="minorEastAsia"/>
                <w:color w:val="auto"/>
                <w:kern w:val="0"/>
                <w:sz w:val="21"/>
                <w:szCs w:val="21"/>
                <w:lang w:val="en-US" w:eastAsia="zh-CN"/>
              </w:rPr>
              <w:t>21</w:t>
            </w:r>
            <w:r>
              <w:rPr>
                <w:rFonts w:hint="default"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30</w:t>
            </w:r>
            <w:r>
              <w:rPr>
                <w:rFonts w:hint="default" w:asciiTheme="minorEastAsia" w:hAnsiTheme="minorEastAsia" w:eastAsiaTheme="minorEastAsia" w:cstheme="minorEastAsia"/>
                <w:color w:val="auto"/>
                <w:kern w:val="0"/>
                <w:sz w:val="21"/>
                <w:szCs w:val="21"/>
              </w:rPr>
              <w:t>分；</w:t>
            </w:r>
          </w:p>
          <w:p>
            <w:pPr>
              <w:rPr>
                <w:rFonts w:hint="default"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default" w:asciiTheme="minorEastAsia" w:hAnsiTheme="minorEastAsia" w:eastAsiaTheme="minorEastAsia" w:cstheme="minorEastAsia"/>
                <w:color w:val="auto"/>
                <w:kern w:val="0"/>
                <w:sz w:val="21"/>
                <w:szCs w:val="21"/>
              </w:rPr>
              <w:t>具有针对性、思路及逻辑较清晰：得</w:t>
            </w:r>
            <w:r>
              <w:rPr>
                <w:rFonts w:hint="eastAsia" w:asciiTheme="minorEastAsia" w:hAnsiTheme="minorEastAsia" w:eastAsiaTheme="minorEastAsia" w:cstheme="minorEastAsia"/>
                <w:color w:val="auto"/>
                <w:kern w:val="0"/>
                <w:sz w:val="21"/>
                <w:szCs w:val="21"/>
                <w:lang w:val="en-US" w:eastAsia="zh-CN"/>
              </w:rPr>
              <w:t>11</w:t>
            </w:r>
            <w:r>
              <w:rPr>
                <w:rFonts w:hint="default"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20</w:t>
            </w:r>
            <w:r>
              <w:rPr>
                <w:rFonts w:hint="default" w:asciiTheme="minorEastAsia" w:hAnsiTheme="minorEastAsia" w:eastAsiaTheme="minorEastAsia" w:cstheme="minorEastAsia"/>
                <w:color w:val="auto"/>
                <w:kern w:val="0"/>
                <w:sz w:val="21"/>
                <w:szCs w:val="21"/>
              </w:rPr>
              <w:t>分；</w:t>
            </w:r>
          </w:p>
          <w:p>
            <w:p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3.</w:t>
            </w:r>
            <w:r>
              <w:rPr>
                <w:rFonts w:hint="default" w:asciiTheme="minorEastAsia" w:hAnsiTheme="minorEastAsia" w:eastAsiaTheme="minorEastAsia" w:cstheme="minorEastAsia"/>
                <w:color w:val="auto"/>
                <w:kern w:val="0"/>
                <w:sz w:val="21"/>
                <w:szCs w:val="21"/>
              </w:rPr>
              <w:t>针对性不强、思路及逻辑模糊：得</w:t>
            </w:r>
            <w:r>
              <w:rPr>
                <w:rFonts w:hint="eastAsia" w:asciiTheme="minorEastAsia" w:hAnsiTheme="minorEastAsia" w:eastAsiaTheme="minorEastAsia" w:cstheme="minorEastAsia"/>
                <w:color w:val="auto"/>
                <w:kern w:val="0"/>
                <w:sz w:val="21"/>
                <w:szCs w:val="21"/>
                <w:lang w:val="en-US" w:eastAsia="zh-CN"/>
              </w:rPr>
              <w:t>1</w:t>
            </w:r>
            <w:r>
              <w:rPr>
                <w:rFonts w:hint="default"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10</w:t>
            </w:r>
            <w:r>
              <w:rPr>
                <w:rFonts w:hint="default"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kern w:val="0"/>
                <w:sz w:val="21"/>
                <w:szCs w:val="21"/>
                <w:lang w:eastAsia="zh-CN"/>
              </w:rPr>
              <w:t>；</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w:t>
            </w:r>
            <w:r>
              <w:rPr>
                <w:rFonts w:hint="default" w:asciiTheme="minorEastAsia" w:hAnsiTheme="minorEastAsia" w:eastAsiaTheme="minorEastAsia" w:cstheme="minorEastAsia"/>
                <w:color w:val="auto"/>
                <w:kern w:val="0"/>
                <w:sz w:val="21"/>
                <w:szCs w:val="21"/>
              </w:rPr>
              <w:t>不提供者得0分。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lang w:eastAsia="zh-CN"/>
              </w:rPr>
              <w:t>实施</w:t>
            </w:r>
            <w:r>
              <w:rPr>
                <w:rFonts w:hint="default" w:asciiTheme="minorEastAsia" w:hAnsiTheme="minorEastAsia" w:eastAsiaTheme="minorEastAsia" w:cstheme="minorEastAsia"/>
                <w:color w:val="auto"/>
                <w:kern w:val="0"/>
                <w:sz w:val="21"/>
                <w:szCs w:val="21"/>
              </w:rPr>
              <w:t>方案</w:t>
            </w:r>
            <w:r>
              <w:rPr>
                <w:rFonts w:hint="default" w:asciiTheme="minorEastAsia" w:hAnsiTheme="minorEastAsia" w:eastAsiaTheme="minorEastAsia" w:cstheme="minorEastAsia"/>
                <w:color w:val="auto"/>
                <w:kern w:val="0"/>
                <w:sz w:val="21"/>
                <w:szCs w:val="21"/>
              </w:rPr>
              <w:br w:type="textWrapping"/>
            </w:r>
            <w:r>
              <w:rPr>
                <w:rFonts w:hint="eastAsia" w:ascii="宋体" w:hAnsi="宋体" w:cs="宋体"/>
                <w:color w:val="auto"/>
                <w:sz w:val="20"/>
                <w:szCs w:val="20"/>
              </w:rPr>
              <w:t>（</w:t>
            </w:r>
            <w:r>
              <w:rPr>
                <w:rFonts w:hint="eastAsia" w:ascii="宋体" w:hAnsi="宋体" w:cs="宋体"/>
                <w:color w:val="auto"/>
                <w:sz w:val="20"/>
                <w:szCs w:val="20"/>
                <w:lang w:val="en-US" w:eastAsia="zh-CN"/>
              </w:rPr>
              <w:t>30</w:t>
            </w:r>
            <w:r>
              <w:rPr>
                <w:rFonts w:hint="eastAsia" w:ascii="宋体" w:hAnsi="宋体" w:cs="宋体"/>
                <w:color w:val="auto"/>
                <w:sz w:val="20"/>
                <w:szCs w:val="20"/>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hint="default"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rPr>
              <w:t>园区统计服务项目</w:t>
            </w:r>
            <w:r>
              <w:rPr>
                <w:rFonts w:hint="default" w:asciiTheme="minorEastAsia" w:hAnsiTheme="minorEastAsia" w:eastAsiaTheme="minorEastAsia" w:cstheme="minorEastAsia"/>
                <w:color w:val="auto"/>
                <w:kern w:val="0"/>
                <w:sz w:val="21"/>
                <w:szCs w:val="21"/>
                <w:lang w:eastAsia="zh-CN"/>
              </w:rPr>
              <w:t>实施</w:t>
            </w:r>
            <w:r>
              <w:rPr>
                <w:rFonts w:hint="default" w:asciiTheme="minorEastAsia" w:hAnsiTheme="minorEastAsia" w:eastAsiaTheme="minorEastAsia" w:cstheme="minorEastAsia"/>
                <w:color w:val="auto"/>
                <w:kern w:val="0"/>
                <w:sz w:val="21"/>
                <w:szCs w:val="21"/>
              </w:rPr>
              <w:t>方案能体现专业性、科学性和可操作性，进度安排合理，并能积极配合各项工作等。</w:t>
            </w:r>
          </w:p>
          <w:p>
            <w:pPr>
              <w:rPr>
                <w:rFonts w:hint="default"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rPr>
              <w:t>1.实施方案体现很强的专业性、科学性、可操作性，进度安排合理、能积极配合各项工作得</w:t>
            </w:r>
            <w:r>
              <w:rPr>
                <w:rFonts w:hint="eastAsia" w:asciiTheme="minorEastAsia" w:hAnsiTheme="minorEastAsia" w:eastAsiaTheme="minorEastAsia" w:cstheme="minorEastAsia"/>
                <w:color w:val="auto"/>
                <w:kern w:val="0"/>
                <w:sz w:val="21"/>
                <w:szCs w:val="21"/>
                <w:lang w:val="en-US" w:eastAsia="zh-CN"/>
              </w:rPr>
              <w:t>21</w:t>
            </w:r>
            <w:r>
              <w:rPr>
                <w:rFonts w:hint="default"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30</w:t>
            </w:r>
            <w:r>
              <w:rPr>
                <w:rFonts w:hint="default" w:asciiTheme="minorEastAsia" w:hAnsiTheme="minorEastAsia" w:eastAsiaTheme="minorEastAsia" w:cstheme="minorEastAsia"/>
                <w:color w:val="auto"/>
                <w:kern w:val="0"/>
                <w:sz w:val="21"/>
                <w:szCs w:val="21"/>
              </w:rPr>
              <w:t>分；</w:t>
            </w:r>
          </w:p>
          <w:p>
            <w:pPr>
              <w:rPr>
                <w:rFonts w:hint="default"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rPr>
              <w:t>2.实施方案体现较强的专业性、科学性、可操作性，进度安排较合理、能配合各项工作得</w:t>
            </w:r>
            <w:r>
              <w:rPr>
                <w:rFonts w:hint="eastAsia" w:asciiTheme="minorEastAsia" w:hAnsiTheme="minorEastAsia" w:eastAsiaTheme="minorEastAsia" w:cstheme="minorEastAsia"/>
                <w:color w:val="auto"/>
                <w:kern w:val="0"/>
                <w:sz w:val="21"/>
                <w:szCs w:val="21"/>
                <w:lang w:val="en-US" w:eastAsia="zh-CN"/>
              </w:rPr>
              <w:t>11</w:t>
            </w:r>
            <w:r>
              <w:rPr>
                <w:rFonts w:hint="default"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20</w:t>
            </w:r>
            <w:r>
              <w:rPr>
                <w:rFonts w:hint="default" w:asciiTheme="minorEastAsia" w:hAnsiTheme="minorEastAsia" w:eastAsiaTheme="minorEastAsia" w:cstheme="minorEastAsia"/>
                <w:color w:val="auto"/>
                <w:kern w:val="0"/>
                <w:sz w:val="21"/>
                <w:szCs w:val="21"/>
              </w:rPr>
              <w:t>分；</w:t>
            </w:r>
          </w:p>
          <w:p>
            <w:pPr>
              <w:rPr>
                <w:rFonts w:hint="default"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rPr>
              <w:t>3.实施方案基本可行（一般）得</w:t>
            </w:r>
            <w:r>
              <w:rPr>
                <w:rFonts w:hint="eastAsia" w:asciiTheme="minorEastAsia" w:hAnsiTheme="minorEastAsia" w:eastAsiaTheme="minorEastAsia" w:cstheme="minorEastAsia"/>
                <w:color w:val="auto"/>
                <w:kern w:val="0"/>
                <w:sz w:val="21"/>
                <w:szCs w:val="21"/>
                <w:lang w:val="en-US" w:eastAsia="zh-CN"/>
              </w:rPr>
              <w:t>1</w:t>
            </w:r>
            <w:r>
              <w:rPr>
                <w:rFonts w:hint="default"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10</w:t>
            </w:r>
            <w:r>
              <w:rPr>
                <w:rFonts w:hint="default" w:asciiTheme="minorEastAsia" w:hAnsiTheme="minorEastAsia" w:eastAsiaTheme="minorEastAsia" w:cstheme="minorEastAsia"/>
                <w:color w:val="auto"/>
                <w:kern w:val="0"/>
                <w:sz w:val="21"/>
                <w:szCs w:val="21"/>
              </w:rPr>
              <w:t>分；</w:t>
            </w:r>
          </w:p>
          <w:p>
            <w:pPr>
              <w:rPr>
                <w:rFonts w:hint="eastAsia"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rPr>
              <w:t>4.不提供者得0分。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color w:val="auto"/>
                <w:sz w:val="20"/>
                <w:szCs w:val="20"/>
              </w:rPr>
            </w:pPr>
            <w:r>
              <w:rPr>
                <w:rFonts w:hint="eastAsia" w:ascii="宋体" w:hAnsi="宋体" w:cs="宋体"/>
                <w:color w:val="auto"/>
                <w:sz w:val="20"/>
                <w:szCs w:val="20"/>
              </w:rPr>
              <w:t>商务部分</w:t>
            </w:r>
          </w:p>
          <w:p>
            <w:pPr>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3</w:t>
            </w:r>
            <w:r>
              <w:rPr>
                <w:rFonts w:ascii="宋体" w:hAnsi="宋体" w:cs="宋体"/>
                <w:color w:val="auto"/>
                <w:sz w:val="20"/>
                <w:szCs w:val="20"/>
              </w:rPr>
              <w:t>0</w:t>
            </w:r>
            <w:r>
              <w:rPr>
                <w:rFonts w:hint="eastAsia" w:ascii="宋体" w:hAnsi="宋体" w:cs="宋体"/>
                <w:color w:val="auto"/>
                <w:sz w:val="20"/>
                <w:szCs w:val="20"/>
              </w:rPr>
              <w:t>分）</w:t>
            </w: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rPr>
              <w:t>项目团队</w:t>
            </w:r>
            <w:r>
              <w:rPr>
                <w:rFonts w:hint="default" w:asciiTheme="minorEastAsia" w:hAnsiTheme="minorEastAsia" w:eastAsiaTheme="minorEastAsia" w:cstheme="minorEastAsia"/>
                <w:color w:val="auto"/>
                <w:kern w:val="0"/>
                <w:sz w:val="21"/>
                <w:szCs w:val="21"/>
              </w:rPr>
              <w:br w:type="textWrapping"/>
            </w:r>
            <w:r>
              <w:rPr>
                <w:rFonts w:hint="eastAsia" w:ascii="宋体" w:hAnsi="宋体" w:cs="宋体"/>
                <w:color w:val="auto"/>
                <w:sz w:val="20"/>
                <w:szCs w:val="20"/>
              </w:rPr>
              <w:t>（</w:t>
            </w:r>
            <w:r>
              <w:rPr>
                <w:rFonts w:hint="eastAsia" w:ascii="宋体" w:hAnsi="宋体" w:cs="宋体"/>
                <w:color w:val="auto"/>
                <w:sz w:val="20"/>
                <w:szCs w:val="20"/>
                <w:lang w:val="en-US" w:eastAsia="zh-CN"/>
              </w:rPr>
              <w:t>15</w:t>
            </w:r>
            <w:r>
              <w:rPr>
                <w:rFonts w:hint="eastAsia" w:ascii="宋体" w:hAnsi="宋体" w:cs="宋体"/>
                <w:color w:val="auto"/>
                <w:sz w:val="20"/>
                <w:szCs w:val="20"/>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rPr>
              <w:t>项目组成人员具有中级（含）及以上职称的，每提供1个得</w:t>
            </w:r>
            <w:r>
              <w:rPr>
                <w:rFonts w:hint="eastAsia" w:asciiTheme="minorEastAsia" w:hAnsiTheme="minorEastAsia" w:eastAsiaTheme="minorEastAsia" w:cstheme="minorEastAsia"/>
                <w:color w:val="auto"/>
                <w:kern w:val="0"/>
                <w:sz w:val="21"/>
                <w:szCs w:val="21"/>
                <w:lang w:val="en-US" w:eastAsia="zh-CN"/>
              </w:rPr>
              <w:t>5</w:t>
            </w:r>
            <w:r>
              <w:rPr>
                <w:rFonts w:hint="default" w:asciiTheme="minorEastAsia" w:hAnsiTheme="minorEastAsia" w:eastAsiaTheme="minorEastAsia" w:cstheme="minorEastAsia"/>
                <w:color w:val="auto"/>
                <w:kern w:val="0"/>
                <w:sz w:val="21"/>
                <w:szCs w:val="21"/>
              </w:rPr>
              <w:t>分，满分</w:t>
            </w:r>
            <w:r>
              <w:rPr>
                <w:rFonts w:hint="eastAsia" w:asciiTheme="minorEastAsia" w:hAnsiTheme="minorEastAsia" w:eastAsiaTheme="minorEastAsia" w:cstheme="minorEastAsia"/>
                <w:color w:val="auto"/>
                <w:kern w:val="0"/>
                <w:sz w:val="21"/>
                <w:szCs w:val="21"/>
                <w:lang w:val="en-US" w:eastAsia="zh-CN"/>
              </w:rPr>
              <w:t>1</w:t>
            </w:r>
            <w:r>
              <w:rPr>
                <w:rFonts w:hint="default" w:asciiTheme="minorEastAsia" w:hAnsiTheme="minorEastAsia" w:eastAsiaTheme="minorEastAsia" w:cstheme="minorEastAsia"/>
                <w:color w:val="auto"/>
                <w:kern w:val="0"/>
                <w:sz w:val="21"/>
                <w:szCs w:val="21"/>
              </w:rPr>
              <w:t>5分。须提供毕业证书、身份证、职称证书或相应职称证明材料及本单位</w:t>
            </w:r>
            <w:r>
              <w:rPr>
                <w:rFonts w:hint="eastAsia" w:asciiTheme="minorEastAsia" w:hAnsiTheme="minorEastAsia" w:eastAsiaTheme="minorEastAsia" w:cstheme="minorEastAsia"/>
                <w:color w:val="auto"/>
                <w:kern w:val="0"/>
                <w:sz w:val="21"/>
                <w:szCs w:val="21"/>
                <w:lang w:val="en-US" w:eastAsia="zh-CN"/>
              </w:rPr>
              <w:t>2022年第三季度</w:t>
            </w:r>
            <w:r>
              <w:rPr>
                <w:rFonts w:hint="default" w:asciiTheme="minorEastAsia" w:hAnsiTheme="minorEastAsia" w:eastAsiaTheme="minorEastAsia" w:cstheme="minorEastAsia"/>
                <w:color w:val="auto"/>
                <w:kern w:val="0"/>
                <w:sz w:val="21"/>
                <w:szCs w:val="21"/>
              </w:rPr>
              <w:t>的社保缴纳证明复印件，不提供不得分。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continue"/>
            <w:tcBorders>
              <w:left w:val="single" w:color="auto" w:sz="4" w:space="0"/>
              <w:right w:val="single" w:color="auto" w:sz="4" w:space="0"/>
            </w:tcBorders>
            <w:noWrap/>
            <w:vAlign w:val="center"/>
          </w:tcPr>
          <w:p>
            <w:pPr>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rPr>
              <w:t>项目业绩</w:t>
            </w:r>
            <w:r>
              <w:rPr>
                <w:rFonts w:hint="default" w:asciiTheme="minorEastAsia" w:hAnsiTheme="minorEastAsia" w:eastAsiaTheme="minorEastAsia" w:cstheme="minorEastAsia"/>
                <w:color w:val="auto"/>
                <w:kern w:val="0"/>
                <w:sz w:val="21"/>
                <w:szCs w:val="21"/>
              </w:rPr>
              <w:br w:type="textWrapping"/>
            </w:r>
            <w:r>
              <w:rPr>
                <w:rFonts w:hint="eastAsia" w:ascii="宋体" w:hAnsi="宋体" w:cs="宋体"/>
                <w:color w:val="auto"/>
                <w:sz w:val="20"/>
                <w:szCs w:val="20"/>
              </w:rPr>
              <w:t>（</w:t>
            </w:r>
            <w:r>
              <w:rPr>
                <w:rFonts w:hint="eastAsia" w:ascii="宋体" w:hAnsi="宋体" w:cs="宋体"/>
                <w:color w:val="auto"/>
                <w:sz w:val="20"/>
                <w:szCs w:val="20"/>
                <w:lang w:val="en-US" w:eastAsia="zh-CN"/>
              </w:rPr>
              <w:t>15</w:t>
            </w:r>
            <w:r>
              <w:rPr>
                <w:rFonts w:hint="eastAsia" w:ascii="宋体" w:hAnsi="宋体" w:cs="宋体"/>
                <w:color w:val="auto"/>
                <w:sz w:val="20"/>
                <w:szCs w:val="20"/>
              </w:rPr>
              <w:t>分）</w:t>
            </w:r>
          </w:p>
          <w:p>
            <w:pPr>
              <w:jc w:val="center"/>
              <w:rPr>
                <w:rFonts w:hint="eastAsia" w:asciiTheme="minorEastAsia" w:hAnsiTheme="minorEastAsia" w:eastAsiaTheme="minorEastAsia" w:cstheme="minorEastAsia"/>
                <w:color w:val="auto"/>
                <w:kern w:val="0"/>
                <w:sz w:val="21"/>
                <w:szCs w:val="21"/>
              </w:rPr>
            </w:pPr>
          </w:p>
        </w:tc>
        <w:tc>
          <w:tcPr>
            <w:tcW w:w="6369" w:type="dxa"/>
            <w:tcBorders>
              <w:top w:val="single" w:color="auto" w:sz="4" w:space="0"/>
              <w:left w:val="single" w:color="auto" w:sz="4" w:space="0"/>
              <w:bottom w:val="single" w:color="auto" w:sz="4" w:space="0"/>
              <w:right w:val="single" w:color="auto" w:sz="4" w:space="0"/>
            </w:tcBorders>
            <w:noWrap/>
            <w:vAlign w:val="center"/>
          </w:tcPr>
          <w:p>
            <w:pPr>
              <w:rPr>
                <w:rFonts w:hint="default"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2019年、2020年、2021年</w:t>
            </w:r>
            <w:r>
              <w:rPr>
                <w:rFonts w:hint="default" w:asciiTheme="minorEastAsia" w:hAnsiTheme="minorEastAsia" w:eastAsiaTheme="minorEastAsia" w:cstheme="minorEastAsia"/>
                <w:color w:val="auto"/>
                <w:kern w:val="0"/>
                <w:sz w:val="21"/>
                <w:szCs w:val="21"/>
              </w:rPr>
              <w:t>近3年以来从事过园区统计调查等相关业绩的（以合同签订时间为准），每个得</w:t>
            </w:r>
            <w:r>
              <w:rPr>
                <w:rFonts w:hint="eastAsia" w:asciiTheme="minorEastAsia" w:hAnsiTheme="minorEastAsia" w:eastAsiaTheme="minorEastAsia" w:cstheme="minorEastAsia"/>
                <w:color w:val="auto"/>
                <w:kern w:val="0"/>
                <w:sz w:val="21"/>
                <w:szCs w:val="21"/>
                <w:lang w:val="en-US" w:eastAsia="zh-CN"/>
              </w:rPr>
              <w:t>3</w:t>
            </w:r>
            <w:r>
              <w:rPr>
                <w:rFonts w:hint="default" w:asciiTheme="minorEastAsia" w:hAnsiTheme="minorEastAsia" w:eastAsiaTheme="minorEastAsia" w:cstheme="minorEastAsia"/>
                <w:color w:val="auto"/>
                <w:kern w:val="0"/>
                <w:sz w:val="21"/>
                <w:szCs w:val="21"/>
              </w:rPr>
              <w:t>分，满分1</w:t>
            </w:r>
            <w:r>
              <w:rPr>
                <w:rFonts w:hint="eastAsia" w:asciiTheme="minorEastAsia" w:hAnsiTheme="minorEastAsia" w:eastAsiaTheme="minorEastAsia" w:cstheme="minorEastAsia"/>
                <w:color w:val="auto"/>
                <w:kern w:val="0"/>
                <w:sz w:val="21"/>
                <w:szCs w:val="21"/>
                <w:lang w:val="en-US" w:eastAsia="zh-CN"/>
              </w:rPr>
              <w:t>5</w:t>
            </w:r>
            <w:r>
              <w:rPr>
                <w:rFonts w:hint="default" w:asciiTheme="minorEastAsia" w:hAnsiTheme="minorEastAsia" w:eastAsiaTheme="minorEastAsia" w:cstheme="minorEastAsia"/>
                <w:color w:val="auto"/>
                <w:kern w:val="0"/>
                <w:sz w:val="21"/>
                <w:szCs w:val="21"/>
              </w:rPr>
              <w:t>分。</w:t>
            </w:r>
          </w:p>
          <w:p>
            <w:pPr>
              <w:rPr>
                <w:rFonts w:hint="eastAsia"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rPr>
              <w:t>（须提供合同复印件加盖公章，原件备查，不提供不得分。）</w:t>
            </w:r>
          </w:p>
        </w:tc>
      </w:tr>
    </w:tbl>
    <w:p>
      <w:pPr>
        <w:pStyle w:val="9"/>
        <w:ind w:left="0" w:leftChars="0" w:firstLine="0" w:firstLineChars="0"/>
        <w:rPr>
          <w:rFonts w:asciiTheme="minorEastAsia" w:hAnsiTheme="minorEastAsia" w:eastAsiaTheme="minorEastAsia" w:cstheme="minorEastAsia"/>
          <w:b/>
          <w:color w:val="auto"/>
        </w:rPr>
      </w:pPr>
    </w:p>
    <w:p>
      <w:pPr>
        <w:adjustRightInd w:val="0"/>
        <w:snapToGrid w:val="0"/>
        <w:spacing w:line="360" w:lineRule="auto"/>
        <w:outlineLvl w:val="1"/>
        <w:rPr>
          <w:rFonts w:asciiTheme="minorEastAsia" w:hAnsiTheme="minorEastAsia" w:eastAsiaTheme="minorEastAsia" w:cstheme="minorEastAsia"/>
          <w:b/>
          <w:color w:val="auto"/>
          <w:szCs w:val="21"/>
        </w:rPr>
      </w:pPr>
    </w:p>
    <w:p>
      <w:r>
        <w:rPr>
          <w:rFonts w:asciiTheme="minorEastAsia" w:hAnsiTheme="minorEastAsia" w:eastAsiaTheme="minorEastAsia" w:cstheme="minorEastAsia"/>
          <w:b/>
          <w:color w:val="auto"/>
          <w:szCs w:val="21"/>
        </w:rPr>
        <w:br w:type="page"/>
      </w:r>
    </w:p>
    <w:p>
      <w:pPr>
        <w:adjustRightInd w:val="0"/>
        <w:snapToGrid w:val="0"/>
        <w:spacing w:line="360" w:lineRule="auto"/>
        <w:jc w:val="center"/>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第五章  采购合同</w:t>
      </w:r>
      <w:bookmarkEnd w:id="88"/>
      <w:r>
        <w:rPr>
          <w:rFonts w:hint="eastAsia" w:asciiTheme="minorEastAsia" w:hAnsiTheme="minorEastAsia" w:eastAsiaTheme="minorEastAsia" w:cstheme="minorEastAsia"/>
          <w:b/>
          <w:color w:val="auto"/>
          <w:szCs w:val="21"/>
        </w:rPr>
        <w:t>格式</w:t>
      </w:r>
    </w:p>
    <w:p>
      <w:pPr>
        <w:spacing w:after="0" w:afterLines="-2147483648"/>
        <w:ind w:firstLine="422" w:firstLineChars="200"/>
        <w:jc w:val="left"/>
        <w:rPr>
          <w:rFonts w:hint="eastAsia" w:asciiTheme="minorEastAsia" w:hAnsiTheme="minorEastAsia" w:eastAsiaTheme="minorEastAsia" w:cstheme="minorEastAsia"/>
          <w:b/>
          <w:bCs/>
          <w:color w:val="auto"/>
          <w:kern w:val="0"/>
          <w:sz w:val="21"/>
          <w:szCs w:val="21"/>
        </w:rPr>
      </w:pPr>
    </w:p>
    <w:p>
      <w:pPr>
        <w:jc w:val="center"/>
        <w:outlineLvl w:val="0"/>
        <w:rPr>
          <w:rFonts w:eastAsia="仿宋_GB2312"/>
          <w:b/>
          <w:bCs/>
          <w:sz w:val="52"/>
          <w:szCs w:val="52"/>
          <w:highlight w:val="none"/>
        </w:rPr>
      </w:pPr>
      <w:r>
        <w:rPr>
          <w:rFonts w:eastAsia="仿宋_GB2312"/>
          <w:b/>
          <w:bCs/>
          <w:sz w:val="52"/>
          <w:szCs w:val="52"/>
          <w:highlight w:val="none"/>
        </w:rPr>
        <w:t>海口江东新区</w:t>
      </w:r>
    </w:p>
    <w:p>
      <w:pPr>
        <w:jc w:val="center"/>
        <w:outlineLvl w:val="0"/>
        <w:rPr>
          <w:rFonts w:eastAsia="仿宋_GB2312"/>
          <w:b/>
          <w:bCs/>
          <w:sz w:val="52"/>
          <w:szCs w:val="52"/>
          <w:highlight w:val="none"/>
        </w:rPr>
      </w:pPr>
      <w:r>
        <w:rPr>
          <w:rFonts w:eastAsia="仿宋_GB2312"/>
          <w:b/>
          <w:bCs/>
          <w:sz w:val="52"/>
          <w:szCs w:val="52"/>
          <w:highlight w:val="none"/>
        </w:rPr>
        <w:t>园区统计服务合同</w:t>
      </w:r>
    </w:p>
    <w:p>
      <w:pPr>
        <w:jc w:val="center"/>
        <w:rPr>
          <w:rFonts w:eastAsia="仿宋_GB2312"/>
          <w:sz w:val="36"/>
          <w:szCs w:val="36"/>
          <w:highlight w:val="none"/>
        </w:rPr>
      </w:pPr>
    </w:p>
    <w:p>
      <w:pPr>
        <w:spacing w:line="560" w:lineRule="exact"/>
        <w:jc w:val="center"/>
        <w:rPr>
          <w:rFonts w:eastAsia="仿宋_GB2312"/>
          <w:sz w:val="36"/>
          <w:szCs w:val="36"/>
          <w:highlight w:val="none"/>
        </w:rPr>
      </w:pPr>
    </w:p>
    <w:p>
      <w:pPr>
        <w:spacing w:line="560" w:lineRule="exact"/>
        <w:jc w:val="center"/>
        <w:rPr>
          <w:rFonts w:eastAsia="仿宋_GB2312"/>
          <w:sz w:val="36"/>
          <w:szCs w:val="36"/>
          <w:highlight w:val="none"/>
        </w:rPr>
      </w:pPr>
    </w:p>
    <w:p>
      <w:pPr>
        <w:spacing w:line="560" w:lineRule="exact"/>
        <w:jc w:val="center"/>
        <w:rPr>
          <w:rFonts w:eastAsia="仿宋_GB2312"/>
          <w:sz w:val="36"/>
          <w:szCs w:val="36"/>
          <w:highlight w:val="none"/>
        </w:rPr>
      </w:pPr>
    </w:p>
    <w:p>
      <w:pPr>
        <w:spacing w:line="560" w:lineRule="exact"/>
        <w:jc w:val="center"/>
        <w:rPr>
          <w:rFonts w:eastAsia="仿宋_GB2312"/>
          <w:sz w:val="36"/>
          <w:szCs w:val="36"/>
          <w:highlight w:val="none"/>
        </w:rPr>
      </w:pPr>
    </w:p>
    <w:p>
      <w:pPr>
        <w:spacing w:line="560" w:lineRule="exact"/>
        <w:jc w:val="center"/>
        <w:rPr>
          <w:rFonts w:eastAsia="仿宋_GB2312"/>
          <w:sz w:val="36"/>
          <w:szCs w:val="36"/>
          <w:highlight w:val="none"/>
        </w:rPr>
      </w:pPr>
    </w:p>
    <w:p>
      <w:pPr>
        <w:spacing w:line="560" w:lineRule="exact"/>
        <w:jc w:val="center"/>
        <w:rPr>
          <w:rFonts w:eastAsia="仿宋_GB2312"/>
          <w:sz w:val="36"/>
          <w:szCs w:val="36"/>
          <w:highlight w:val="none"/>
        </w:rPr>
      </w:pPr>
    </w:p>
    <w:p>
      <w:pPr>
        <w:spacing w:line="560" w:lineRule="exact"/>
        <w:jc w:val="center"/>
        <w:outlineLvl w:val="0"/>
        <w:rPr>
          <w:rFonts w:eastAsia="仿宋_GB2312"/>
          <w:sz w:val="36"/>
          <w:szCs w:val="36"/>
          <w:highlight w:val="none"/>
          <w:u w:val="single"/>
        </w:rPr>
      </w:pPr>
      <w:r>
        <w:rPr>
          <w:rFonts w:eastAsia="仿宋_GB2312"/>
          <w:sz w:val="36"/>
          <w:szCs w:val="36"/>
          <w:highlight w:val="none"/>
        </w:rPr>
        <w:t>项目名称：</w:t>
      </w:r>
      <w:r>
        <w:rPr>
          <w:rFonts w:eastAsia="仿宋_GB2312"/>
          <w:sz w:val="36"/>
          <w:szCs w:val="36"/>
          <w:highlight w:val="none"/>
          <w:u w:val="single"/>
        </w:rPr>
        <w:t xml:space="preserve">  海口</w:t>
      </w:r>
      <w:r>
        <w:rPr>
          <w:rFonts w:eastAsia="仿宋_GB2312"/>
          <w:spacing w:val="-20"/>
          <w:sz w:val="36"/>
          <w:szCs w:val="36"/>
          <w:highlight w:val="none"/>
          <w:u w:val="single"/>
        </w:rPr>
        <w:t xml:space="preserve">江东新区园区统计服务 </w:t>
      </w:r>
    </w:p>
    <w:p>
      <w:pPr>
        <w:spacing w:line="560" w:lineRule="exact"/>
        <w:ind w:firstLine="1440" w:firstLineChars="400"/>
        <w:outlineLvl w:val="0"/>
        <w:rPr>
          <w:rFonts w:eastAsia="仿宋_GB2312"/>
          <w:sz w:val="36"/>
          <w:szCs w:val="36"/>
          <w:highlight w:val="none"/>
        </w:rPr>
      </w:pPr>
      <w:r>
        <w:rPr>
          <w:rFonts w:eastAsia="仿宋_GB2312"/>
          <w:sz w:val="36"/>
          <w:szCs w:val="36"/>
          <w:highlight w:val="none"/>
        </w:rPr>
        <w:t>合同编号：</w:t>
      </w:r>
      <w:r>
        <w:rPr>
          <w:rFonts w:eastAsia="仿宋_GB2312"/>
          <w:sz w:val="36"/>
          <w:szCs w:val="36"/>
          <w:highlight w:val="none"/>
          <w:u w:val="single"/>
        </w:rPr>
        <w:t xml:space="preserve"> </w:t>
      </w:r>
      <w:r>
        <w:rPr>
          <w:rFonts w:hint="eastAsia" w:eastAsia="仿宋_GB2312"/>
          <w:sz w:val="36"/>
          <w:szCs w:val="36"/>
          <w:highlight w:val="none"/>
          <w:u w:val="single"/>
          <w:lang w:val="en-US" w:eastAsia="zh-CN"/>
        </w:rPr>
        <w:t xml:space="preserve"> </w:t>
      </w:r>
      <w:r>
        <w:rPr>
          <w:rFonts w:eastAsia="仿宋_GB2312"/>
          <w:sz w:val="36"/>
          <w:szCs w:val="36"/>
          <w:highlight w:val="none"/>
          <w:u w:val="single"/>
        </w:rPr>
        <w:t xml:space="preserve"> </w:t>
      </w:r>
      <w:r>
        <w:rPr>
          <w:rFonts w:hint="eastAsia" w:eastAsia="仿宋_GB2312"/>
          <w:sz w:val="36"/>
          <w:szCs w:val="36"/>
          <w:highlight w:val="none"/>
          <w:u w:val="single"/>
        </w:rPr>
        <w:t>zfcg-fw-20221019-001</w:t>
      </w:r>
      <w:r>
        <w:rPr>
          <w:rFonts w:hint="eastAsia" w:eastAsia="仿宋_GB2312"/>
          <w:sz w:val="36"/>
          <w:szCs w:val="36"/>
          <w:highlight w:val="none"/>
          <w:u w:val="single"/>
          <w:lang w:val="en-US" w:eastAsia="zh-CN"/>
        </w:rPr>
        <w:t xml:space="preserve"> </w:t>
      </w:r>
      <w:r>
        <w:rPr>
          <w:rFonts w:eastAsia="仿宋_GB2312"/>
          <w:sz w:val="36"/>
          <w:szCs w:val="36"/>
          <w:highlight w:val="none"/>
          <w:u w:val="single"/>
        </w:rPr>
        <w:t xml:space="preserve">  </w:t>
      </w:r>
    </w:p>
    <w:p>
      <w:pPr>
        <w:spacing w:line="560" w:lineRule="exact"/>
        <w:jc w:val="center"/>
        <w:rPr>
          <w:rFonts w:eastAsia="仿宋_GB2312"/>
          <w:sz w:val="36"/>
          <w:szCs w:val="36"/>
          <w:highlight w:val="none"/>
        </w:rPr>
      </w:pPr>
    </w:p>
    <w:p>
      <w:pPr>
        <w:spacing w:line="560" w:lineRule="exact"/>
        <w:ind w:firstLine="1080" w:firstLineChars="300"/>
        <w:outlineLvl w:val="0"/>
        <w:rPr>
          <w:rFonts w:eastAsia="仿宋_GB2312"/>
          <w:sz w:val="36"/>
          <w:szCs w:val="36"/>
          <w:highlight w:val="none"/>
        </w:rPr>
      </w:pPr>
    </w:p>
    <w:p>
      <w:pPr>
        <w:spacing w:line="560" w:lineRule="exact"/>
        <w:ind w:firstLine="1080" w:firstLineChars="300"/>
        <w:outlineLvl w:val="0"/>
        <w:rPr>
          <w:rFonts w:eastAsia="仿宋_GB2312"/>
          <w:sz w:val="36"/>
          <w:szCs w:val="36"/>
          <w:highlight w:val="none"/>
        </w:rPr>
      </w:pPr>
    </w:p>
    <w:p>
      <w:pPr>
        <w:spacing w:line="560" w:lineRule="exact"/>
        <w:ind w:firstLine="2520" w:firstLineChars="700"/>
        <w:outlineLvl w:val="0"/>
        <w:rPr>
          <w:rFonts w:eastAsia="仿宋_GB2312"/>
          <w:sz w:val="36"/>
          <w:szCs w:val="36"/>
          <w:highlight w:val="none"/>
          <w:u w:val="single"/>
        </w:rPr>
      </w:pPr>
      <w:r>
        <w:rPr>
          <w:rFonts w:eastAsia="仿宋_GB2312"/>
          <w:sz w:val="36"/>
          <w:szCs w:val="36"/>
          <w:highlight w:val="none"/>
        </w:rPr>
        <w:t>甲方：</w:t>
      </w:r>
      <w:r>
        <w:rPr>
          <w:rFonts w:eastAsia="仿宋_GB2312"/>
          <w:sz w:val="36"/>
          <w:szCs w:val="36"/>
          <w:highlight w:val="none"/>
          <w:u w:val="single"/>
        </w:rPr>
        <w:t>海口江东新区管理局</w:t>
      </w:r>
    </w:p>
    <w:p>
      <w:pPr>
        <w:spacing w:line="560" w:lineRule="exact"/>
        <w:ind w:firstLine="2520" w:firstLineChars="700"/>
        <w:outlineLvl w:val="0"/>
        <w:rPr>
          <w:rFonts w:eastAsia="仿宋_GB2312"/>
          <w:sz w:val="36"/>
          <w:szCs w:val="36"/>
          <w:highlight w:val="none"/>
        </w:rPr>
      </w:pPr>
      <w:r>
        <w:rPr>
          <w:rFonts w:eastAsia="仿宋_GB2312"/>
          <w:sz w:val="36"/>
          <w:szCs w:val="36"/>
          <w:highlight w:val="none"/>
        </w:rPr>
        <w:t>乙方：</w:t>
      </w:r>
      <w:r>
        <w:rPr>
          <w:rFonts w:eastAsia="仿宋_GB2312"/>
          <w:sz w:val="36"/>
          <w:szCs w:val="36"/>
          <w:highlight w:val="none"/>
          <w:u w:val="single"/>
        </w:rPr>
        <w:t xml:space="preserve">                 </w:t>
      </w:r>
    </w:p>
    <w:p>
      <w:pPr>
        <w:spacing w:line="560" w:lineRule="exact"/>
        <w:jc w:val="center"/>
        <w:rPr>
          <w:rFonts w:eastAsia="仿宋_GB2312"/>
          <w:sz w:val="36"/>
          <w:szCs w:val="36"/>
          <w:highlight w:val="none"/>
        </w:rPr>
      </w:pPr>
    </w:p>
    <w:p>
      <w:pPr>
        <w:spacing w:line="560" w:lineRule="exact"/>
        <w:jc w:val="center"/>
        <w:rPr>
          <w:rFonts w:eastAsia="仿宋_GB2312"/>
          <w:sz w:val="36"/>
          <w:szCs w:val="36"/>
          <w:highlight w:val="none"/>
        </w:rPr>
      </w:pPr>
    </w:p>
    <w:p>
      <w:pPr>
        <w:spacing w:line="560" w:lineRule="exact"/>
        <w:jc w:val="center"/>
        <w:outlineLvl w:val="0"/>
        <w:rPr>
          <w:rFonts w:eastAsia="仿宋_GB2312"/>
          <w:sz w:val="36"/>
          <w:szCs w:val="36"/>
          <w:highlight w:val="none"/>
        </w:rPr>
        <w:sectPr>
          <w:headerReference r:id="rId12" w:type="default"/>
          <w:pgSz w:w="11906" w:h="16838"/>
          <w:pgMar w:top="1440" w:right="1440" w:bottom="1440" w:left="1440" w:header="851" w:footer="992" w:gutter="0"/>
          <w:cols w:space="0" w:num="1"/>
          <w:docGrid w:type="lines" w:linePitch="312" w:charSpace="0"/>
        </w:sectPr>
      </w:pPr>
      <w:r>
        <w:rPr>
          <w:rFonts w:eastAsia="仿宋_GB2312"/>
          <w:sz w:val="36"/>
          <w:szCs w:val="36"/>
          <w:highlight w:val="none"/>
        </w:rPr>
        <w:t xml:space="preserve">   签订日期：  年    月   日  </w:t>
      </w:r>
    </w:p>
    <w:p>
      <w:pPr>
        <w:spacing w:line="560" w:lineRule="exact"/>
        <w:outlineLvl w:val="0"/>
        <w:rPr>
          <w:rFonts w:eastAsia="仿宋_GB2312"/>
          <w:b/>
          <w:bCs/>
          <w:sz w:val="32"/>
          <w:szCs w:val="32"/>
          <w:highlight w:val="none"/>
        </w:rPr>
      </w:pPr>
    </w:p>
    <w:p>
      <w:pPr>
        <w:spacing w:line="560" w:lineRule="exact"/>
        <w:ind w:firstLine="643" w:firstLineChars="200"/>
        <w:outlineLvl w:val="0"/>
        <w:rPr>
          <w:rFonts w:eastAsia="仿宋_GB2312"/>
          <w:b/>
          <w:bCs/>
          <w:sz w:val="32"/>
          <w:szCs w:val="32"/>
          <w:highlight w:val="none"/>
        </w:rPr>
      </w:pPr>
      <w:r>
        <w:rPr>
          <w:rFonts w:eastAsia="仿宋_GB2312"/>
          <w:b/>
          <w:bCs/>
          <w:sz w:val="32"/>
          <w:szCs w:val="32"/>
          <w:highlight w:val="none"/>
        </w:rPr>
        <w:t>甲方：海口江东新区管理局</w:t>
      </w:r>
    </w:p>
    <w:p>
      <w:pPr>
        <w:spacing w:line="560" w:lineRule="exact"/>
        <w:ind w:firstLine="643" w:firstLineChars="200"/>
        <w:outlineLvl w:val="0"/>
        <w:rPr>
          <w:rFonts w:eastAsia="仿宋_GB2312"/>
          <w:b/>
          <w:bCs/>
          <w:sz w:val="32"/>
          <w:szCs w:val="32"/>
          <w:highlight w:val="none"/>
        </w:rPr>
      </w:pPr>
      <w:r>
        <w:rPr>
          <w:rFonts w:eastAsia="仿宋_GB2312"/>
          <w:b/>
          <w:bCs/>
          <w:sz w:val="32"/>
          <w:szCs w:val="32"/>
          <w:highlight w:val="none"/>
        </w:rPr>
        <w:t>地址：</w:t>
      </w:r>
    </w:p>
    <w:p>
      <w:pPr>
        <w:spacing w:line="560" w:lineRule="exact"/>
        <w:ind w:firstLine="643" w:firstLineChars="200"/>
        <w:outlineLvl w:val="0"/>
        <w:rPr>
          <w:rFonts w:eastAsia="仿宋_GB2312"/>
          <w:b/>
          <w:bCs/>
          <w:sz w:val="32"/>
          <w:szCs w:val="32"/>
          <w:highlight w:val="none"/>
        </w:rPr>
      </w:pPr>
      <w:r>
        <w:rPr>
          <w:rFonts w:eastAsia="仿宋_GB2312"/>
          <w:b/>
          <w:bCs/>
          <w:sz w:val="32"/>
          <w:szCs w:val="32"/>
          <w:highlight w:val="none"/>
        </w:rPr>
        <w:t>授权代表：</w:t>
      </w:r>
    </w:p>
    <w:p>
      <w:pPr>
        <w:spacing w:line="560" w:lineRule="exact"/>
        <w:ind w:firstLine="643" w:firstLineChars="200"/>
        <w:outlineLvl w:val="0"/>
        <w:rPr>
          <w:rFonts w:eastAsia="仿宋_GB2312"/>
          <w:b/>
          <w:bCs/>
          <w:sz w:val="32"/>
          <w:szCs w:val="32"/>
          <w:highlight w:val="none"/>
        </w:rPr>
      </w:pPr>
      <w:r>
        <w:rPr>
          <w:rFonts w:eastAsia="仿宋_GB2312"/>
          <w:b/>
          <w:bCs/>
          <w:sz w:val="32"/>
          <w:szCs w:val="32"/>
          <w:highlight w:val="none"/>
        </w:rPr>
        <w:t xml:space="preserve">乙方：     </w:t>
      </w:r>
    </w:p>
    <w:p>
      <w:pPr>
        <w:spacing w:line="560" w:lineRule="exact"/>
        <w:ind w:firstLine="643" w:firstLineChars="200"/>
        <w:outlineLvl w:val="0"/>
        <w:rPr>
          <w:rFonts w:eastAsia="仿宋_GB2312"/>
          <w:b/>
          <w:bCs/>
          <w:sz w:val="32"/>
          <w:szCs w:val="32"/>
          <w:highlight w:val="none"/>
        </w:rPr>
      </w:pPr>
      <w:r>
        <w:rPr>
          <w:rFonts w:eastAsia="仿宋_GB2312"/>
          <w:b/>
          <w:bCs/>
          <w:sz w:val="32"/>
          <w:szCs w:val="32"/>
          <w:highlight w:val="none"/>
        </w:rPr>
        <w:t>地址：</w:t>
      </w:r>
    </w:p>
    <w:p>
      <w:pPr>
        <w:spacing w:line="560" w:lineRule="exact"/>
        <w:ind w:firstLine="643" w:firstLineChars="200"/>
        <w:outlineLvl w:val="0"/>
        <w:rPr>
          <w:rFonts w:eastAsia="仿宋_GB2312"/>
          <w:b/>
          <w:bCs/>
          <w:sz w:val="32"/>
          <w:szCs w:val="32"/>
          <w:highlight w:val="none"/>
        </w:rPr>
      </w:pPr>
      <w:r>
        <w:rPr>
          <w:rFonts w:eastAsia="仿宋_GB2312"/>
          <w:b/>
          <w:bCs/>
          <w:sz w:val="32"/>
          <w:szCs w:val="32"/>
          <w:highlight w:val="none"/>
        </w:rPr>
        <w:t xml:space="preserve">法定代表人：            </w:t>
      </w:r>
    </w:p>
    <w:p>
      <w:pPr>
        <w:spacing w:line="560" w:lineRule="exact"/>
        <w:rPr>
          <w:rFonts w:eastAsia="仿宋_GB2312"/>
          <w:sz w:val="32"/>
          <w:szCs w:val="32"/>
          <w:highlight w:val="none"/>
        </w:rPr>
      </w:pPr>
    </w:p>
    <w:p>
      <w:pPr>
        <w:spacing w:line="560" w:lineRule="exact"/>
        <w:ind w:firstLine="640" w:firstLineChars="200"/>
        <w:rPr>
          <w:rFonts w:eastAsia="仿宋_GB2312"/>
          <w:sz w:val="32"/>
          <w:szCs w:val="32"/>
          <w:highlight w:val="none"/>
        </w:rPr>
      </w:pPr>
      <w:r>
        <w:rPr>
          <w:rFonts w:eastAsia="仿宋_GB2312"/>
          <w:sz w:val="32"/>
          <w:szCs w:val="32"/>
          <w:highlight w:val="none"/>
        </w:rPr>
        <w:t>甲方委托乙方组织开展海口江东新区园区统计服务工作，本着平等互利的原则，经甲乙双方共同协商，就合作有关事项达成如下协议：</w:t>
      </w:r>
    </w:p>
    <w:p>
      <w:pPr>
        <w:spacing w:line="560" w:lineRule="exact"/>
        <w:ind w:firstLine="640" w:firstLineChars="200"/>
        <w:outlineLvl w:val="0"/>
        <w:rPr>
          <w:rFonts w:eastAsia="黑体"/>
          <w:sz w:val="32"/>
          <w:szCs w:val="32"/>
          <w:highlight w:val="none"/>
        </w:rPr>
      </w:pPr>
      <w:r>
        <w:rPr>
          <w:rFonts w:eastAsia="黑体"/>
          <w:sz w:val="32"/>
          <w:szCs w:val="32"/>
          <w:highlight w:val="none"/>
        </w:rPr>
        <w:t>一、服务内容</w:t>
      </w:r>
    </w:p>
    <w:p>
      <w:pPr>
        <w:pStyle w:val="7"/>
        <w:spacing w:line="560" w:lineRule="exact"/>
        <w:ind w:firstLine="643" w:firstLineChars="200"/>
        <w:rPr>
          <w:rFonts w:eastAsia="仿宋_GB2312"/>
          <w:b/>
          <w:bCs/>
          <w:sz w:val="32"/>
          <w:szCs w:val="32"/>
          <w:highlight w:val="none"/>
        </w:rPr>
      </w:pPr>
      <w:r>
        <w:rPr>
          <w:rFonts w:hint="eastAsia" w:eastAsia="仿宋_GB2312"/>
          <w:b/>
          <w:bCs/>
          <w:sz w:val="32"/>
          <w:szCs w:val="32"/>
          <w:highlight w:val="none"/>
        </w:rPr>
        <w:t>（一）开展</w:t>
      </w:r>
      <w:r>
        <w:rPr>
          <w:rFonts w:hint="eastAsia" w:eastAsia="仿宋_GB2312"/>
          <w:b/>
          <w:bCs/>
          <w:sz w:val="32"/>
          <w:szCs w:val="32"/>
          <w:highlight w:val="none"/>
          <w:lang w:val="en-US" w:eastAsia="zh-CN"/>
        </w:rPr>
        <w:t>2022年度</w:t>
      </w:r>
      <w:r>
        <w:rPr>
          <w:rFonts w:hint="eastAsia" w:eastAsia="仿宋_GB2312"/>
          <w:b/>
          <w:bCs/>
          <w:sz w:val="32"/>
          <w:szCs w:val="32"/>
          <w:highlight w:val="none"/>
        </w:rPr>
        <w:t>园区企业发展情况的全面</w:t>
      </w:r>
      <w:r>
        <w:rPr>
          <w:rFonts w:hint="eastAsia" w:eastAsia="仿宋_GB2312"/>
          <w:b/>
          <w:bCs/>
          <w:sz w:val="32"/>
          <w:szCs w:val="32"/>
          <w:highlight w:val="none"/>
          <w:lang w:val="en-US" w:eastAsia="zh-CN"/>
        </w:rPr>
        <w:t>调</w:t>
      </w:r>
      <w:r>
        <w:rPr>
          <w:rFonts w:hint="eastAsia" w:eastAsia="仿宋_GB2312"/>
          <w:b/>
          <w:bCs/>
          <w:sz w:val="32"/>
          <w:szCs w:val="32"/>
          <w:highlight w:val="none"/>
        </w:rPr>
        <w:t>查工作</w:t>
      </w:r>
    </w:p>
    <w:p>
      <w:pPr>
        <w:pStyle w:val="7"/>
        <w:spacing w:line="560" w:lineRule="exact"/>
        <w:ind w:firstLine="640" w:firstLineChars="200"/>
        <w:rPr>
          <w:rFonts w:eastAsia="仿宋_GB2312"/>
          <w:sz w:val="32"/>
          <w:szCs w:val="32"/>
          <w:highlight w:val="none"/>
        </w:rPr>
      </w:pPr>
      <w:r>
        <w:rPr>
          <w:rFonts w:hint="eastAsia" w:eastAsia="仿宋_GB2312"/>
          <w:sz w:val="32"/>
          <w:szCs w:val="32"/>
          <w:highlight w:val="none"/>
        </w:rPr>
        <w:t>1.制定</w:t>
      </w:r>
      <w:r>
        <w:rPr>
          <w:rFonts w:hint="eastAsia" w:eastAsia="仿宋_GB2312"/>
          <w:sz w:val="32"/>
          <w:szCs w:val="32"/>
          <w:highlight w:val="none"/>
          <w:lang w:val="en-US" w:eastAsia="zh-CN"/>
        </w:rPr>
        <w:t>调查</w:t>
      </w:r>
      <w:r>
        <w:rPr>
          <w:rFonts w:hint="eastAsia" w:eastAsia="仿宋_GB2312"/>
          <w:sz w:val="32"/>
          <w:szCs w:val="32"/>
          <w:highlight w:val="none"/>
        </w:rPr>
        <w:t>工作实施方案及</w:t>
      </w:r>
      <w:r>
        <w:rPr>
          <w:rFonts w:hint="eastAsia" w:eastAsia="仿宋_GB2312"/>
          <w:sz w:val="32"/>
          <w:szCs w:val="32"/>
          <w:highlight w:val="none"/>
          <w:lang w:val="en-US" w:eastAsia="zh-CN"/>
        </w:rPr>
        <w:t>调</w:t>
      </w:r>
      <w:r>
        <w:rPr>
          <w:rFonts w:hint="eastAsia" w:eastAsia="仿宋_GB2312"/>
          <w:sz w:val="32"/>
          <w:szCs w:val="32"/>
          <w:highlight w:val="none"/>
        </w:rPr>
        <w:t>查表式。</w:t>
      </w:r>
    </w:p>
    <w:p>
      <w:pPr>
        <w:pStyle w:val="7"/>
        <w:spacing w:line="560" w:lineRule="exact"/>
        <w:ind w:firstLine="640" w:firstLineChars="200"/>
        <w:rPr>
          <w:rFonts w:eastAsia="仿宋_GB2312"/>
          <w:sz w:val="32"/>
          <w:szCs w:val="32"/>
          <w:highlight w:val="none"/>
        </w:rPr>
      </w:pPr>
      <w:r>
        <w:rPr>
          <w:rFonts w:hint="eastAsia" w:eastAsia="仿宋_GB2312"/>
          <w:sz w:val="32"/>
          <w:szCs w:val="32"/>
          <w:highlight w:val="none"/>
        </w:rPr>
        <w:t>2.对</w:t>
      </w:r>
      <w:r>
        <w:rPr>
          <w:rFonts w:hint="eastAsia" w:eastAsia="仿宋_GB2312"/>
          <w:sz w:val="32"/>
          <w:szCs w:val="32"/>
          <w:highlight w:val="none"/>
          <w:lang w:val="en-US" w:eastAsia="zh-CN"/>
        </w:rPr>
        <w:t>2022年度海口江东新区管辖范围内的所有企业法人单位和产业活动单位（包括注册地址或实际经营地址在海口江东新区的所有企业）</w:t>
      </w:r>
      <w:r>
        <w:rPr>
          <w:rFonts w:hint="eastAsia" w:eastAsia="仿宋_GB2312"/>
          <w:sz w:val="32"/>
          <w:szCs w:val="32"/>
          <w:highlight w:val="none"/>
        </w:rPr>
        <w:t>进行全面</w:t>
      </w:r>
      <w:r>
        <w:rPr>
          <w:rFonts w:hint="eastAsia" w:eastAsia="仿宋_GB2312"/>
          <w:sz w:val="32"/>
          <w:szCs w:val="32"/>
          <w:highlight w:val="none"/>
          <w:lang w:val="en-US" w:eastAsia="zh-CN"/>
        </w:rPr>
        <w:t>调</w:t>
      </w:r>
      <w:r>
        <w:rPr>
          <w:rFonts w:hint="eastAsia" w:eastAsia="仿宋_GB2312"/>
          <w:sz w:val="32"/>
          <w:szCs w:val="32"/>
          <w:highlight w:val="none"/>
        </w:rPr>
        <w:t>查并负责</w:t>
      </w:r>
      <w:r>
        <w:rPr>
          <w:rFonts w:hint="eastAsia" w:eastAsia="仿宋_GB2312"/>
          <w:sz w:val="32"/>
          <w:szCs w:val="32"/>
          <w:highlight w:val="none"/>
          <w:lang w:val="en-US" w:eastAsia="zh-CN"/>
        </w:rPr>
        <w:t>调</w:t>
      </w:r>
      <w:r>
        <w:rPr>
          <w:rFonts w:hint="eastAsia" w:eastAsia="仿宋_GB2312"/>
          <w:sz w:val="32"/>
          <w:szCs w:val="32"/>
          <w:highlight w:val="none"/>
        </w:rPr>
        <w:t>查数据的录入工作。</w:t>
      </w:r>
    </w:p>
    <w:p>
      <w:pPr>
        <w:pStyle w:val="7"/>
        <w:spacing w:line="560" w:lineRule="exact"/>
        <w:ind w:firstLine="640" w:firstLineChars="200"/>
        <w:rPr>
          <w:rFonts w:eastAsia="仿宋_GB2312"/>
          <w:sz w:val="32"/>
          <w:szCs w:val="32"/>
          <w:highlight w:val="none"/>
        </w:rPr>
      </w:pPr>
      <w:r>
        <w:rPr>
          <w:rFonts w:hint="eastAsia" w:eastAsia="仿宋_GB2312"/>
          <w:sz w:val="32"/>
          <w:szCs w:val="32"/>
          <w:highlight w:val="none"/>
        </w:rPr>
        <w:t>3.按调查方案要求，提交《海口江东新区入驻企业发展情况数据集》并撰写《海口江东新区入驻企业发展情况调查工作报告》。</w:t>
      </w:r>
    </w:p>
    <w:p>
      <w:pPr>
        <w:pStyle w:val="7"/>
        <w:spacing w:line="560" w:lineRule="exact"/>
        <w:ind w:firstLine="640" w:firstLineChars="200"/>
        <w:rPr>
          <w:rFonts w:eastAsia="仿宋_GB2312"/>
          <w:sz w:val="32"/>
          <w:szCs w:val="32"/>
          <w:highlight w:val="none"/>
        </w:rPr>
      </w:pPr>
      <w:r>
        <w:rPr>
          <w:rFonts w:hint="eastAsia" w:eastAsia="仿宋_GB2312"/>
          <w:sz w:val="32"/>
          <w:szCs w:val="32"/>
          <w:highlight w:val="none"/>
        </w:rPr>
        <w:t>4.完成调查结果全过程资料的收集、整理和归档工作。</w:t>
      </w:r>
    </w:p>
    <w:p>
      <w:pPr>
        <w:pStyle w:val="7"/>
        <w:spacing w:line="560" w:lineRule="exact"/>
        <w:ind w:firstLine="643" w:firstLineChars="200"/>
        <w:rPr>
          <w:rFonts w:eastAsia="仿宋_GB2312"/>
          <w:b/>
          <w:bCs/>
          <w:sz w:val="32"/>
          <w:szCs w:val="32"/>
          <w:highlight w:val="none"/>
        </w:rPr>
      </w:pPr>
      <w:r>
        <w:rPr>
          <w:rFonts w:hint="eastAsia" w:eastAsia="仿宋_GB2312"/>
          <w:b/>
          <w:bCs/>
          <w:sz w:val="32"/>
          <w:szCs w:val="32"/>
          <w:highlight w:val="none"/>
        </w:rPr>
        <w:t>（二）做好</w:t>
      </w:r>
      <w:r>
        <w:rPr>
          <w:rFonts w:hint="eastAsia" w:eastAsia="仿宋_GB2312"/>
          <w:b/>
          <w:bCs/>
          <w:sz w:val="32"/>
          <w:szCs w:val="32"/>
          <w:highlight w:val="none"/>
          <w:lang w:val="en-US" w:eastAsia="zh-CN"/>
        </w:rPr>
        <w:t>2022年度</w:t>
      </w:r>
      <w:r>
        <w:rPr>
          <w:rFonts w:hint="eastAsia" w:eastAsia="仿宋_GB2312"/>
          <w:b/>
          <w:bCs/>
          <w:sz w:val="32"/>
          <w:szCs w:val="32"/>
          <w:highlight w:val="none"/>
        </w:rPr>
        <w:t>省重点产业园区企业主要指标调查工作</w:t>
      </w:r>
    </w:p>
    <w:p>
      <w:pPr>
        <w:pStyle w:val="7"/>
        <w:spacing w:line="560" w:lineRule="exact"/>
        <w:ind w:firstLine="640" w:firstLineChars="200"/>
        <w:rPr>
          <w:rFonts w:eastAsia="仿宋_GB2312"/>
          <w:sz w:val="32"/>
          <w:szCs w:val="32"/>
          <w:highlight w:val="none"/>
        </w:rPr>
      </w:pPr>
      <w:r>
        <w:rPr>
          <w:rFonts w:hint="eastAsia" w:eastAsia="仿宋_GB2312"/>
          <w:sz w:val="32"/>
          <w:szCs w:val="32"/>
          <w:highlight w:val="none"/>
        </w:rPr>
        <w:t>1.严格落实执行《海南自贸港省级重点产业园区统计报表制度》，按照规定的时间节点及要求指导园区样本企业完成省重点产业园区统计报表指导、催报及</w:t>
      </w:r>
      <w:r>
        <w:rPr>
          <w:rFonts w:hint="eastAsia" w:eastAsia="仿宋_GB2312"/>
          <w:sz w:val="32"/>
          <w:szCs w:val="32"/>
          <w:highlight w:val="none"/>
          <w:lang w:val="en-US" w:eastAsia="zh-CN"/>
        </w:rPr>
        <w:t>系统</w:t>
      </w:r>
      <w:r>
        <w:rPr>
          <w:rFonts w:hint="eastAsia" w:eastAsia="仿宋_GB2312"/>
          <w:sz w:val="32"/>
          <w:szCs w:val="32"/>
          <w:highlight w:val="none"/>
        </w:rPr>
        <w:t>数据的审核、汇总、验收及报送工作。</w:t>
      </w:r>
    </w:p>
    <w:p>
      <w:pPr>
        <w:pStyle w:val="7"/>
        <w:spacing w:line="560" w:lineRule="exact"/>
        <w:ind w:firstLine="640" w:firstLineChars="200"/>
        <w:rPr>
          <w:rFonts w:eastAsia="仿宋_GB2312"/>
          <w:sz w:val="32"/>
          <w:szCs w:val="32"/>
          <w:highlight w:val="none"/>
        </w:rPr>
      </w:pPr>
      <w:r>
        <w:rPr>
          <w:rFonts w:hint="eastAsia" w:eastAsia="仿宋_GB2312"/>
          <w:sz w:val="32"/>
          <w:szCs w:val="32"/>
          <w:highlight w:val="none"/>
        </w:rPr>
        <w:t>2.协助开展园区企业统计报表制度</w:t>
      </w:r>
      <w:r>
        <w:rPr>
          <w:rFonts w:hint="eastAsia" w:eastAsia="仿宋_GB2312"/>
          <w:sz w:val="32"/>
          <w:szCs w:val="32"/>
          <w:highlight w:val="none"/>
          <w:lang w:val="en-US" w:eastAsia="zh-CN"/>
        </w:rPr>
        <w:t>普及工作</w:t>
      </w:r>
      <w:r>
        <w:rPr>
          <w:rFonts w:hint="eastAsia" w:eastAsia="仿宋_GB2312"/>
          <w:sz w:val="32"/>
          <w:szCs w:val="32"/>
          <w:highlight w:val="none"/>
        </w:rPr>
        <w:t>。</w:t>
      </w:r>
    </w:p>
    <w:p>
      <w:pPr>
        <w:pStyle w:val="7"/>
        <w:spacing w:line="560" w:lineRule="exact"/>
        <w:ind w:firstLine="643" w:firstLineChars="200"/>
        <w:rPr>
          <w:rFonts w:eastAsia="仿宋_GB2312"/>
          <w:b/>
          <w:bCs/>
          <w:sz w:val="32"/>
          <w:szCs w:val="32"/>
          <w:highlight w:val="none"/>
        </w:rPr>
      </w:pPr>
      <w:r>
        <w:rPr>
          <w:rFonts w:hint="eastAsia" w:eastAsia="仿宋_GB2312"/>
          <w:b/>
          <w:bCs/>
          <w:sz w:val="32"/>
          <w:szCs w:val="32"/>
          <w:highlight w:val="none"/>
        </w:rPr>
        <w:t>（三）开展</w:t>
      </w:r>
      <w:r>
        <w:rPr>
          <w:rFonts w:hint="eastAsia" w:eastAsia="仿宋_GB2312"/>
          <w:b/>
          <w:bCs/>
          <w:sz w:val="32"/>
          <w:szCs w:val="32"/>
          <w:highlight w:val="none"/>
          <w:lang w:val="en-US" w:eastAsia="zh-CN"/>
        </w:rPr>
        <w:t>2022年度</w:t>
      </w:r>
      <w:r>
        <w:rPr>
          <w:rFonts w:hint="eastAsia" w:eastAsia="仿宋_GB2312"/>
          <w:b/>
          <w:bCs/>
          <w:sz w:val="32"/>
          <w:szCs w:val="32"/>
          <w:highlight w:val="none"/>
        </w:rPr>
        <w:t>新增基本单位清查工作</w:t>
      </w:r>
    </w:p>
    <w:p>
      <w:pPr>
        <w:pStyle w:val="7"/>
        <w:spacing w:line="560" w:lineRule="exact"/>
        <w:ind w:firstLine="640" w:firstLineChars="200"/>
        <w:rPr>
          <w:rFonts w:eastAsia="仿宋_GB2312"/>
          <w:sz w:val="32"/>
          <w:szCs w:val="32"/>
          <w:highlight w:val="none"/>
        </w:rPr>
      </w:pPr>
      <w:r>
        <w:rPr>
          <w:rFonts w:hint="eastAsia" w:eastAsia="仿宋_GB2312"/>
          <w:sz w:val="32"/>
          <w:szCs w:val="32"/>
          <w:highlight w:val="none"/>
        </w:rPr>
        <w:t>基本单位指的是除个体户外的市场主体，即：企业法人单位和产业活动单位。</w:t>
      </w:r>
    </w:p>
    <w:p>
      <w:pPr>
        <w:pStyle w:val="7"/>
        <w:spacing w:line="560" w:lineRule="exact"/>
        <w:ind w:firstLine="640" w:firstLineChars="200"/>
        <w:rPr>
          <w:rFonts w:eastAsia="仿宋_GB2312"/>
          <w:sz w:val="32"/>
          <w:szCs w:val="32"/>
          <w:highlight w:val="none"/>
        </w:rPr>
      </w:pPr>
      <w:r>
        <w:rPr>
          <w:rFonts w:hint="eastAsia" w:eastAsia="仿宋_GB2312"/>
          <w:sz w:val="32"/>
          <w:szCs w:val="32"/>
          <w:highlight w:val="none"/>
        </w:rPr>
        <w:t>1.制定清查工作实施方案并印制清查表。</w:t>
      </w:r>
    </w:p>
    <w:p>
      <w:pPr>
        <w:pStyle w:val="7"/>
        <w:spacing w:line="560" w:lineRule="exact"/>
        <w:ind w:firstLine="640" w:firstLineChars="200"/>
        <w:rPr>
          <w:rFonts w:eastAsia="仿宋_GB2312"/>
          <w:sz w:val="32"/>
          <w:szCs w:val="32"/>
          <w:highlight w:val="none"/>
        </w:rPr>
      </w:pPr>
      <w:r>
        <w:rPr>
          <w:rFonts w:hint="eastAsia" w:eastAsia="仿宋_GB2312"/>
          <w:sz w:val="32"/>
          <w:szCs w:val="32"/>
          <w:highlight w:val="none"/>
        </w:rPr>
        <w:t>2.对</w:t>
      </w:r>
      <w:r>
        <w:rPr>
          <w:rFonts w:hint="eastAsia" w:eastAsia="仿宋_GB2312"/>
          <w:sz w:val="32"/>
          <w:szCs w:val="32"/>
          <w:highlight w:val="none"/>
          <w:lang w:val="en-US" w:eastAsia="zh-CN"/>
        </w:rPr>
        <w:t>2022年度</w:t>
      </w:r>
      <w:r>
        <w:rPr>
          <w:rFonts w:hint="eastAsia" w:eastAsia="仿宋_GB2312"/>
          <w:sz w:val="32"/>
          <w:szCs w:val="32"/>
          <w:highlight w:val="none"/>
        </w:rPr>
        <w:t>江东新区全部新增基本单位进行核查，并在基本单位名录库中录入清查数据。</w:t>
      </w:r>
    </w:p>
    <w:p>
      <w:pPr>
        <w:pStyle w:val="7"/>
        <w:spacing w:line="560" w:lineRule="exact"/>
        <w:ind w:firstLine="640" w:firstLineChars="200"/>
        <w:rPr>
          <w:rFonts w:eastAsia="仿宋_GB2312"/>
          <w:sz w:val="32"/>
          <w:szCs w:val="32"/>
          <w:highlight w:val="none"/>
        </w:rPr>
      </w:pPr>
      <w:r>
        <w:rPr>
          <w:rFonts w:hint="eastAsia" w:eastAsia="仿宋_GB2312"/>
          <w:sz w:val="32"/>
          <w:szCs w:val="32"/>
          <w:highlight w:val="none"/>
        </w:rPr>
        <w:t>3</w:t>
      </w:r>
      <w:r>
        <w:rPr>
          <w:rFonts w:eastAsia="仿宋_GB2312"/>
          <w:sz w:val="32"/>
          <w:szCs w:val="32"/>
          <w:highlight w:val="none"/>
        </w:rPr>
        <w:t>.</w:t>
      </w:r>
      <w:r>
        <w:rPr>
          <w:rFonts w:hint="eastAsia" w:eastAsia="仿宋_GB2312"/>
          <w:sz w:val="32"/>
          <w:szCs w:val="32"/>
          <w:highlight w:val="none"/>
        </w:rPr>
        <w:t>按调查方案要求，</w:t>
      </w:r>
      <w:r>
        <w:rPr>
          <w:rFonts w:hint="eastAsia" w:ascii="仿宋_GB2312" w:hAnsi="仿宋" w:eastAsia="仿宋_GB2312"/>
          <w:color w:val="000000"/>
          <w:sz w:val="32"/>
          <w:szCs w:val="32"/>
          <w:highlight w:val="none"/>
        </w:rPr>
        <w:t>撰写《海口江东新区新增企业清查工作总结》。</w:t>
      </w:r>
    </w:p>
    <w:p>
      <w:pPr>
        <w:pStyle w:val="7"/>
        <w:spacing w:line="560" w:lineRule="exact"/>
        <w:ind w:firstLine="640" w:firstLineChars="200"/>
        <w:rPr>
          <w:rFonts w:eastAsia="仿宋_GB2312"/>
          <w:sz w:val="32"/>
          <w:szCs w:val="32"/>
          <w:highlight w:val="none"/>
        </w:rPr>
      </w:pPr>
      <w:r>
        <w:rPr>
          <w:rFonts w:eastAsia="仿宋_GB2312"/>
          <w:sz w:val="32"/>
          <w:szCs w:val="32"/>
          <w:highlight w:val="none"/>
        </w:rPr>
        <w:t>4</w:t>
      </w:r>
      <w:r>
        <w:rPr>
          <w:rFonts w:hint="eastAsia" w:eastAsia="仿宋_GB2312"/>
          <w:sz w:val="32"/>
          <w:szCs w:val="32"/>
          <w:highlight w:val="none"/>
        </w:rPr>
        <w:t>.完成清查结果全过程资料的收集、整理和归档工作。</w:t>
      </w:r>
    </w:p>
    <w:p>
      <w:pPr>
        <w:pStyle w:val="7"/>
        <w:spacing w:line="560" w:lineRule="exact"/>
        <w:ind w:firstLine="643" w:firstLineChars="200"/>
        <w:rPr>
          <w:rFonts w:eastAsia="仿宋_GB2312"/>
          <w:b/>
          <w:bCs/>
          <w:sz w:val="32"/>
          <w:szCs w:val="32"/>
          <w:highlight w:val="none"/>
        </w:rPr>
      </w:pPr>
      <w:r>
        <w:rPr>
          <w:rFonts w:hint="eastAsia" w:eastAsia="仿宋_GB2312"/>
          <w:b/>
          <w:bCs/>
          <w:sz w:val="32"/>
          <w:szCs w:val="32"/>
          <w:highlight w:val="none"/>
        </w:rPr>
        <w:t>（四）做好</w:t>
      </w:r>
      <w:r>
        <w:rPr>
          <w:rFonts w:hint="eastAsia" w:eastAsia="仿宋_GB2312"/>
          <w:b/>
          <w:bCs/>
          <w:sz w:val="32"/>
          <w:szCs w:val="32"/>
          <w:highlight w:val="none"/>
          <w:lang w:val="en-US" w:eastAsia="zh-CN"/>
        </w:rPr>
        <w:t>2023年1-4季度</w:t>
      </w:r>
      <w:r>
        <w:rPr>
          <w:rFonts w:hint="eastAsia" w:eastAsia="仿宋_GB2312"/>
          <w:b/>
          <w:bCs/>
          <w:sz w:val="32"/>
          <w:szCs w:val="32"/>
          <w:highlight w:val="none"/>
        </w:rPr>
        <w:t>园区特色统计指标监测工作</w:t>
      </w:r>
    </w:p>
    <w:p>
      <w:pPr>
        <w:pStyle w:val="7"/>
        <w:spacing w:line="560" w:lineRule="exact"/>
        <w:ind w:firstLine="640" w:firstLineChars="200"/>
        <w:rPr>
          <w:rFonts w:eastAsia="仿宋_GB2312"/>
          <w:sz w:val="32"/>
          <w:szCs w:val="32"/>
          <w:highlight w:val="none"/>
        </w:rPr>
      </w:pPr>
      <w:r>
        <w:rPr>
          <w:rFonts w:hint="eastAsia" w:eastAsia="仿宋_GB2312"/>
          <w:sz w:val="32"/>
          <w:szCs w:val="32"/>
          <w:highlight w:val="none"/>
        </w:rPr>
        <w:t>1.制定监测工作实施方案及数据采集表式。</w:t>
      </w:r>
    </w:p>
    <w:p>
      <w:pPr>
        <w:pStyle w:val="7"/>
        <w:spacing w:line="560" w:lineRule="exact"/>
        <w:ind w:firstLine="640" w:firstLineChars="200"/>
        <w:rPr>
          <w:rFonts w:eastAsia="仿宋_GB2312"/>
          <w:sz w:val="32"/>
          <w:szCs w:val="32"/>
          <w:highlight w:val="none"/>
        </w:rPr>
      </w:pPr>
      <w:r>
        <w:rPr>
          <w:rFonts w:hint="eastAsia" w:eastAsia="仿宋_GB2312"/>
          <w:sz w:val="32"/>
          <w:szCs w:val="32"/>
          <w:highlight w:val="none"/>
        </w:rPr>
        <w:t>2.对江东新区</w:t>
      </w:r>
      <w:r>
        <w:rPr>
          <w:rFonts w:hint="eastAsia" w:eastAsia="仿宋_GB2312"/>
          <w:sz w:val="32"/>
          <w:szCs w:val="32"/>
          <w:highlight w:val="none"/>
          <w:lang w:val="en-US" w:eastAsia="zh-CN"/>
        </w:rPr>
        <w:t>重点</w:t>
      </w:r>
      <w:r>
        <w:rPr>
          <w:rFonts w:hint="eastAsia" w:eastAsia="仿宋_GB2312"/>
          <w:sz w:val="32"/>
          <w:szCs w:val="32"/>
          <w:highlight w:val="none"/>
        </w:rPr>
        <w:t>企业进行调查，录入监测数据。</w:t>
      </w:r>
    </w:p>
    <w:p>
      <w:pPr>
        <w:pStyle w:val="7"/>
        <w:spacing w:line="560" w:lineRule="exact"/>
        <w:ind w:firstLine="640" w:firstLineChars="200"/>
        <w:rPr>
          <w:rFonts w:eastAsia="仿宋_GB2312"/>
          <w:sz w:val="32"/>
          <w:szCs w:val="32"/>
          <w:highlight w:val="none"/>
        </w:rPr>
      </w:pPr>
      <w:r>
        <w:rPr>
          <w:rFonts w:hint="eastAsia" w:eastAsia="仿宋_GB2312"/>
          <w:sz w:val="32"/>
          <w:szCs w:val="32"/>
          <w:highlight w:val="none"/>
        </w:rPr>
        <w:t>3.按监测方案要求收集海口江东新区</w:t>
      </w:r>
      <w:r>
        <w:rPr>
          <w:rFonts w:hint="eastAsia" w:eastAsia="仿宋_GB2312"/>
          <w:sz w:val="32"/>
          <w:szCs w:val="32"/>
          <w:highlight w:val="none"/>
          <w:lang w:val="en-US" w:eastAsia="zh-CN"/>
        </w:rPr>
        <w:t>重点</w:t>
      </w:r>
      <w:r>
        <w:rPr>
          <w:rFonts w:hint="eastAsia" w:eastAsia="仿宋_GB2312"/>
          <w:sz w:val="32"/>
          <w:szCs w:val="32"/>
          <w:highlight w:val="none"/>
        </w:rPr>
        <w:t>企业的特色统计指标信息，提交《海口江东新区特色统计指标数据集》和监测工作报告。</w:t>
      </w:r>
    </w:p>
    <w:p>
      <w:pPr>
        <w:pStyle w:val="7"/>
        <w:spacing w:line="560" w:lineRule="exact"/>
        <w:ind w:firstLine="640" w:firstLineChars="200"/>
        <w:rPr>
          <w:rFonts w:eastAsia="仿宋_GB2312"/>
          <w:sz w:val="32"/>
          <w:szCs w:val="32"/>
          <w:highlight w:val="none"/>
        </w:rPr>
      </w:pPr>
      <w:r>
        <w:rPr>
          <w:rFonts w:hint="eastAsia" w:eastAsia="仿宋_GB2312"/>
          <w:sz w:val="32"/>
          <w:szCs w:val="32"/>
          <w:highlight w:val="none"/>
        </w:rPr>
        <w:t>4.完成清查结果全过程资料的收集、整理和归档工作</w:t>
      </w:r>
      <w:r>
        <w:rPr>
          <w:rFonts w:eastAsia="仿宋_GB2312"/>
          <w:sz w:val="32"/>
          <w:szCs w:val="32"/>
          <w:highlight w:val="none"/>
        </w:rPr>
        <w:t>。</w:t>
      </w:r>
    </w:p>
    <w:p>
      <w:pPr>
        <w:spacing w:line="560" w:lineRule="exact"/>
        <w:ind w:firstLine="640" w:firstLineChars="200"/>
        <w:outlineLvl w:val="0"/>
        <w:rPr>
          <w:rFonts w:eastAsia="黑体"/>
          <w:sz w:val="32"/>
          <w:szCs w:val="32"/>
          <w:highlight w:val="none"/>
        </w:rPr>
      </w:pPr>
      <w:r>
        <w:rPr>
          <w:rFonts w:eastAsia="黑体"/>
          <w:sz w:val="32"/>
          <w:szCs w:val="32"/>
          <w:highlight w:val="none"/>
        </w:rPr>
        <w:t>二、收费标准</w:t>
      </w:r>
    </w:p>
    <w:p>
      <w:pPr>
        <w:pStyle w:val="7"/>
        <w:spacing w:line="560" w:lineRule="exact"/>
        <w:ind w:firstLine="640" w:firstLineChars="200"/>
        <w:rPr>
          <w:rFonts w:eastAsia="仿宋_GB2312"/>
          <w:sz w:val="32"/>
          <w:szCs w:val="32"/>
          <w:highlight w:val="none"/>
        </w:rPr>
      </w:pPr>
      <w:r>
        <w:rPr>
          <w:rFonts w:eastAsia="仿宋_GB2312"/>
          <w:sz w:val="32"/>
          <w:szCs w:val="32"/>
          <w:highlight w:val="none"/>
        </w:rPr>
        <w:t xml:space="preserve">1. </w:t>
      </w:r>
      <w:r>
        <w:rPr>
          <w:rFonts w:hint="eastAsia" w:eastAsia="仿宋_GB2312"/>
          <w:sz w:val="32"/>
          <w:szCs w:val="32"/>
          <w:highlight w:val="none"/>
        </w:rPr>
        <w:t>开展2022年度园区企业发展情况的全面调查工作。</w:t>
      </w:r>
      <w:r>
        <w:rPr>
          <w:rFonts w:eastAsia="仿宋_GB2312"/>
          <w:sz w:val="32"/>
          <w:szCs w:val="32"/>
          <w:highlight w:val="none"/>
        </w:rPr>
        <w:t>报价：【】。</w:t>
      </w:r>
    </w:p>
    <w:p>
      <w:pPr>
        <w:pStyle w:val="15"/>
        <w:widowControl/>
        <w:spacing w:line="540" w:lineRule="exact"/>
        <w:ind w:firstLine="640" w:firstLineChars="200"/>
        <w:rPr>
          <w:rFonts w:hint="default"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rPr>
        <w:t xml:space="preserve">2. </w:t>
      </w:r>
      <w:r>
        <w:rPr>
          <w:rFonts w:hint="eastAsia" w:ascii="Times New Roman" w:hAnsi="Times New Roman" w:eastAsia="仿宋_GB2312"/>
          <w:kern w:val="2"/>
          <w:sz w:val="32"/>
          <w:szCs w:val="32"/>
          <w:highlight w:val="none"/>
        </w:rPr>
        <w:t>做好2022年度省重点产业园区企业主要指标调查工作</w:t>
      </w:r>
      <w:r>
        <w:rPr>
          <w:rFonts w:hint="default" w:ascii="Times New Roman" w:hAnsi="Times New Roman" w:eastAsia="仿宋_GB2312"/>
          <w:kern w:val="2"/>
          <w:sz w:val="32"/>
          <w:szCs w:val="32"/>
          <w:highlight w:val="none"/>
        </w:rPr>
        <w:t>。报价：【】。</w:t>
      </w:r>
    </w:p>
    <w:p>
      <w:pPr>
        <w:pStyle w:val="15"/>
        <w:widowControl/>
        <w:spacing w:line="540" w:lineRule="exact"/>
        <w:ind w:firstLine="640" w:firstLineChars="200"/>
        <w:rPr>
          <w:rFonts w:hint="default"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rPr>
        <w:t>3.</w:t>
      </w:r>
      <w:r>
        <w:rPr>
          <w:rFonts w:eastAsia="仿宋_GB2312"/>
          <w:b/>
          <w:bCs/>
          <w:sz w:val="32"/>
          <w:szCs w:val="32"/>
          <w:highlight w:val="none"/>
        </w:rPr>
        <w:t xml:space="preserve"> </w:t>
      </w:r>
      <w:r>
        <w:rPr>
          <w:rFonts w:hint="eastAsia" w:ascii="Times New Roman" w:hAnsi="Times New Roman" w:eastAsia="仿宋_GB2312"/>
          <w:kern w:val="2"/>
          <w:sz w:val="32"/>
          <w:szCs w:val="32"/>
          <w:highlight w:val="none"/>
        </w:rPr>
        <w:t>开展2022年度新增基本单位清查工作</w:t>
      </w:r>
      <w:r>
        <w:rPr>
          <w:rFonts w:ascii="Times New Roman" w:hAnsi="Times New Roman" w:eastAsia="仿宋_GB2312"/>
          <w:kern w:val="2"/>
          <w:sz w:val="32"/>
          <w:szCs w:val="32"/>
          <w:highlight w:val="none"/>
        </w:rPr>
        <w:t>。</w:t>
      </w:r>
      <w:r>
        <w:rPr>
          <w:rFonts w:hint="default" w:ascii="Times New Roman" w:hAnsi="Times New Roman" w:eastAsia="仿宋_GB2312"/>
          <w:kern w:val="2"/>
          <w:sz w:val="32"/>
          <w:szCs w:val="32"/>
          <w:highlight w:val="none"/>
        </w:rPr>
        <w:t>报价：【】。</w:t>
      </w:r>
    </w:p>
    <w:p>
      <w:pPr>
        <w:pStyle w:val="15"/>
        <w:widowControl/>
        <w:spacing w:line="540" w:lineRule="exact"/>
        <w:ind w:firstLine="640" w:firstLineChars="200"/>
        <w:rPr>
          <w:rFonts w:hint="default" w:ascii="Times New Roman" w:hAnsi="Times New Roman" w:eastAsia="仿宋_GB2312"/>
          <w:kern w:val="2"/>
          <w:sz w:val="32"/>
          <w:szCs w:val="32"/>
          <w:highlight w:val="none"/>
        </w:rPr>
      </w:pPr>
      <w:r>
        <w:rPr>
          <w:rFonts w:ascii="Times New Roman" w:hAnsi="Times New Roman" w:eastAsia="仿宋_GB2312"/>
          <w:kern w:val="2"/>
          <w:sz w:val="32"/>
          <w:szCs w:val="32"/>
          <w:highlight w:val="none"/>
        </w:rPr>
        <w:t>4</w:t>
      </w:r>
      <w:r>
        <w:rPr>
          <w:rFonts w:hint="default" w:ascii="Times New Roman" w:hAnsi="Times New Roman" w:eastAsia="仿宋_GB2312"/>
          <w:kern w:val="2"/>
          <w:sz w:val="32"/>
          <w:szCs w:val="32"/>
          <w:highlight w:val="none"/>
        </w:rPr>
        <w:t xml:space="preserve">. </w:t>
      </w:r>
      <w:r>
        <w:rPr>
          <w:rFonts w:hint="eastAsia" w:ascii="Times New Roman" w:hAnsi="Times New Roman" w:eastAsia="仿宋_GB2312"/>
          <w:kern w:val="2"/>
          <w:sz w:val="32"/>
          <w:szCs w:val="32"/>
          <w:highlight w:val="none"/>
        </w:rPr>
        <w:t>做好2023年1-4季度园区特色统计指标监测工作</w:t>
      </w:r>
      <w:r>
        <w:rPr>
          <w:rFonts w:hint="default" w:ascii="Times New Roman" w:hAnsi="Times New Roman" w:eastAsia="仿宋_GB2312"/>
          <w:kern w:val="2"/>
          <w:sz w:val="32"/>
          <w:szCs w:val="32"/>
          <w:highlight w:val="none"/>
        </w:rPr>
        <w:t>。报价：【】</w:t>
      </w:r>
      <w:r>
        <w:rPr>
          <w:rFonts w:ascii="Times New Roman" w:hAnsi="Times New Roman" w:eastAsia="仿宋_GB2312"/>
          <w:kern w:val="2"/>
          <w:sz w:val="32"/>
          <w:szCs w:val="32"/>
          <w:highlight w:val="none"/>
        </w:rPr>
        <w:t>。</w:t>
      </w:r>
    </w:p>
    <w:p>
      <w:pPr>
        <w:spacing w:line="560" w:lineRule="exact"/>
        <w:ind w:firstLine="640" w:firstLineChars="200"/>
        <w:outlineLvl w:val="0"/>
        <w:rPr>
          <w:rFonts w:eastAsia="黑体"/>
          <w:sz w:val="32"/>
          <w:szCs w:val="32"/>
          <w:highlight w:val="none"/>
        </w:rPr>
      </w:pPr>
      <w:r>
        <w:rPr>
          <w:rFonts w:eastAsia="黑体"/>
          <w:sz w:val="32"/>
          <w:szCs w:val="32"/>
          <w:highlight w:val="none"/>
        </w:rPr>
        <w:t>三、结算方式</w:t>
      </w:r>
    </w:p>
    <w:p>
      <w:pPr>
        <w:pStyle w:val="15"/>
        <w:widowControl/>
        <w:spacing w:line="540" w:lineRule="exact"/>
        <w:ind w:firstLine="640" w:firstLineChars="200"/>
        <w:rPr>
          <w:rFonts w:hint="default" w:ascii="Times New Roman" w:hAnsi="Times New Roman" w:eastAsia="仿宋_GB2312"/>
          <w:kern w:val="2"/>
          <w:sz w:val="32"/>
          <w:szCs w:val="32"/>
          <w:highlight w:val="none"/>
          <w:lang w:val="en-US" w:eastAsia="zh-CN"/>
        </w:rPr>
      </w:pPr>
      <w:r>
        <w:rPr>
          <w:rFonts w:hint="default" w:ascii="Times New Roman" w:hAnsi="Times New Roman" w:eastAsia="仿宋_GB2312"/>
          <w:kern w:val="2"/>
          <w:sz w:val="32"/>
          <w:szCs w:val="32"/>
          <w:highlight w:val="none"/>
        </w:rPr>
        <w:t>分项目进行费用结算。甲方收到乙方提交的统计结果，经确认符合</w:t>
      </w:r>
      <w:r>
        <w:rPr>
          <w:rFonts w:ascii="Times New Roman" w:hAnsi="Times New Roman" w:eastAsia="仿宋_GB2312"/>
          <w:kern w:val="2"/>
          <w:sz w:val="32"/>
          <w:szCs w:val="32"/>
          <w:highlight w:val="none"/>
        </w:rPr>
        <w:t>调查方案</w:t>
      </w:r>
      <w:r>
        <w:rPr>
          <w:rFonts w:hint="default" w:ascii="Times New Roman" w:hAnsi="Times New Roman" w:eastAsia="仿宋_GB2312"/>
          <w:kern w:val="2"/>
          <w:sz w:val="32"/>
          <w:szCs w:val="32"/>
          <w:highlight w:val="none"/>
        </w:rPr>
        <w:t>要求，甲方支付乙方阶段项目90%的费用，收到乙方提供正式、合法、有效发票后</w:t>
      </w:r>
      <w:r>
        <w:rPr>
          <w:rFonts w:ascii="Times New Roman" w:hAnsi="Times New Roman" w:eastAsia="仿宋_GB2312"/>
          <w:kern w:val="2"/>
          <w:sz w:val="32"/>
          <w:szCs w:val="32"/>
          <w:highlight w:val="none"/>
        </w:rPr>
        <w:t>十五</w:t>
      </w:r>
      <w:r>
        <w:rPr>
          <w:rFonts w:hint="default" w:ascii="Times New Roman" w:hAnsi="Times New Roman" w:eastAsia="仿宋_GB2312"/>
          <w:kern w:val="2"/>
          <w:sz w:val="32"/>
          <w:szCs w:val="32"/>
          <w:highlight w:val="none"/>
        </w:rPr>
        <w:t>个工作日内完成支付。剩余10%待成果最终验收合格后支付乙方。</w:t>
      </w:r>
      <w:r>
        <w:rPr>
          <w:rFonts w:hint="eastAsia" w:ascii="Times New Roman" w:hAnsi="Times New Roman" w:eastAsia="仿宋_GB2312"/>
          <w:kern w:val="2"/>
          <w:sz w:val="32"/>
          <w:szCs w:val="32"/>
          <w:highlight w:val="none"/>
          <w:lang w:val="en-US" w:eastAsia="zh-CN"/>
        </w:rPr>
        <w:t>其中，2023年1-4季度园区特色统计指标监测工作每两季度进行一次结算，每次结算时，支付乙方阶段项目90%的费用，剩余10%待四个季度成果最终验收合格后支付乙方。</w:t>
      </w:r>
    </w:p>
    <w:p>
      <w:pPr>
        <w:spacing w:line="560" w:lineRule="exact"/>
        <w:ind w:firstLine="640" w:firstLineChars="200"/>
        <w:outlineLvl w:val="0"/>
        <w:rPr>
          <w:rFonts w:eastAsia="黑体"/>
          <w:sz w:val="32"/>
          <w:szCs w:val="32"/>
          <w:highlight w:val="none"/>
        </w:rPr>
      </w:pPr>
      <w:r>
        <w:rPr>
          <w:rFonts w:eastAsia="黑体"/>
          <w:sz w:val="32"/>
          <w:szCs w:val="32"/>
          <w:highlight w:val="none"/>
        </w:rPr>
        <w:t>四、甲方责任和义务</w:t>
      </w:r>
    </w:p>
    <w:p>
      <w:pPr>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1. 负责审定乙方制订的实施方案</w:t>
      </w:r>
      <w:r>
        <w:rPr>
          <w:rFonts w:hint="eastAsia" w:eastAsia="仿宋_GB2312"/>
          <w:color w:val="000000"/>
          <w:sz w:val="32"/>
          <w:szCs w:val="32"/>
          <w:highlight w:val="none"/>
        </w:rPr>
        <w:t>。</w:t>
      </w:r>
    </w:p>
    <w:p>
      <w:pPr>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2. 负责对乙方统计管理服务工作提出具体要求，并</w:t>
      </w:r>
      <w:r>
        <w:rPr>
          <w:rFonts w:eastAsia="仿宋_GB2312"/>
          <w:sz w:val="32"/>
          <w:szCs w:val="32"/>
          <w:highlight w:val="none"/>
        </w:rPr>
        <w:t>对整个服务工作过程进行质量管控</w:t>
      </w:r>
      <w:r>
        <w:rPr>
          <w:rFonts w:hint="eastAsia" w:eastAsia="仿宋_GB2312"/>
          <w:sz w:val="32"/>
          <w:szCs w:val="32"/>
          <w:highlight w:val="none"/>
        </w:rPr>
        <w:t>。</w:t>
      </w:r>
    </w:p>
    <w:p>
      <w:pPr>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3. 负责向乙方提供开展统计调查所需的证件、文件资料等</w:t>
      </w:r>
      <w:r>
        <w:rPr>
          <w:rFonts w:hint="eastAsia" w:eastAsia="仿宋_GB2312"/>
          <w:color w:val="000000"/>
          <w:sz w:val="32"/>
          <w:szCs w:val="32"/>
          <w:highlight w:val="none"/>
        </w:rPr>
        <w:t>。</w:t>
      </w:r>
    </w:p>
    <w:p>
      <w:pPr>
        <w:spacing w:line="560" w:lineRule="exact"/>
        <w:ind w:firstLine="640" w:firstLineChars="200"/>
        <w:rPr>
          <w:rFonts w:eastAsia="黑体"/>
          <w:sz w:val="32"/>
          <w:szCs w:val="32"/>
          <w:highlight w:val="none"/>
        </w:rPr>
      </w:pPr>
      <w:r>
        <w:rPr>
          <w:rFonts w:eastAsia="仿宋_GB2312"/>
          <w:color w:val="000000"/>
          <w:sz w:val="32"/>
          <w:szCs w:val="32"/>
          <w:highlight w:val="none"/>
        </w:rPr>
        <w:t>4. 负责对上报统计数据及回收的调查表进行质量抽查。</w:t>
      </w:r>
    </w:p>
    <w:p>
      <w:pPr>
        <w:spacing w:line="560" w:lineRule="exact"/>
        <w:ind w:firstLine="640" w:firstLineChars="200"/>
        <w:outlineLvl w:val="0"/>
        <w:rPr>
          <w:rFonts w:eastAsia="黑体"/>
          <w:sz w:val="32"/>
          <w:szCs w:val="32"/>
          <w:highlight w:val="none"/>
        </w:rPr>
      </w:pPr>
      <w:r>
        <w:rPr>
          <w:rFonts w:eastAsia="黑体"/>
          <w:sz w:val="32"/>
          <w:szCs w:val="32"/>
          <w:highlight w:val="none"/>
        </w:rPr>
        <w:t>五、乙方责任和义务</w:t>
      </w:r>
    </w:p>
    <w:p>
      <w:pPr>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1. 负责制订统计服务工作实施方案，并根据实施方案要求开展园区统计管理服务工作</w:t>
      </w:r>
      <w:r>
        <w:rPr>
          <w:rFonts w:hint="eastAsia" w:eastAsia="仿宋_GB2312"/>
          <w:color w:val="000000"/>
          <w:sz w:val="32"/>
          <w:szCs w:val="32"/>
          <w:highlight w:val="none"/>
        </w:rPr>
        <w:t>。</w:t>
      </w:r>
    </w:p>
    <w:p>
      <w:pPr>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2. 负责组织落实调查力量，对参与统计管理服务工作的所有统计员、调查员不定期进行业务培训</w:t>
      </w:r>
      <w:r>
        <w:rPr>
          <w:rFonts w:hint="eastAsia" w:eastAsia="仿宋_GB2312"/>
          <w:color w:val="000000"/>
          <w:sz w:val="32"/>
          <w:szCs w:val="32"/>
          <w:highlight w:val="none"/>
        </w:rPr>
        <w:t>。</w:t>
      </w:r>
      <w:r>
        <w:rPr>
          <w:rFonts w:eastAsia="仿宋_GB2312"/>
          <w:color w:val="000000"/>
          <w:sz w:val="32"/>
          <w:szCs w:val="32"/>
          <w:highlight w:val="none"/>
        </w:rPr>
        <w:t xml:space="preserve"> </w:t>
      </w:r>
    </w:p>
    <w:p>
      <w:pPr>
        <w:spacing w:line="560" w:lineRule="exact"/>
        <w:ind w:firstLine="640" w:firstLineChars="200"/>
        <w:rPr>
          <w:rFonts w:hint="eastAsia" w:eastAsia="仿宋_GB2312"/>
          <w:color w:val="000000"/>
          <w:sz w:val="32"/>
          <w:szCs w:val="32"/>
          <w:highlight w:val="none"/>
        </w:rPr>
      </w:pPr>
      <w:r>
        <w:rPr>
          <w:rFonts w:eastAsia="仿宋_GB2312"/>
          <w:color w:val="000000"/>
          <w:sz w:val="32"/>
          <w:szCs w:val="32"/>
          <w:highlight w:val="none"/>
        </w:rPr>
        <w:t>3. 在省、市统计局指导下，</w:t>
      </w:r>
      <w:r>
        <w:rPr>
          <w:rFonts w:hint="eastAsia" w:eastAsia="仿宋_GB2312"/>
          <w:color w:val="000000"/>
          <w:sz w:val="32"/>
          <w:szCs w:val="32"/>
          <w:highlight w:val="none"/>
        </w:rPr>
        <w:t>完成省重点产业园区企业主要指标调查、园区入驻企业发展情况调查、新增基本单位清查和</w:t>
      </w:r>
      <w:r>
        <w:rPr>
          <w:rFonts w:hint="eastAsia" w:eastAsia="仿宋_GB2312"/>
          <w:sz w:val="32"/>
          <w:szCs w:val="32"/>
          <w:highlight w:val="none"/>
        </w:rPr>
        <w:t>园区特色统计指标监测工作。</w:t>
      </w:r>
    </w:p>
    <w:p>
      <w:pPr>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4. 负责统计管理服务全过程的质量控制和调查表数据的审核把关；</w:t>
      </w:r>
    </w:p>
    <w:p>
      <w:pPr>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5. 负责做好甲方统计调查数据及资料的保密工作。</w:t>
      </w:r>
    </w:p>
    <w:p>
      <w:pPr>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val="en-US" w:eastAsia="zh-CN"/>
        </w:rPr>
        <w:t>其他约定在本合同其他条款中的乙方义务。</w:t>
      </w:r>
    </w:p>
    <w:p>
      <w:pPr>
        <w:spacing w:line="560" w:lineRule="exact"/>
        <w:ind w:firstLine="640" w:firstLineChars="200"/>
        <w:outlineLvl w:val="0"/>
        <w:rPr>
          <w:rFonts w:eastAsia="黑体"/>
          <w:sz w:val="32"/>
          <w:szCs w:val="32"/>
          <w:highlight w:val="none"/>
        </w:rPr>
      </w:pPr>
      <w:r>
        <w:rPr>
          <w:rFonts w:eastAsia="黑体"/>
          <w:color w:val="000000"/>
          <w:sz w:val="32"/>
          <w:szCs w:val="32"/>
          <w:highlight w:val="none"/>
        </w:rPr>
        <w:t>六、</w:t>
      </w:r>
      <w:r>
        <w:rPr>
          <w:rFonts w:eastAsia="黑体"/>
          <w:sz w:val="32"/>
          <w:szCs w:val="32"/>
          <w:highlight w:val="none"/>
        </w:rPr>
        <w:t>知识产权归属</w:t>
      </w:r>
    </w:p>
    <w:p>
      <w:pPr>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甲、乙双方在履行本协议过程中形成的所有技术成果、全部资料的知识产权及形成的相关利益均由甲方享有，乙方不得向第三人泄露、转让、许可他人使用，也不得非为本协议目的而利用。乙方保证提交给甲方使用的成果和为本项目编制的所有文件将不会对任何第三方构成侵权，任何第三方向甲方提出的涉及本项目的侵权之诉讼或索赔均由乙方自行处理，包括但不限于应诉和承担赔偿责任。</w:t>
      </w:r>
    </w:p>
    <w:p>
      <w:pPr>
        <w:spacing w:line="560" w:lineRule="exact"/>
        <w:ind w:firstLine="640" w:firstLineChars="200"/>
        <w:outlineLvl w:val="0"/>
        <w:rPr>
          <w:rFonts w:eastAsia="黑体"/>
          <w:sz w:val="32"/>
          <w:szCs w:val="32"/>
          <w:highlight w:val="none"/>
        </w:rPr>
      </w:pPr>
      <w:r>
        <w:rPr>
          <w:rFonts w:eastAsia="黑体"/>
          <w:color w:val="000000"/>
          <w:sz w:val="32"/>
          <w:szCs w:val="32"/>
          <w:highlight w:val="none"/>
        </w:rPr>
        <w:t>七、</w:t>
      </w:r>
      <w:r>
        <w:rPr>
          <w:rFonts w:eastAsia="黑体"/>
          <w:sz w:val="32"/>
          <w:szCs w:val="32"/>
          <w:highlight w:val="none"/>
        </w:rPr>
        <w:t>保密责任</w:t>
      </w:r>
    </w:p>
    <w:p>
      <w:pPr>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一）甲方根据乙方要求向乙方提供的信息，以及乙方对调查工作中知悉的调查对象基本信息、调查数据资料信息以及全部研究成果，包括担不限于技术性信息、商业性信息、文件、程序、计划、技术、图表、模型、参数、数据、标准、专有技术、业务或业务运作方法以及其他专有信息，本协议的条款和与本协议有关的其他商业信息和技术信息（以下统称“保密信息”），只能由乙方及其人员为本协议目的而使用。除本协议另有规定外，对于甲方提供的任何保密信息，未经甲方的书面同意，乙方及其知悉保密信息的人员均不得直接或间接地以任何方式提供或披露给协议以外的第三方。</w:t>
      </w:r>
    </w:p>
    <w:p>
      <w:pPr>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二）乙方为履行本协议知悉的保密信息，仅可由乙方为执行本协议需要披露给指定的雇员，并且仅在为执行本协议所需的范围内进行该等披露；但是，乙方在采取一切合理的预防措施之前，不得向其雇员披露任何保密信息，该等预防措施包括但不限于告知该等雇员将要披露信息的保密性质，由该等雇员做出至少与本协议保密义务一样严格的保密承诺等，以防止该等雇员为个人利益而使用保密信息或向任何第三方做出未经授权的任何披露。</w:t>
      </w:r>
    </w:p>
    <w:p>
      <w:pPr>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三）乙方的正式书面授权委托的律师、会计师、承包商和顾问等专业人员为提供专业协助而需要了解保密信息时，乙方可向其披露保密信息；但是，应要求上述人员签订保密协议或按照有关职业道德标准履行保密义务，并对上述人员因违反保密义务造成的损失承担连带清偿责任。</w:t>
      </w:r>
    </w:p>
    <w:p>
      <w:pPr>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四）如相关政府部门或监管机构按法律、行政法规的具体规定和法定程序要求乙方披露任何保密信息，乙方可在该政府部门或机构要求的范围内做出披露而无需承担本协议项下的责任。但前提是，乙方应在披露前将需披露的信息书面通知提供方，以便提供方采取必要的保护措施；且该等通知应尽可能在信息披露前做出，并且乙方应尽商业上合理的努力确保该等被披露的信息获得有关政府机关或机构的保密待遇。</w:t>
      </w:r>
    </w:p>
    <w:p>
      <w:pPr>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（五）乙方保密期限：永久。</w:t>
      </w:r>
    </w:p>
    <w:p>
      <w:pPr>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（六）本协议解除或终止时，乙方应立即停止使用且不得许可第三方使用甲方的保密信息。</w:t>
      </w:r>
    </w:p>
    <w:p>
      <w:pPr>
        <w:spacing w:line="560" w:lineRule="exact"/>
        <w:ind w:firstLine="640" w:firstLineChars="200"/>
        <w:rPr>
          <w:highlight w:val="none"/>
        </w:rPr>
      </w:pPr>
      <w:r>
        <w:rPr>
          <w:rFonts w:eastAsia="仿宋_GB2312"/>
          <w:color w:val="000000"/>
          <w:sz w:val="32"/>
          <w:szCs w:val="32"/>
          <w:highlight w:val="none"/>
        </w:rPr>
        <w:t>（七）甲方基于本协议履行而获知乙方保密信息，甲方及甲方关联方有权根据上级部门要求、相关法律法规政策及江东新区建设的实际需要向第三方披露和使用。</w:t>
      </w:r>
    </w:p>
    <w:p>
      <w:pPr>
        <w:spacing w:line="560" w:lineRule="exact"/>
        <w:ind w:firstLine="640" w:firstLineChars="200"/>
        <w:outlineLvl w:val="0"/>
        <w:rPr>
          <w:rFonts w:eastAsia="黑体"/>
          <w:sz w:val="32"/>
          <w:szCs w:val="32"/>
          <w:highlight w:val="none"/>
        </w:rPr>
      </w:pPr>
      <w:r>
        <w:rPr>
          <w:rFonts w:eastAsia="黑体"/>
          <w:sz w:val="32"/>
          <w:szCs w:val="32"/>
          <w:highlight w:val="none"/>
        </w:rPr>
        <w:t>八、违约责任</w:t>
      </w:r>
    </w:p>
    <w:p>
      <w:pPr>
        <w:pStyle w:val="15"/>
        <w:widowControl/>
        <w:numPr>
          <w:ilvl w:val="0"/>
          <w:numId w:val="2"/>
        </w:numPr>
        <w:spacing w:line="540" w:lineRule="exact"/>
        <w:ind w:firstLine="640" w:firstLineChars="200"/>
        <w:rPr>
          <w:rFonts w:hint="default"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rPr>
        <w:t>乙方未能按时保质保量地完成甲方委托的调查任务</w:t>
      </w:r>
      <w:r>
        <w:rPr>
          <w:rFonts w:hint="eastAsia" w:ascii="Times New Roman" w:hAnsi="Times New Roman" w:eastAsia="仿宋_GB2312" w:cs="Times New Roman"/>
          <w:kern w:val="2"/>
          <w:sz w:val="32"/>
          <w:szCs w:val="32"/>
          <w:lang w:val="en-US" w:eastAsia="zh-CN"/>
        </w:rPr>
        <w:t>或未履行乙方其他义务</w:t>
      </w:r>
      <w:r>
        <w:rPr>
          <w:rFonts w:hint="default" w:ascii="Times New Roman" w:hAnsi="Times New Roman" w:eastAsia="仿宋_GB2312"/>
          <w:kern w:val="2"/>
          <w:sz w:val="32"/>
          <w:szCs w:val="32"/>
          <w:highlight w:val="none"/>
        </w:rPr>
        <w:t>，按调查费用总额的10%支付违约金，甲方有权解除本合同，乙方应赔偿甲方因此遭受的全部损失。</w:t>
      </w:r>
    </w:p>
    <w:p>
      <w:pPr>
        <w:pStyle w:val="15"/>
        <w:widowControl/>
        <w:numPr>
          <w:ilvl w:val="0"/>
          <w:numId w:val="2"/>
        </w:numPr>
        <w:spacing w:line="540" w:lineRule="exact"/>
        <w:ind w:firstLine="640" w:firstLineChars="200"/>
        <w:rPr>
          <w:rFonts w:hint="default"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rPr>
        <w:t>如乙方未能按协议完成统计服务，甲方有权要求乙方重新调查，直至符合方案要求，费用由乙方自理。由此造成的损失由乙方承担，以甲方的实际损失计算。</w:t>
      </w:r>
    </w:p>
    <w:p>
      <w:pPr>
        <w:pStyle w:val="15"/>
        <w:widowControl/>
        <w:numPr>
          <w:ilvl w:val="0"/>
          <w:numId w:val="2"/>
        </w:numPr>
        <w:spacing w:line="540" w:lineRule="exact"/>
        <w:ind w:firstLine="640" w:firstLineChars="200"/>
        <w:rPr>
          <w:rFonts w:hint="default"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rPr>
        <w:t>甲方如发现乙方在工作中存在弄虚作假的行为的，甲方有权解除合同，未支付的费用不再支付，已支付的费用甲方有权要求乙方予以退回，乙方因此造成的损失由乙方自行承担。</w:t>
      </w:r>
    </w:p>
    <w:p>
      <w:pPr>
        <w:pStyle w:val="15"/>
        <w:widowControl/>
        <w:numPr>
          <w:ilvl w:val="0"/>
          <w:numId w:val="2"/>
        </w:numPr>
        <w:spacing w:line="540" w:lineRule="exact"/>
        <w:ind w:firstLine="640" w:firstLineChars="200"/>
        <w:rPr>
          <w:rFonts w:hint="default"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rPr>
        <w:t>未经甲方书面同意，乙方不得委托他方代为履行合同；不得将本合同项下的任何服务分包给任何第三方。如违反本条约定，甲方有权解除合同，未支付的费用不再支付，已支付的费用甲方有权要求乙方予以退回，乙方因此造成的损失由乙方自行承担。</w:t>
      </w:r>
    </w:p>
    <w:p>
      <w:pPr>
        <w:pStyle w:val="15"/>
        <w:widowControl/>
        <w:numPr>
          <w:ilvl w:val="0"/>
          <w:numId w:val="2"/>
        </w:numPr>
        <w:spacing w:line="540" w:lineRule="exact"/>
        <w:ind w:firstLine="640" w:firstLineChars="200"/>
        <w:rPr>
          <w:rFonts w:hint="default"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rPr>
        <w:t>乙方因违反本合同第七条约定的保密责任造成甲方及第三方损失的，应当由乙方承担赔偿责任（包括但不限于甲方的直接和间接损失、律师服务费、鉴定费、保全费等费用以及向第三方赔付的所有费用）。</w:t>
      </w:r>
    </w:p>
    <w:p>
      <w:pPr>
        <w:spacing w:line="560" w:lineRule="exact"/>
        <w:ind w:firstLine="640" w:firstLineChars="200"/>
        <w:outlineLvl w:val="0"/>
        <w:rPr>
          <w:rFonts w:eastAsia="黑体"/>
          <w:sz w:val="32"/>
          <w:szCs w:val="32"/>
          <w:highlight w:val="none"/>
        </w:rPr>
      </w:pPr>
      <w:r>
        <w:rPr>
          <w:rFonts w:eastAsia="黑体"/>
          <w:sz w:val="32"/>
          <w:szCs w:val="32"/>
          <w:highlight w:val="none"/>
        </w:rPr>
        <w:t>九、委托服务时间</w:t>
      </w:r>
    </w:p>
    <w:p>
      <w:pPr>
        <w:spacing w:line="560" w:lineRule="exact"/>
        <w:ind w:firstLine="640" w:firstLineChars="200"/>
        <w:rPr>
          <w:rFonts w:eastAsia="仿宋_GB2312"/>
          <w:sz w:val="32"/>
          <w:szCs w:val="32"/>
          <w:highlight w:val="none"/>
        </w:rPr>
      </w:pPr>
      <w:r>
        <w:rPr>
          <w:rFonts w:eastAsia="仿宋_GB2312"/>
          <w:color w:val="333333"/>
          <w:sz w:val="32"/>
          <w:szCs w:val="32"/>
          <w:highlight w:val="none"/>
        </w:rPr>
        <w:t>202</w:t>
      </w:r>
      <w:r>
        <w:rPr>
          <w:rFonts w:hint="eastAsia" w:eastAsia="仿宋_GB2312"/>
          <w:color w:val="333333"/>
          <w:sz w:val="32"/>
          <w:szCs w:val="32"/>
          <w:highlight w:val="none"/>
        </w:rPr>
        <w:t>2</w:t>
      </w:r>
      <w:r>
        <w:rPr>
          <w:rFonts w:eastAsia="仿宋_GB2312"/>
          <w:color w:val="333333"/>
          <w:sz w:val="32"/>
          <w:szCs w:val="32"/>
          <w:highlight w:val="none"/>
        </w:rPr>
        <w:t>年</w:t>
      </w:r>
      <w:r>
        <w:rPr>
          <w:rFonts w:hint="eastAsia" w:eastAsia="仿宋_GB2312"/>
          <w:color w:val="333333"/>
          <w:sz w:val="32"/>
          <w:szCs w:val="32"/>
          <w:highlight w:val="none"/>
        </w:rPr>
        <w:t>11</w:t>
      </w:r>
      <w:r>
        <w:rPr>
          <w:rFonts w:eastAsia="仿宋_GB2312"/>
          <w:color w:val="333333"/>
          <w:sz w:val="32"/>
          <w:szCs w:val="32"/>
          <w:highlight w:val="none"/>
        </w:rPr>
        <w:t>月-202</w:t>
      </w:r>
      <w:r>
        <w:rPr>
          <w:rFonts w:hint="eastAsia" w:eastAsia="仿宋_GB2312"/>
          <w:color w:val="333333"/>
          <w:sz w:val="32"/>
          <w:szCs w:val="32"/>
          <w:highlight w:val="none"/>
        </w:rPr>
        <w:t>4</w:t>
      </w:r>
      <w:r>
        <w:rPr>
          <w:rFonts w:eastAsia="仿宋_GB2312"/>
          <w:color w:val="333333"/>
          <w:sz w:val="32"/>
          <w:szCs w:val="32"/>
          <w:highlight w:val="none"/>
        </w:rPr>
        <w:t>年0</w:t>
      </w:r>
      <w:r>
        <w:rPr>
          <w:rFonts w:hint="eastAsia" w:eastAsia="仿宋_GB2312"/>
          <w:color w:val="333333"/>
          <w:sz w:val="32"/>
          <w:szCs w:val="32"/>
          <w:highlight w:val="none"/>
        </w:rPr>
        <w:t>2</w:t>
      </w:r>
      <w:r>
        <w:rPr>
          <w:rFonts w:eastAsia="仿宋_GB2312"/>
          <w:color w:val="333333"/>
          <w:sz w:val="32"/>
          <w:szCs w:val="32"/>
          <w:highlight w:val="none"/>
        </w:rPr>
        <w:t>月。</w:t>
      </w:r>
    </w:p>
    <w:p>
      <w:pPr>
        <w:spacing w:line="560" w:lineRule="exact"/>
        <w:ind w:firstLine="640" w:firstLineChars="200"/>
        <w:outlineLvl w:val="0"/>
        <w:rPr>
          <w:rFonts w:eastAsia="黑体"/>
          <w:sz w:val="32"/>
          <w:szCs w:val="32"/>
          <w:highlight w:val="none"/>
        </w:rPr>
      </w:pPr>
      <w:r>
        <w:rPr>
          <w:rFonts w:eastAsia="黑体"/>
          <w:sz w:val="32"/>
          <w:szCs w:val="32"/>
          <w:highlight w:val="none"/>
        </w:rPr>
        <w:t>十、争议解决方式</w:t>
      </w:r>
    </w:p>
    <w:p>
      <w:pPr>
        <w:spacing w:line="560" w:lineRule="exact"/>
        <w:ind w:firstLine="640" w:firstLineChars="200"/>
        <w:rPr>
          <w:rFonts w:eastAsia="仿宋_GB2312"/>
          <w:sz w:val="32"/>
          <w:szCs w:val="32"/>
          <w:highlight w:val="none"/>
        </w:rPr>
      </w:pPr>
      <w:r>
        <w:rPr>
          <w:rFonts w:eastAsia="仿宋_GB2312"/>
          <w:sz w:val="32"/>
          <w:szCs w:val="32"/>
          <w:highlight w:val="none"/>
        </w:rPr>
        <w:t>本合同履行过程中，如有争议和纠纷产生，双方应本着相互谅解的精神协商解决。争议不能以协商方式解决的，应提交至甲方所在地有管辖权的人民法院诉讼解决。败诉方承担因此产生的诉讼费、保全费、律师费、担保费及交通费等全部费用。</w:t>
      </w:r>
    </w:p>
    <w:p>
      <w:pPr>
        <w:widowControl/>
        <w:spacing w:line="560" w:lineRule="exact"/>
        <w:ind w:firstLine="640" w:firstLineChars="200"/>
        <w:outlineLvl w:val="0"/>
        <w:rPr>
          <w:rFonts w:eastAsia="黑体"/>
          <w:b/>
          <w:bCs/>
          <w:sz w:val="32"/>
          <w:szCs w:val="32"/>
          <w:highlight w:val="none"/>
        </w:rPr>
      </w:pPr>
      <w:r>
        <w:rPr>
          <w:rFonts w:eastAsia="黑体"/>
          <w:sz w:val="32"/>
          <w:szCs w:val="32"/>
          <w:highlight w:val="none"/>
        </w:rPr>
        <w:t>十一、</w:t>
      </w:r>
      <w:r>
        <w:rPr>
          <w:rFonts w:eastAsia="黑体"/>
          <w:b/>
          <w:bCs/>
          <w:sz w:val="32"/>
          <w:szCs w:val="32"/>
          <w:highlight w:val="none"/>
        </w:rPr>
        <w:t>其他</w:t>
      </w:r>
    </w:p>
    <w:p>
      <w:pPr>
        <w:pStyle w:val="15"/>
        <w:widowControl/>
        <w:numPr>
          <w:ilvl w:val="0"/>
          <w:numId w:val="3"/>
        </w:numPr>
        <w:spacing w:line="560" w:lineRule="exact"/>
        <w:ind w:firstLine="640" w:firstLineChars="200"/>
        <w:rPr>
          <w:rFonts w:hint="default"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rPr>
        <w:t>本协议自甲、乙双方法定代表人或其授权代表签字并加盖公章后生效，本协议一式陆份，甲、乙双方各执叁份，每份具有同等法律效力。</w:t>
      </w:r>
    </w:p>
    <w:p>
      <w:pPr>
        <w:pStyle w:val="15"/>
        <w:widowControl/>
        <w:numPr>
          <w:ilvl w:val="0"/>
          <w:numId w:val="3"/>
        </w:numPr>
        <w:spacing w:line="560" w:lineRule="exact"/>
        <w:ind w:firstLine="640" w:firstLineChars="200"/>
        <w:rPr>
          <w:rFonts w:hint="default"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rPr>
        <w:t>本协议未尽事宜，甲、乙双方共同协商解决。</w:t>
      </w:r>
    </w:p>
    <w:p>
      <w:pPr>
        <w:spacing w:line="560" w:lineRule="exact"/>
        <w:ind w:firstLine="640" w:firstLineChars="200"/>
        <w:rPr>
          <w:rFonts w:eastAsia="仿宋_GB2312"/>
          <w:sz w:val="32"/>
          <w:szCs w:val="32"/>
          <w:highlight w:val="none"/>
        </w:rPr>
      </w:pPr>
      <w:r>
        <w:rPr>
          <w:rFonts w:eastAsia="仿宋_GB2312"/>
          <w:sz w:val="32"/>
          <w:szCs w:val="32"/>
          <w:highlight w:val="none"/>
        </w:rPr>
        <w:t>（以下无正文）</w:t>
      </w:r>
    </w:p>
    <w:p>
      <w:pPr>
        <w:spacing w:line="560" w:lineRule="exact"/>
        <w:ind w:firstLine="640" w:firstLineChars="200"/>
        <w:rPr>
          <w:rFonts w:eastAsia="仿宋_GB2312"/>
          <w:sz w:val="32"/>
          <w:szCs w:val="32"/>
          <w:highlight w:val="none"/>
        </w:rPr>
      </w:pPr>
    </w:p>
    <w:p>
      <w:pPr>
        <w:spacing w:line="560" w:lineRule="exact"/>
        <w:rPr>
          <w:rFonts w:eastAsia="仿宋_GB2312"/>
          <w:sz w:val="32"/>
          <w:szCs w:val="32"/>
          <w:highlight w:val="none"/>
        </w:rPr>
      </w:pPr>
    </w:p>
    <w:p>
      <w:pPr>
        <w:spacing w:line="560" w:lineRule="exact"/>
        <w:ind w:firstLine="640" w:firstLineChars="200"/>
        <w:rPr>
          <w:rFonts w:eastAsia="仿宋_GB2312"/>
          <w:sz w:val="32"/>
          <w:szCs w:val="32"/>
          <w:highlight w:val="none"/>
        </w:rPr>
      </w:pPr>
      <w:r>
        <w:rPr>
          <w:rFonts w:eastAsia="仿宋_GB2312"/>
          <w:sz w:val="32"/>
          <w:szCs w:val="32"/>
          <w:highlight w:val="none"/>
        </w:rPr>
        <w:t xml:space="preserve">甲方：海口江东新区管理局        （盖章）                          </w:t>
      </w:r>
    </w:p>
    <w:p>
      <w:pPr>
        <w:spacing w:line="560" w:lineRule="exact"/>
        <w:ind w:firstLine="640" w:firstLineChars="200"/>
        <w:rPr>
          <w:rFonts w:eastAsia="仿宋_GB2312"/>
          <w:sz w:val="32"/>
          <w:szCs w:val="32"/>
          <w:highlight w:val="none"/>
        </w:rPr>
      </w:pPr>
      <w:r>
        <w:rPr>
          <w:rFonts w:eastAsia="仿宋_GB2312"/>
          <w:sz w:val="32"/>
          <w:szCs w:val="32"/>
          <w:highlight w:val="none"/>
        </w:rPr>
        <w:t>法定（授权）代表人：            （签章）</w:t>
      </w:r>
    </w:p>
    <w:p>
      <w:pPr>
        <w:spacing w:line="560" w:lineRule="exact"/>
        <w:ind w:firstLine="640" w:firstLineChars="200"/>
        <w:rPr>
          <w:rFonts w:eastAsia="仿宋_GB2312"/>
          <w:sz w:val="32"/>
          <w:szCs w:val="32"/>
          <w:highlight w:val="none"/>
        </w:rPr>
      </w:pPr>
    </w:p>
    <w:p>
      <w:pPr>
        <w:spacing w:line="560" w:lineRule="exact"/>
        <w:ind w:firstLine="640" w:firstLineChars="200"/>
        <w:rPr>
          <w:rFonts w:eastAsia="仿宋_GB2312"/>
          <w:sz w:val="32"/>
          <w:szCs w:val="32"/>
          <w:highlight w:val="none"/>
        </w:rPr>
      </w:pPr>
      <w:r>
        <w:rPr>
          <w:rFonts w:eastAsia="仿宋_GB2312"/>
          <w:sz w:val="32"/>
          <w:szCs w:val="32"/>
          <w:highlight w:val="none"/>
        </w:rPr>
        <w:t>乙方：                          （盖章）</w:t>
      </w:r>
    </w:p>
    <w:p>
      <w:pPr>
        <w:spacing w:line="560" w:lineRule="exact"/>
        <w:ind w:firstLine="640" w:firstLineChars="200"/>
        <w:rPr>
          <w:rFonts w:eastAsia="仿宋_GB2312"/>
          <w:sz w:val="32"/>
          <w:szCs w:val="32"/>
          <w:highlight w:val="none"/>
        </w:rPr>
      </w:pPr>
      <w:r>
        <w:rPr>
          <w:rFonts w:eastAsia="仿宋_GB2312"/>
          <w:sz w:val="32"/>
          <w:szCs w:val="32"/>
          <w:highlight w:val="none"/>
        </w:rPr>
        <w:t>法定（授权）代表人：            （签章）</w:t>
      </w:r>
    </w:p>
    <w:p>
      <w:pPr>
        <w:spacing w:line="560" w:lineRule="exact"/>
        <w:ind w:firstLine="640" w:firstLineChars="200"/>
        <w:rPr>
          <w:sz w:val="24"/>
          <w:highlight w:val="none"/>
        </w:rPr>
      </w:pPr>
      <w:r>
        <w:rPr>
          <w:rFonts w:eastAsia="仿宋_GB2312"/>
          <w:sz w:val="32"/>
          <w:szCs w:val="32"/>
          <w:highlight w:val="none"/>
        </w:rPr>
        <w:t>签订日期：     年   月   日</w:t>
      </w:r>
    </w:p>
    <w:p>
      <w:pPr>
        <w:autoSpaceDE w:val="0"/>
        <w:autoSpaceDN w:val="0"/>
        <w:adjustRightInd w:val="0"/>
        <w:snapToGrid w:val="0"/>
        <w:ind w:firstLine="720"/>
        <w:jc w:val="center"/>
        <w:outlineLvl w:val="0"/>
        <w:rPr>
          <w:sz w:val="36"/>
          <w:szCs w:val="36"/>
          <w:highlight w:val="none"/>
        </w:rPr>
      </w:pPr>
    </w:p>
    <w:p>
      <w:pPr>
        <w:rPr>
          <w:highlight w:val="none"/>
        </w:rPr>
      </w:pPr>
    </w:p>
    <w:p>
      <w:pPr>
        <w:autoSpaceDE w:val="0"/>
        <w:autoSpaceDN w:val="0"/>
        <w:adjustRightInd w:val="0"/>
        <w:snapToGrid w:val="0"/>
        <w:ind w:firstLine="720"/>
        <w:jc w:val="center"/>
        <w:outlineLvl w:val="0"/>
        <w:rPr>
          <w:color w:val="auto"/>
          <w:sz w:val="36"/>
          <w:szCs w:val="36"/>
        </w:rPr>
      </w:pPr>
    </w:p>
    <w:p>
      <w:pPr>
        <w:adjustRightInd w:val="0"/>
        <w:snapToGrid w:val="0"/>
        <w:spacing w:line="360" w:lineRule="auto"/>
        <w:rPr>
          <w:rFonts w:asciiTheme="minorEastAsia" w:hAnsiTheme="minorEastAsia" w:eastAsiaTheme="minorEastAsia" w:cstheme="minorEastAsia"/>
          <w:b/>
          <w:color w:val="auto"/>
          <w:szCs w:val="21"/>
        </w:rPr>
        <w:sectPr>
          <w:headerReference r:id="rId13" w:type="default"/>
          <w:pgSz w:w="11906" w:h="16838"/>
          <w:pgMar w:top="1440" w:right="1800" w:bottom="1440" w:left="1800" w:header="794" w:footer="992" w:gutter="0"/>
          <w:cols w:space="425" w:num="1"/>
          <w:docGrid w:type="lines" w:linePitch="312" w:charSpace="0"/>
        </w:sectPr>
      </w:pPr>
    </w:p>
    <w:p>
      <w:pPr>
        <w:pStyle w:val="9"/>
        <w:rPr>
          <w:color w:val="auto"/>
        </w:rPr>
      </w:pPr>
    </w:p>
    <w:p>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第六章  响应文件格式及附件</w:t>
      </w:r>
    </w:p>
    <w:p>
      <w:pPr>
        <w:adjustRightInd w:val="0"/>
        <w:snapToGrid w:val="0"/>
        <w:spacing w:line="360" w:lineRule="auto"/>
        <w:rPr>
          <w:rFonts w:asciiTheme="minorEastAsia" w:hAnsiTheme="minorEastAsia" w:eastAsiaTheme="minorEastAsia" w:cstheme="minorEastAsia"/>
          <w:b/>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
          <w:color w:val="auto"/>
          <w:szCs w:val="21"/>
        </w:rPr>
        <w:t>格式1:                           响 应 声 明 函</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致：（</w:t>
      </w:r>
      <w:r>
        <w:rPr>
          <w:rFonts w:hint="eastAsia" w:asciiTheme="minorEastAsia" w:hAnsiTheme="minorEastAsia" w:eastAsiaTheme="minorEastAsia" w:cstheme="minorEastAsia"/>
          <w:bCs/>
          <w:i/>
          <w:iCs/>
          <w:color w:val="auto"/>
          <w:szCs w:val="21"/>
          <w:u w:val="single"/>
        </w:rPr>
        <w:t>采购人）</w:t>
      </w:r>
    </w:p>
    <w:p>
      <w:pPr>
        <w:pStyle w:val="6"/>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根据贵方</w:t>
      </w:r>
      <w:r>
        <w:rPr>
          <w:rFonts w:hint="eastAsia" w:asciiTheme="minorEastAsia" w:hAnsiTheme="minorEastAsia" w:eastAsiaTheme="minorEastAsia" w:cstheme="minorEastAsia"/>
          <w:bCs/>
          <w:color w:val="auto"/>
          <w:szCs w:val="21"/>
          <w:u w:val="single"/>
        </w:rPr>
        <w:t xml:space="preserve">  海口江东新区统计服务 </w:t>
      </w:r>
      <w:r>
        <w:rPr>
          <w:rFonts w:hint="eastAsia" w:asciiTheme="minorEastAsia" w:hAnsiTheme="minorEastAsia" w:eastAsiaTheme="minorEastAsia" w:cstheme="minorEastAsia"/>
          <w:bCs/>
          <w:color w:val="auto"/>
          <w:szCs w:val="21"/>
        </w:rPr>
        <w:t>项目（项目编号：</w:t>
      </w:r>
      <w:r>
        <w:rPr>
          <w:rFonts w:hint="eastAsia" w:asciiTheme="minorEastAsia" w:hAnsiTheme="minorEastAsia" w:eastAsiaTheme="minorEastAsia" w:cstheme="minorEastAsia"/>
          <w:bCs/>
          <w:color w:val="auto"/>
          <w:szCs w:val="21"/>
          <w:u w:val="single"/>
        </w:rPr>
        <w:t xml:space="preserve"> zfcg-fw-20221019-001 </w:t>
      </w:r>
      <w:r>
        <w:rPr>
          <w:rFonts w:hint="eastAsia" w:asciiTheme="minorEastAsia" w:hAnsiTheme="minorEastAsia" w:eastAsiaTheme="minorEastAsia" w:cstheme="minorEastAsia"/>
          <w:bCs/>
          <w:color w:val="auto"/>
          <w:szCs w:val="21"/>
        </w:rPr>
        <w:t>）的</w:t>
      </w:r>
      <w:r>
        <w:rPr>
          <w:rFonts w:hint="eastAsia" w:asciiTheme="minorEastAsia" w:hAnsiTheme="minorEastAsia" w:eastAsiaTheme="minorEastAsia" w:cstheme="minorEastAsia"/>
          <w:bCs/>
          <w:color w:val="auto"/>
          <w:szCs w:val="21"/>
          <w:lang w:val="en-US" w:eastAsia="zh-CN"/>
        </w:rPr>
        <w:t>采购比选文件要求</w:t>
      </w:r>
      <w:r>
        <w:rPr>
          <w:rFonts w:hint="eastAsia" w:asciiTheme="minorEastAsia" w:hAnsiTheme="minorEastAsia" w:eastAsiaTheme="minorEastAsia" w:cstheme="minorEastAsia"/>
          <w:bCs/>
          <w:color w:val="auto"/>
          <w:szCs w:val="21"/>
        </w:rPr>
        <w:t>，本签字代表</w:t>
      </w:r>
      <w:r>
        <w:rPr>
          <w:rFonts w:hint="eastAsia" w:asciiTheme="minorEastAsia" w:hAnsiTheme="minorEastAsia" w:eastAsiaTheme="minorEastAsia" w:cstheme="minorEastAsia"/>
          <w:bCs/>
          <w:color w:val="auto"/>
          <w:szCs w:val="21"/>
          <w:u w:val="single"/>
        </w:rPr>
        <w:t>（全名、职务）</w:t>
      </w:r>
      <w:r>
        <w:rPr>
          <w:rFonts w:hint="eastAsia" w:asciiTheme="minorEastAsia" w:hAnsiTheme="minorEastAsia" w:eastAsiaTheme="minorEastAsia" w:cstheme="minorEastAsia"/>
          <w:bCs/>
          <w:color w:val="auto"/>
          <w:szCs w:val="21"/>
        </w:rPr>
        <w:t>代表供应商</w:t>
      </w:r>
      <w:r>
        <w:rPr>
          <w:rFonts w:hint="eastAsia" w:asciiTheme="minorEastAsia" w:hAnsiTheme="minorEastAsia" w:eastAsiaTheme="minorEastAsia" w:cstheme="minorEastAsia"/>
          <w:bCs/>
          <w:color w:val="auto"/>
          <w:szCs w:val="21"/>
          <w:u w:val="single"/>
        </w:rPr>
        <w:t>（供应商单位名称、地址）</w:t>
      </w:r>
      <w:r>
        <w:rPr>
          <w:rFonts w:hint="eastAsia" w:asciiTheme="minorEastAsia" w:hAnsiTheme="minorEastAsia" w:eastAsiaTheme="minorEastAsia" w:cstheme="minorEastAsia"/>
          <w:bCs/>
          <w:color w:val="auto"/>
          <w:szCs w:val="21"/>
        </w:rPr>
        <w:t>提交下述文件正本一份和副本</w:t>
      </w:r>
      <w:r>
        <w:rPr>
          <w:rFonts w:hint="eastAsia" w:asciiTheme="minorEastAsia" w:hAnsiTheme="minorEastAsia" w:eastAsiaTheme="minorEastAsia" w:cstheme="minorEastAsia"/>
          <w:bCs/>
          <w:color w:val="auto"/>
          <w:szCs w:val="21"/>
          <w:u w:val="single"/>
          <w:lang w:val="en-US" w:eastAsia="zh-CN"/>
        </w:rPr>
        <w:t>肆</w:t>
      </w:r>
      <w:r>
        <w:rPr>
          <w:rFonts w:hint="eastAsia" w:asciiTheme="minorEastAsia" w:hAnsiTheme="minorEastAsia" w:eastAsiaTheme="minorEastAsia" w:cstheme="minorEastAsia"/>
          <w:bCs/>
          <w:color w:val="auto"/>
          <w:szCs w:val="21"/>
        </w:rPr>
        <w:t>份。</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据此函，签字代表承诺如下内容（本承诺内容为响应基本要求，如不满足或有缺漏项的，视为响应无效）：</w:t>
      </w:r>
    </w:p>
    <w:p>
      <w:pPr>
        <w:adjustRightInd w:val="0"/>
        <w:snapToGrid w:val="0"/>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1、我们愿意遵守采购比选文件中的各项规定，提供符合采购比选文件所要求的各项服务。</w:t>
      </w:r>
    </w:p>
    <w:p>
      <w:pPr>
        <w:adjustRightInd w:val="0"/>
        <w:snapToGrid w:val="0"/>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2、我们同意本响应文件自响应文件接收截止日起90天内有效。</w:t>
      </w:r>
    </w:p>
    <w:p>
      <w:pPr>
        <w:adjustRightInd w:val="0"/>
        <w:snapToGrid w:val="0"/>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3、我们已经详细地阅读了全部采购比选文件及附件，包括澄清及参考文件（若有），我们完全理解并同意放弃对这方面有不明及误解的权利。</w:t>
      </w:r>
    </w:p>
    <w:p>
      <w:pPr>
        <w:adjustRightInd w:val="0"/>
        <w:snapToGrid w:val="0"/>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4.我们同意按贵司的要求提供有关资料，并保证真实性。      </w:t>
      </w:r>
    </w:p>
    <w:p>
      <w:pPr>
        <w:adjustRightInd w:val="0"/>
        <w:snapToGrid w:val="0"/>
        <w:spacing w:line="360" w:lineRule="auto"/>
        <w:rPr>
          <w:rFonts w:hint="eastAsia"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供应商代表签字：                 </w:t>
      </w: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供应商（全称并加盖公章）：            </w:t>
      </w:r>
    </w:p>
    <w:p>
      <w:pPr>
        <w:adjustRightInd w:val="0"/>
        <w:snapToGrid w:val="0"/>
        <w:spacing w:line="360" w:lineRule="auto"/>
        <w:ind w:firstLine="630" w:firstLineChars="3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Cs/>
          <w:color w:val="auto"/>
          <w:szCs w:val="21"/>
        </w:rPr>
        <w:t>日  期：</w:t>
      </w:r>
    </w:p>
    <w:p>
      <w:pPr>
        <w:adjustRightInd w:val="0"/>
        <w:snapToGrid w:val="0"/>
        <w:spacing w:line="360" w:lineRule="auto"/>
        <w:rPr>
          <w:rFonts w:asciiTheme="minorEastAsia" w:hAnsiTheme="minorEastAsia" w:eastAsiaTheme="minorEastAsia" w:cstheme="minorEastAsia"/>
          <w:b/>
          <w:color w:val="auto"/>
          <w:szCs w:val="21"/>
        </w:rPr>
        <w:sectPr>
          <w:pgSz w:w="11906" w:h="16838"/>
          <w:pgMar w:top="1440" w:right="1800" w:bottom="1440" w:left="1800" w:header="794" w:footer="992" w:gutter="0"/>
          <w:cols w:space="425" w:num="1"/>
          <w:docGrid w:type="lines" w:linePitch="312" w:charSpace="0"/>
        </w:sectPr>
      </w:pPr>
    </w:p>
    <w:p>
      <w:pPr>
        <w:adjustRightInd w:val="0"/>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格式2:                         开标一览表</w:t>
      </w: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项目名称：海口江东新区统计服务                     项目编号：zfcg-fw-20221019-001</w:t>
      </w:r>
    </w:p>
    <w:tbl>
      <w:tblPr>
        <w:tblStyle w:val="2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响应总价(小写)（元）</w:t>
            </w:r>
          </w:p>
        </w:tc>
        <w:tc>
          <w:tcPr>
            <w:tcW w:w="2823" w:type="dxa"/>
            <w:noWrap/>
            <w:vAlign w:val="center"/>
          </w:tcPr>
          <w:p>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服务期限</w:t>
            </w:r>
          </w:p>
        </w:tc>
        <w:tc>
          <w:tcPr>
            <w:tcW w:w="1527" w:type="dxa"/>
            <w:noWrap/>
            <w:vAlign w:val="center"/>
          </w:tcPr>
          <w:p>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pPr>
              <w:adjustRightInd w:val="0"/>
              <w:snapToGrid w:val="0"/>
              <w:spacing w:line="360" w:lineRule="auto"/>
              <w:jc w:val="center"/>
              <w:rPr>
                <w:rFonts w:asciiTheme="minorEastAsia" w:hAnsiTheme="minorEastAsia" w:eastAsiaTheme="minorEastAsia" w:cstheme="minorEastAsia"/>
                <w:bCs/>
                <w:color w:val="auto"/>
                <w:szCs w:val="21"/>
              </w:rPr>
            </w:pPr>
          </w:p>
        </w:tc>
        <w:tc>
          <w:tcPr>
            <w:tcW w:w="2823" w:type="dxa"/>
            <w:noWrap/>
          </w:tcPr>
          <w:p>
            <w:pPr>
              <w:adjustRightInd w:val="0"/>
              <w:snapToGrid w:val="0"/>
              <w:spacing w:line="360" w:lineRule="auto"/>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自合同签订之日起至2024年2月</w:t>
            </w:r>
          </w:p>
        </w:tc>
        <w:tc>
          <w:tcPr>
            <w:tcW w:w="1527" w:type="dxa"/>
            <w:noWrap/>
          </w:tcPr>
          <w:p>
            <w:pPr>
              <w:adjustRightInd w:val="0"/>
              <w:snapToGrid w:val="0"/>
              <w:spacing w:line="360" w:lineRule="auto"/>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pPr>
              <w:adjustRightInd w:val="0"/>
              <w:snapToGrid w:val="0"/>
              <w:spacing w:line="360" w:lineRule="auto"/>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pPr>
              <w:pStyle w:val="6"/>
              <w:adjustRightInd w:val="0"/>
              <w:snapToGrid w:val="0"/>
              <w:spacing w:line="360" w:lineRule="auto"/>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质量标准：符合采购人要求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pPr>
              <w:adjustRightInd w:val="0"/>
              <w:snapToGrid w:val="0"/>
              <w:spacing w:line="360" w:lineRule="auto"/>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备注：（其他需要说明的情形）</w:t>
            </w:r>
          </w:p>
        </w:tc>
      </w:tr>
    </w:tbl>
    <w:p>
      <w:pPr>
        <w:adjustRightInd w:val="0"/>
        <w:snapToGrid w:val="0"/>
        <w:spacing w:line="360" w:lineRule="auto"/>
        <w:ind w:firstLine="560"/>
        <w:rPr>
          <w:rFonts w:asciiTheme="minorEastAsia" w:hAnsiTheme="minorEastAsia" w:eastAsiaTheme="minorEastAsia" w:cstheme="minorEastAsia"/>
          <w:bCs/>
          <w:color w:val="auto"/>
          <w:szCs w:val="21"/>
        </w:rPr>
      </w:pPr>
    </w:p>
    <w:p>
      <w:pPr>
        <w:pStyle w:val="6"/>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供应商名称：                 （公章）</w:t>
      </w:r>
    </w:p>
    <w:p>
      <w:pPr>
        <w:pStyle w:val="6"/>
        <w:adjustRightInd w:val="0"/>
        <w:snapToGrid w:val="0"/>
        <w:spacing w:line="360" w:lineRule="auto"/>
        <w:ind w:firstLine="420" w:firstLineChars="200"/>
        <w:rPr>
          <w:rFonts w:asciiTheme="minorEastAsia" w:hAnsiTheme="minorEastAsia" w:eastAsiaTheme="minorEastAsia" w:cstheme="minorEastAsia"/>
          <w:bCs/>
          <w:color w:val="auto"/>
          <w:szCs w:val="21"/>
        </w:rPr>
      </w:pPr>
    </w:p>
    <w:p>
      <w:pPr>
        <w:pStyle w:val="6"/>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供应商代表签名：                日期：  </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要求：</w:t>
      </w:r>
    </w:p>
    <w:p>
      <w:pPr>
        <w:adjustRightInd w:val="0"/>
        <w:snapToGrid w:val="0"/>
        <w:spacing w:line="360" w:lineRule="auto"/>
        <w:rPr>
          <w:rFonts w:ascii="宋体" w:hAnsi="宋体" w:cs="宋体"/>
          <w:b/>
          <w:color w:val="auto"/>
          <w:szCs w:val="21"/>
        </w:rPr>
        <w:sectPr>
          <w:pgSz w:w="11906" w:h="16838"/>
          <w:pgMar w:top="1440" w:right="1800" w:bottom="1440" w:left="1800" w:header="794" w:footer="992" w:gutter="0"/>
          <w:cols w:space="425" w:num="1"/>
          <w:docGrid w:type="lines" w:linePitch="312" w:charSpace="0"/>
        </w:sectPr>
      </w:pPr>
      <w:bookmarkStart w:id="89" w:name="_GoBack"/>
      <w:bookmarkEnd w:id="89"/>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格式3:</w:t>
      </w:r>
      <w:r>
        <w:rPr>
          <w:rFonts w:hint="eastAsia" w:ascii="宋体" w:hAnsi="宋体" w:cs="宋体"/>
          <w:bCs/>
          <w:color w:val="auto"/>
          <w:szCs w:val="21"/>
        </w:rPr>
        <w:t xml:space="preserve">                            </w:t>
      </w:r>
      <w:r>
        <w:rPr>
          <w:rFonts w:hint="eastAsia" w:ascii="宋体" w:hAnsi="宋体" w:cs="宋体"/>
          <w:b/>
          <w:color w:val="auto"/>
          <w:szCs w:val="21"/>
        </w:rPr>
        <w:t>响应报价明细表</w:t>
      </w:r>
    </w:p>
    <w:p>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项目名称： 海口江东新区统计服务                  项目编号∶ zfcg-fw-20221019-001</w:t>
      </w:r>
    </w:p>
    <w:tbl>
      <w:tblPr>
        <w:tblStyle w:val="20"/>
        <w:tblpPr w:leftFromText="180" w:rightFromText="180" w:vertAnchor="text" w:horzAnchor="page" w:tblpX="1885" w:tblpY="376"/>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宋体" w:hAnsi="宋体" w:cs="宋体"/>
                <w:bCs/>
                <w:color w:val="auto"/>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宋体" w:hAnsi="宋体" w:cs="宋体"/>
                <w:bCs/>
                <w:color w:val="auto"/>
                <w:szCs w:val="21"/>
              </w:rPr>
            </w:pPr>
            <w:r>
              <w:rPr>
                <w:rFonts w:hint="eastAsia" w:ascii="宋体" w:hAnsi="宋体" w:cs="宋体"/>
                <w:bCs/>
                <w:color w:val="auto"/>
                <w:szCs w:val="21"/>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宋体" w:hAnsi="宋体" w:cs="宋体"/>
                <w:bCs/>
                <w:color w:val="auto"/>
                <w:szCs w:val="21"/>
              </w:rPr>
            </w:pPr>
            <w:r>
              <w:rPr>
                <w:rFonts w:hint="eastAsia" w:ascii="宋体" w:hAnsi="宋体" w:cs="宋体"/>
                <w:bCs/>
                <w:color w:val="auto"/>
                <w:szCs w:val="21"/>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单项总价</w:t>
            </w: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516" w:type="dxa"/>
            <w:gridSpan w:val="6"/>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总价（大小写）：</w:t>
            </w:r>
          </w:p>
        </w:tc>
      </w:tr>
    </w:tbl>
    <w:p>
      <w:pPr>
        <w:adjustRightInd w:val="0"/>
        <w:snapToGrid w:val="0"/>
        <w:spacing w:line="360" w:lineRule="auto"/>
        <w:ind w:firstLine="56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w:t>
      </w:r>
    </w:p>
    <w:p>
      <w:pPr>
        <w:pStyle w:val="6"/>
        <w:adjustRightInd w:val="0"/>
        <w:snapToGrid w:val="0"/>
        <w:spacing w:line="360" w:lineRule="auto"/>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供应商名称：                 （公章）</w:t>
      </w:r>
    </w:p>
    <w:p>
      <w:pPr>
        <w:pStyle w:val="6"/>
        <w:adjustRightInd w:val="0"/>
        <w:snapToGrid w:val="0"/>
        <w:spacing w:line="360" w:lineRule="auto"/>
        <w:rPr>
          <w:rFonts w:asciiTheme="minorEastAsia" w:hAnsiTheme="minorEastAsia" w:eastAsiaTheme="minorEastAsia" w:cstheme="minorEastAsia"/>
          <w:bCs/>
          <w:color w:val="auto"/>
          <w:szCs w:val="21"/>
        </w:rPr>
      </w:pPr>
    </w:p>
    <w:p>
      <w:pPr>
        <w:pStyle w:val="6"/>
        <w:adjustRightInd w:val="0"/>
        <w:snapToGrid w:val="0"/>
        <w:spacing w:line="360" w:lineRule="auto"/>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供应商代表签名：                日期：</w:t>
      </w:r>
    </w:p>
    <w:p>
      <w:pPr>
        <w:adjustRightInd w:val="0"/>
        <w:snapToGrid w:val="0"/>
        <w:spacing w:line="360" w:lineRule="auto"/>
        <w:rPr>
          <w:rFonts w:asciiTheme="minorEastAsia" w:hAnsiTheme="minorEastAsia" w:eastAsiaTheme="minorEastAsia" w:cstheme="minorEastAsia"/>
          <w:bCs/>
          <w:color w:val="auto"/>
          <w:szCs w:val="21"/>
        </w:rPr>
      </w:pPr>
    </w:p>
    <w:p>
      <w:pPr>
        <w:pStyle w:val="9"/>
        <w:rPr>
          <w:color w:val="auto"/>
        </w:rPr>
        <w:sectPr>
          <w:pgSz w:w="11906" w:h="16838"/>
          <w:pgMar w:top="1440" w:right="1800" w:bottom="1440" w:left="1800" w:header="794" w:footer="992" w:gutter="0"/>
          <w:cols w:space="425" w:num="1"/>
          <w:docGrid w:type="lines" w:linePitch="312" w:charSpace="0"/>
        </w:sectPr>
      </w:pPr>
    </w:p>
    <w:p>
      <w:pPr>
        <w:rPr>
          <w:color w:val="auto"/>
        </w:rPr>
      </w:pPr>
    </w:p>
    <w:p>
      <w:pPr>
        <w:adjustRightInd w:val="0"/>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格式4：                       法定代表人授权委托书</w:t>
      </w:r>
    </w:p>
    <w:p>
      <w:pPr>
        <w:jc w:val="center"/>
        <w:rPr>
          <w:color w:val="auto"/>
        </w:rPr>
      </w:pPr>
      <w:r>
        <w:rPr>
          <w:rFonts w:hint="eastAsia"/>
          <w:color w:val="auto"/>
        </w:rPr>
        <w:t>法定代表人授权委托书</w:t>
      </w:r>
    </w:p>
    <w:p>
      <w:pPr>
        <w:rPr>
          <w:color w:val="auto"/>
        </w:rPr>
      </w:pPr>
    </w:p>
    <w:p>
      <w:pPr>
        <w:rPr>
          <w:color w:val="auto"/>
        </w:rPr>
      </w:pPr>
      <w:r>
        <w:rPr>
          <w:rFonts w:hint="eastAsia"/>
          <w:color w:val="auto"/>
          <w:u w:val="single"/>
        </w:rPr>
        <w:t xml:space="preserve">     （供应商名称）     </w:t>
      </w:r>
      <w:r>
        <w:rPr>
          <w:rFonts w:hint="eastAsia"/>
          <w:color w:val="auto"/>
        </w:rPr>
        <w:t>法定代表人授权我司员工全权负责项目的一切相关事宜。本授权书于_______年_____月_____日签字生效，特此声明。</w:t>
      </w:r>
    </w:p>
    <w:p>
      <w:pPr>
        <w:rPr>
          <w:color w:val="auto"/>
        </w:rPr>
      </w:pPr>
    </w:p>
    <w:p>
      <w:pPr>
        <w:rPr>
          <w:color w:val="auto"/>
        </w:rPr>
      </w:pPr>
    </w:p>
    <w:p>
      <w:pPr>
        <w:rPr>
          <w:color w:val="auto"/>
        </w:rPr>
      </w:pPr>
    </w:p>
    <w:p>
      <w:pPr>
        <w:rPr>
          <w:color w:val="auto"/>
        </w:rPr>
      </w:pPr>
      <w:r>
        <w:rPr>
          <w:rFonts w:hint="eastAsia"/>
          <w:color w:val="auto"/>
        </w:rPr>
        <w:t xml:space="preserve">供应商（公章）：                                                         </w:t>
      </w:r>
    </w:p>
    <w:p>
      <w:pPr>
        <w:rPr>
          <w:color w:val="auto"/>
        </w:rPr>
      </w:pPr>
      <w:r>
        <w:rPr>
          <w:rFonts w:hint="eastAsia"/>
          <w:color w:val="auto"/>
        </w:rPr>
        <w:t>法定代表人签字：（或法人章）</w:t>
      </w:r>
    </w:p>
    <w:p>
      <w:pPr>
        <w:rPr>
          <w:color w:val="auto"/>
        </w:rPr>
      </w:pPr>
      <w:r>
        <w:rPr>
          <w:rFonts w:hint="eastAsia"/>
          <w:color w:val="auto"/>
        </w:rPr>
        <w:t>被授权人签字：</w:t>
      </w:r>
    </w:p>
    <w:p>
      <w:pPr>
        <w:pStyle w:val="9"/>
        <w:ind w:left="0" w:leftChars="0" w:firstLine="0" w:firstLineChars="0"/>
        <w:rPr>
          <w:color w:val="auto"/>
        </w:rPr>
      </w:pPr>
    </w:p>
    <w:p>
      <w:pPr>
        <w:pStyle w:val="9"/>
        <w:ind w:left="0" w:leftChars="0" w:firstLine="0" w:firstLineChars="0"/>
        <w:rPr>
          <w:color w:val="auto"/>
        </w:rPr>
      </w:pPr>
    </w:p>
    <w:p>
      <w:pPr>
        <w:pStyle w:val="9"/>
        <w:ind w:left="0" w:leftChars="0" w:firstLine="0" w:firstLineChars="0"/>
        <w:rPr>
          <w:rFonts w:ascii="宋体" w:hAnsi="宋体" w:eastAsia="宋体" w:cs="宋体"/>
          <w:color w:val="auto"/>
        </w:rPr>
      </w:pPr>
      <w:r>
        <w:rPr>
          <w:rFonts w:hint="eastAsia" w:ascii="宋体" w:hAnsi="宋体" w:eastAsia="宋体" w:cs="宋体"/>
          <w:color w:val="auto"/>
        </w:rPr>
        <w:t>附：法定代表人身份证复印件</w:t>
      </w:r>
    </w:p>
    <w:p>
      <w:pPr>
        <w:adjustRightInd w:val="0"/>
        <w:snapToGrid w:val="0"/>
        <w:spacing w:line="360" w:lineRule="auto"/>
        <w:rPr>
          <w:rFonts w:hint="eastAsia" w:ascii="宋体" w:hAnsi="宋体" w:cs="宋体"/>
          <w:color w:val="auto"/>
        </w:rPr>
        <w:sectPr>
          <w:pgSz w:w="11906" w:h="16838"/>
          <w:pgMar w:top="1440" w:right="1800" w:bottom="1440" w:left="1800" w:header="794" w:footer="992" w:gutter="0"/>
          <w:cols w:space="425" w:num="1"/>
          <w:docGrid w:type="lines" w:linePitch="312" w:charSpace="0"/>
        </w:sectPr>
      </w:pPr>
      <w:r>
        <w:rPr>
          <w:rFonts w:hint="eastAsia" w:ascii="宋体" w:hAnsi="宋体" w:cs="宋体"/>
          <w:color w:val="auto"/>
        </w:rPr>
        <w:t xml:space="preserve">    授权委托人身份证复印件</w:t>
      </w:r>
    </w:p>
    <w:p>
      <w:pPr>
        <w:pStyle w:val="9"/>
        <w:rPr>
          <w:color w:val="auto"/>
        </w:rPr>
      </w:pPr>
    </w:p>
    <w:p>
      <w:pPr>
        <w:pStyle w:val="35"/>
        <w:adjustRightInd w:val="0"/>
        <w:snapToGrid w:val="0"/>
        <w:spacing w:line="360" w:lineRule="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格式5：                       法定代表人身份证明书</w:t>
      </w: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法定代表人身份证明书</w:t>
      </w: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hint="default" w:asciiTheme="minorEastAsia" w:hAnsiTheme="minorEastAsia" w:eastAsiaTheme="minorEastAsia" w:cstheme="minorEastAsia"/>
          <w:bCs/>
          <w:color w:val="auto"/>
          <w:szCs w:val="21"/>
          <w:u w:val="single"/>
          <w:lang w:val="en-US" w:eastAsia="zh-CN"/>
        </w:rPr>
      </w:pPr>
      <w:r>
        <w:rPr>
          <w:rFonts w:hint="eastAsia" w:asciiTheme="minorEastAsia" w:hAnsiTheme="minorEastAsia" w:eastAsiaTheme="minorEastAsia" w:cstheme="minorEastAsia"/>
          <w:bCs/>
          <w:color w:val="auto"/>
          <w:szCs w:val="21"/>
        </w:rPr>
        <w:t>姓    名：性别：</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年龄：</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职务：</w:t>
      </w:r>
      <w:r>
        <w:rPr>
          <w:rFonts w:hint="eastAsia" w:asciiTheme="minorEastAsia" w:hAnsiTheme="minorEastAsia" w:eastAsiaTheme="minorEastAsia" w:cstheme="minorEastAsia"/>
          <w:bCs/>
          <w:color w:val="auto"/>
          <w:szCs w:val="21"/>
          <w:lang w:val="en-US" w:eastAsia="zh-CN"/>
        </w:rPr>
        <w:t xml:space="preserve">    </w:t>
      </w: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系</w:t>
      </w:r>
      <w:r>
        <w:rPr>
          <w:rFonts w:hint="eastAsia" w:asciiTheme="minorEastAsia" w:hAnsiTheme="minorEastAsia" w:eastAsiaTheme="minorEastAsia" w:cstheme="minorEastAsia"/>
          <w:bCs/>
          <w:color w:val="auto"/>
          <w:szCs w:val="21"/>
          <w:u w:val="single"/>
        </w:rPr>
        <w:t xml:space="preserve">    （供应商名称） </w:t>
      </w:r>
      <w:r>
        <w:rPr>
          <w:rFonts w:hint="eastAsia" w:asciiTheme="minorEastAsia" w:hAnsiTheme="minorEastAsia" w:eastAsiaTheme="minorEastAsia" w:cstheme="minorEastAsia"/>
          <w:bCs/>
          <w:color w:val="auto"/>
          <w:szCs w:val="21"/>
          <w:u w:val="single"/>
          <w:lang w:val="en-US" w:eastAsia="zh-CN"/>
        </w:rPr>
        <w:t xml:space="preserve"> </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的法定代表人。</w:t>
      </w: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特此证明。</w:t>
      </w: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供应商（公章）：                </w:t>
      </w:r>
    </w:p>
    <w:p>
      <w:pPr>
        <w:adjustRightInd w:val="0"/>
        <w:snapToGrid w:val="0"/>
        <w:spacing w:line="360" w:lineRule="auto"/>
        <w:rPr>
          <w:rFonts w:asciiTheme="minorEastAsia" w:hAnsiTheme="minorEastAsia" w:eastAsiaTheme="minorEastAsia" w:cstheme="minorEastAsia"/>
          <w:bCs/>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日期：  2022 年  月  日</w:t>
      </w:r>
    </w:p>
    <w:p>
      <w:pPr>
        <w:adjustRightInd w:val="0"/>
        <w:snapToGrid w:val="0"/>
        <w:spacing w:line="360" w:lineRule="auto"/>
        <w:rPr>
          <w:rFonts w:asciiTheme="minorEastAsia" w:hAnsiTheme="minorEastAsia" w:eastAsiaTheme="minorEastAsia" w:cstheme="minorEastAsia"/>
          <w:b/>
          <w:color w:val="auto"/>
          <w:szCs w:val="21"/>
        </w:rPr>
        <w:sectPr>
          <w:pgSz w:w="11906" w:h="16838"/>
          <w:pgMar w:top="1440" w:right="1800" w:bottom="1440" w:left="1800" w:header="794" w:footer="992" w:gutter="0"/>
          <w:cols w:space="425" w:num="1"/>
          <w:docGrid w:type="lines" w:linePitch="312" w:charSpace="0"/>
        </w:sectPr>
      </w:pPr>
    </w:p>
    <w:p>
      <w:pPr>
        <w:pStyle w:val="9"/>
        <w:rPr>
          <w:color w:val="auto"/>
        </w:rPr>
      </w:pPr>
    </w:p>
    <w:p>
      <w:pPr>
        <w:spacing w:line="360" w:lineRule="auto"/>
        <w:rPr>
          <w:rFonts w:ascii="宋体" w:hAnsi="宋体" w:cs="宋体"/>
          <w:b/>
          <w:bCs/>
          <w:color w:val="auto"/>
          <w:szCs w:val="21"/>
        </w:rPr>
      </w:pPr>
      <w:r>
        <w:rPr>
          <w:rFonts w:hint="eastAsia" w:ascii="宋体" w:hAnsi="宋体" w:cs="宋体"/>
          <w:b/>
          <w:color w:val="auto"/>
          <w:szCs w:val="21"/>
        </w:rPr>
        <w:t xml:space="preserve">格式6：                    </w:t>
      </w:r>
      <w:r>
        <w:rPr>
          <w:rFonts w:hint="eastAsia" w:ascii="宋体" w:hAnsi="宋体" w:cs="宋体"/>
          <w:b/>
          <w:bCs/>
          <w:color w:val="auto"/>
          <w:szCs w:val="21"/>
        </w:rPr>
        <w:t>资格承诺函</w:t>
      </w:r>
    </w:p>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（采购人、采购人）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我单位参与</w:t>
      </w:r>
      <w:r>
        <w:rPr>
          <w:rFonts w:hint="eastAsia" w:ascii="宋体" w:hAnsi="宋体" w:cs="宋体"/>
          <w:color w:val="auto"/>
          <w:szCs w:val="21"/>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海口江东新区统计服务项目（项目编号： zfcg-fw-20221019-001 ）</w:t>
      </w:r>
      <w:r>
        <w:rPr>
          <w:rFonts w:hint="eastAsia" w:ascii="宋体" w:hAnsi="宋体" w:cs="宋体"/>
          <w:color w:val="auto"/>
          <w:szCs w:val="21"/>
        </w:rPr>
        <w:t>项目的采购活动，现承诺如下：</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1.我单位具有符合《中华人民共和国政府采购法》《中华人民共和国政府采购法实施条例》及采购比选文件资格要求规定的良好的商业信誉和健全的财务会计制度。</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2.我单位具有符合《中华人民共和国政府采购法》《中华人民共和国政府采购法实施条例》及采购比选文件资格要求规定的履行合同所必需的设备和专业技术能力。</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3.我单位具有符合《中华人民共和国政府采购法》《中华人民共和国政府采购法实施条例》及采购比选文件资格要求规定的依法缴纳税收和社会保障资金的相关证明材料。</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4.我单位符合《中华人民共和国政府采购法》《中华人民共和国政府采购法实施条例》及采购比选文件资格要求规定的在参加政府采购活动前三年内，在经营活动中没有重大违法记录。</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5.如违反上述承诺，同意将相关失信行为纳入海口市信用信息共享平台。</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6.同意此承诺书在市公共资源中心的政府采购信息发布平台公示，接受社会各界监督。</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若我单位以上承诺不实，自愿承担提供虚假材料谋取中标、成交的法律责任。</w:t>
      </w:r>
    </w:p>
    <w:p>
      <w:pPr>
        <w:spacing w:line="360" w:lineRule="auto"/>
        <w:rPr>
          <w:rFonts w:ascii="宋体" w:hAnsi="宋体" w:cs="宋体"/>
          <w:color w:val="auto"/>
          <w:szCs w:val="21"/>
        </w:rPr>
      </w:pP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承诺供应商（全称并加盖公章）：</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单位负责人或授权代表（签字）：</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日期：</w:t>
      </w:r>
    </w:p>
    <w:p>
      <w:pPr>
        <w:adjustRightInd w:val="0"/>
        <w:snapToGrid w:val="0"/>
        <w:spacing w:line="360" w:lineRule="auto"/>
        <w:ind w:firstLine="420" w:firstLineChars="200"/>
        <w:rPr>
          <w:rFonts w:ascii="宋体" w:hAnsi="宋体" w:cs="宋体"/>
          <w:color w:val="auto"/>
          <w:szCs w:val="21"/>
        </w:rPr>
      </w:pPr>
    </w:p>
    <w:p>
      <w:pPr>
        <w:pStyle w:val="9"/>
        <w:rPr>
          <w:rFonts w:ascii="宋体" w:hAnsi="宋体" w:eastAsia="宋体" w:cs="宋体"/>
          <w:bCs w:val="0"/>
          <w:color w:val="auto"/>
        </w:rPr>
      </w:pPr>
    </w:p>
    <w:p>
      <w:pPr>
        <w:rPr>
          <w:rFonts w:ascii="宋体" w:hAnsi="宋体" w:cs="宋体"/>
          <w:color w:val="auto"/>
          <w:szCs w:val="21"/>
        </w:rPr>
      </w:pPr>
    </w:p>
    <w:p>
      <w:pPr>
        <w:pStyle w:val="9"/>
        <w:rPr>
          <w:rFonts w:ascii="宋体" w:hAnsi="宋体" w:eastAsia="宋体" w:cs="宋体"/>
          <w:bCs w:val="0"/>
          <w:color w:val="auto"/>
        </w:rPr>
      </w:pPr>
    </w:p>
    <w:p>
      <w:pPr>
        <w:rPr>
          <w:rFonts w:ascii="宋体" w:hAnsi="宋体" w:cs="宋体"/>
          <w:color w:val="auto"/>
          <w:szCs w:val="21"/>
        </w:rPr>
      </w:pPr>
    </w:p>
    <w:p>
      <w:pPr>
        <w:adjustRightInd w:val="0"/>
        <w:snapToGrid w:val="0"/>
        <w:spacing w:line="360" w:lineRule="auto"/>
        <w:rPr>
          <w:rFonts w:asciiTheme="minorEastAsia" w:hAnsiTheme="minorEastAsia" w:eastAsiaTheme="minorEastAsia" w:cstheme="minorEastAsia"/>
          <w:bCs/>
          <w:color w:val="auto"/>
          <w:szCs w:val="21"/>
        </w:rPr>
      </w:pPr>
    </w:p>
    <w:sectPr>
      <w:pgSz w:w="11906" w:h="16838"/>
      <w:pgMar w:top="1440" w:right="1800" w:bottom="1440" w:left="180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fldChar w:fldCharType="end"/>
                    </w:r>
                    <w:r>
                      <w:rPr>
                        <w:rFonts w:hint="eastAsia"/>
                      </w:rPr>
                      <w:t xml:space="preserve"> 页</w:t>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fldChar w:fldCharType="end"/>
                    </w:r>
                    <w:r>
                      <w:rPr>
                        <w:rFonts w:hint="eastAsia"/>
                      </w:rPr>
                      <w:t xml:space="preserve"> 页</w:t>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fldChar w:fldCharType="end"/>
                    </w:r>
                    <w:r>
                      <w:rPr>
                        <w:rFonts w:hint="eastAsia"/>
                      </w:rPr>
                      <w:t xml:space="preserve"> 页</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outlineLvl w:val="0"/>
      <w:rPr>
        <w:rFonts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pPr>
      <w:pStyle w:val="10"/>
      <w:ind w:left="3975" w:leftChars="1893" w:firstLine="2741" w:firstLineChars="1300"/>
      <w:outlineLvl w:val="0"/>
      <w:rPr>
        <w:rFonts w:hAnsi="宋体"/>
        <w:b/>
        <w:bCs/>
        <w:szCs w:val="21"/>
      </w:rPr>
    </w:pPr>
    <w:r>
      <w:rPr>
        <w:rFonts w:hint="eastAsia" w:hAnsi="宋体"/>
        <w:b/>
        <w:bCs/>
        <w:szCs w:val="21"/>
      </w:rPr>
      <w:t>/HKGP-2021-0038</w:t>
    </w:r>
  </w:p>
  <w:p>
    <w:pPr>
      <w:pStyle w:val="13"/>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outlineLvl w:val="0"/>
      <w:rPr>
        <w:rFonts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pPr>
      <w:pStyle w:val="10"/>
      <w:ind w:left="3975" w:leftChars="1893" w:firstLine="2741" w:firstLineChars="1300"/>
      <w:outlineLvl w:val="0"/>
      <w:rPr>
        <w:rFonts w:hAnsi="宋体"/>
        <w:b/>
        <w:bCs/>
        <w:szCs w:val="21"/>
      </w:rPr>
    </w:pPr>
    <w:r>
      <w:rPr>
        <w:rFonts w:hint="eastAsia" w:hAnsi="宋体"/>
        <w:b/>
        <w:bCs/>
        <w:szCs w:val="21"/>
      </w:rPr>
      <w:t>/HKGP-2021-0038</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55513"/>
    <w:multiLevelType w:val="singleLevel"/>
    <w:tmpl w:val="F4F55513"/>
    <w:lvl w:ilvl="0" w:tentative="0">
      <w:start w:val="1"/>
      <w:numFmt w:val="decimal"/>
      <w:suff w:val="space"/>
      <w:lvlText w:val="%1."/>
      <w:lvlJc w:val="left"/>
    </w:lvl>
  </w:abstractNum>
  <w:abstractNum w:abstractNumId="1">
    <w:nsid w:val="1BD896DB"/>
    <w:multiLevelType w:val="singleLevel"/>
    <w:tmpl w:val="1BD896DB"/>
    <w:lvl w:ilvl="0" w:tentative="0">
      <w:start w:val="2"/>
      <w:numFmt w:val="chineseCounting"/>
      <w:suff w:val="nothing"/>
      <w:lvlText w:val="（%1）"/>
      <w:lvlJc w:val="left"/>
      <w:pPr>
        <w:ind w:left="-2"/>
      </w:pPr>
      <w:rPr>
        <w:rFonts w:hint="eastAsia"/>
      </w:rPr>
    </w:lvl>
  </w:abstractNum>
  <w:abstractNum w:abstractNumId="2">
    <w:nsid w:val="4A5D9383"/>
    <w:multiLevelType w:val="singleLevel"/>
    <w:tmpl w:val="4A5D9383"/>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M2MwMGZlNzA3YTA4NzFlNmQ1MjA3MGFmODhhMzgifQ=="/>
  </w:docVars>
  <w:rsids>
    <w:rsidRoot w:val="53E73F9D"/>
    <w:rsid w:val="001A7D66"/>
    <w:rsid w:val="001C48C4"/>
    <w:rsid w:val="001D4F28"/>
    <w:rsid w:val="003216DB"/>
    <w:rsid w:val="003222A8"/>
    <w:rsid w:val="003B585E"/>
    <w:rsid w:val="003B7BEC"/>
    <w:rsid w:val="00407E90"/>
    <w:rsid w:val="0041038B"/>
    <w:rsid w:val="00462FA9"/>
    <w:rsid w:val="004B742E"/>
    <w:rsid w:val="004E1D98"/>
    <w:rsid w:val="00573B79"/>
    <w:rsid w:val="005D103E"/>
    <w:rsid w:val="005F4489"/>
    <w:rsid w:val="006C2BFB"/>
    <w:rsid w:val="00801901"/>
    <w:rsid w:val="00841D32"/>
    <w:rsid w:val="00847139"/>
    <w:rsid w:val="009A1606"/>
    <w:rsid w:val="009B4088"/>
    <w:rsid w:val="009C1B64"/>
    <w:rsid w:val="009E6BD3"/>
    <w:rsid w:val="00A63F7E"/>
    <w:rsid w:val="00A875B4"/>
    <w:rsid w:val="00AC738E"/>
    <w:rsid w:val="00B37D42"/>
    <w:rsid w:val="00C13D3C"/>
    <w:rsid w:val="00CF22F4"/>
    <w:rsid w:val="00CF3B3E"/>
    <w:rsid w:val="00D64C4C"/>
    <w:rsid w:val="00DC6C0C"/>
    <w:rsid w:val="00E206A4"/>
    <w:rsid w:val="00E3256B"/>
    <w:rsid w:val="00ED1447"/>
    <w:rsid w:val="00FC23AC"/>
    <w:rsid w:val="012F0CEC"/>
    <w:rsid w:val="014E162F"/>
    <w:rsid w:val="0159347F"/>
    <w:rsid w:val="01816A09"/>
    <w:rsid w:val="01DC71AE"/>
    <w:rsid w:val="02213014"/>
    <w:rsid w:val="022D30DA"/>
    <w:rsid w:val="02455925"/>
    <w:rsid w:val="02D219C4"/>
    <w:rsid w:val="02DD2408"/>
    <w:rsid w:val="03231259"/>
    <w:rsid w:val="033B0CFE"/>
    <w:rsid w:val="034F7EF4"/>
    <w:rsid w:val="03854560"/>
    <w:rsid w:val="03BF4CCA"/>
    <w:rsid w:val="03C14561"/>
    <w:rsid w:val="040D3C69"/>
    <w:rsid w:val="04261197"/>
    <w:rsid w:val="04630F4A"/>
    <w:rsid w:val="049B5476"/>
    <w:rsid w:val="04E03371"/>
    <w:rsid w:val="052D4ADE"/>
    <w:rsid w:val="055E210C"/>
    <w:rsid w:val="056A57F8"/>
    <w:rsid w:val="05F21DE6"/>
    <w:rsid w:val="064E6865"/>
    <w:rsid w:val="06984B35"/>
    <w:rsid w:val="06EC4087"/>
    <w:rsid w:val="07050876"/>
    <w:rsid w:val="071D0355"/>
    <w:rsid w:val="07224C2D"/>
    <w:rsid w:val="073851BD"/>
    <w:rsid w:val="07B81042"/>
    <w:rsid w:val="07D1641A"/>
    <w:rsid w:val="07F661BB"/>
    <w:rsid w:val="08007B78"/>
    <w:rsid w:val="08105A97"/>
    <w:rsid w:val="08145A20"/>
    <w:rsid w:val="082C4653"/>
    <w:rsid w:val="085A2AEA"/>
    <w:rsid w:val="085A4AFD"/>
    <w:rsid w:val="08A774AC"/>
    <w:rsid w:val="08DB2D17"/>
    <w:rsid w:val="08DC5BCE"/>
    <w:rsid w:val="090F409F"/>
    <w:rsid w:val="09601EFA"/>
    <w:rsid w:val="09A068B5"/>
    <w:rsid w:val="09B37E23"/>
    <w:rsid w:val="09FC5A6D"/>
    <w:rsid w:val="0A586351"/>
    <w:rsid w:val="0A7B7C6C"/>
    <w:rsid w:val="0A89454C"/>
    <w:rsid w:val="0AA52631"/>
    <w:rsid w:val="0AD87214"/>
    <w:rsid w:val="0AF21923"/>
    <w:rsid w:val="0AFD710E"/>
    <w:rsid w:val="0BB7140A"/>
    <w:rsid w:val="0BBC0022"/>
    <w:rsid w:val="0BD90EE9"/>
    <w:rsid w:val="0C282C80"/>
    <w:rsid w:val="0C747BE1"/>
    <w:rsid w:val="0C796895"/>
    <w:rsid w:val="0C8D7232"/>
    <w:rsid w:val="0C956CDB"/>
    <w:rsid w:val="0C970E9C"/>
    <w:rsid w:val="0C9E593E"/>
    <w:rsid w:val="0CC95340"/>
    <w:rsid w:val="0CE06855"/>
    <w:rsid w:val="0CF271BF"/>
    <w:rsid w:val="0D3A63F7"/>
    <w:rsid w:val="0D5F1E64"/>
    <w:rsid w:val="0DB27913"/>
    <w:rsid w:val="0DFD1228"/>
    <w:rsid w:val="0E2B535C"/>
    <w:rsid w:val="0E603E62"/>
    <w:rsid w:val="0E8F2B30"/>
    <w:rsid w:val="0F0B51D4"/>
    <w:rsid w:val="0F3B3D47"/>
    <w:rsid w:val="0F4814BC"/>
    <w:rsid w:val="100B407B"/>
    <w:rsid w:val="104E667B"/>
    <w:rsid w:val="10575E20"/>
    <w:rsid w:val="105A2DDD"/>
    <w:rsid w:val="106611CB"/>
    <w:rsid w:val="113722BE"/>
    <w:rsid w:val="113F685C"/>
    <w:rsid w:val="11601AD6"/>
    <w:rsid w:val="11E76422"/>
    <w:rsid w:val="12380801"/>
    <w:rsid w:val="12507C79"/>
    <w:rsid w:val="1254371D"/>
    <w:rsid w:val="1262199D"/>
    <w:rsid w:val="12865437"/>
    <w:rsid w:val="12AF6F40"/>
    <w:rsid w:val="12BD6BF4"/>
    <w:rsid w:val="132D6E78"/>
    <w:rsid w:val="137C0484"/>
    <w:rsid w:val="13962132"/>
    <w:rsid w:val="1399374C"/>
    <w:rsid w:val="139C4065"/>
    <w:rsid w:val="1437327D"/>
    <w:rsid w:val="144813FA"/>
    <w:rsid w:val="145A17F2"/>
    <w:rsid w:val="145A366F"/>
    <w:rsid w:val="14B33330"/>
    <w:rsid w:val="14E24257"/>
    <w:rsid w:val="14F364DD"/>
    <w:rsid w:val="150D5D06"/>
    <w:rsid w:val="157F1A78"/>
    <w:rsid w:val="15D078F9"/>
    <w:rsid w:val="15DA2C5A"/>
    <w:rsid w:val="1605187F"/>
    <w:rsid w:val="16154877"/>
    <w:rsid w:val="16C0190D"/>
    <w:rsid w:val="170F0CDD"/>
    <w:rsid w:val="17137D16"/>
    <w:rsid w:val="17AC17A1"/>
    <w:rsid w:val="17B77DC6"/>
    <w:rsid w:val="186A144F"/>
    <w:rsid w:val="18812024"/>
    <w:rsid w:val="18DA1062"/>
    <w:rsid w:val="18DF750D"/>
    <w:rsid w:val="19057B47"/>
    <w:rsid w:val="192E465C"/>
    <w:rsid w:val="195A634B"/>
    <w:rsid w:val="199C16E9"/>
    <w:rsid w:val="199D5F29"/>
    <w:rsid w:val="1A5202FA"/>
    <w:rsid w:val="1AAC33FA"/>
    <w:rsid w:val="1AED0A61"/>
    <w:rsid w:val="1AFD4D04"/>
    <w:rsid w:val="1B056327"/>
    <w:rsid w:val="1B4B4FB2"/>
    <w:rsid w:val="1B4B7E58"/>
    <w:rsid w:val="1B4E010B"/>
    <w:rsid w:val="1B7A723A"/>
    <w:rsid w:val="1B9E715D"/>
    <w:rsid w:val="1BCA0EFB"/>
    <w:rsid w:val="1BD6322C"/>
    <w:rsid w:val="1BDF0C37"/>
    <w:rsid w:val="1C180837"/>
    <w:rsid w:val="1C2244F6"/>
    <w:rsid w:val="1C6670D2"/>
    <w:rsid w:val="1C9070D0"/>
    <w:rsid w:val="1CA52F76"/>
    <w:rsid w:val="1CAD6FA9"/>
    <w:rsid w:val="1D234DCF"/>
    <w:rsid w:val="1D2D3ACF"/>
    <w:rsid w:val="1D686A57"/>
    <w:rsid w:val="1D813BCE"/>
    <w:rsid w:val="1DE2494A"/>
    <w:rsid w:val="1DF555E0"/>
    <w:rsid w:val="1E1A6270"/>
    <w:rsid w:val="1E66393B"/>
    <w:rsid w:val="1EB83740"/>
    <w:rsid w:val="1EC56452"/>
    <w:rsid w:val="1EED5392"/>
    <w:rsid w:val="1F9D2223"/>
    <w:rsid w:val="1FC96AD8"/>
    <w:rsid w:val="1FE15F3B"/>
    <w:rsid w:val="203E5DA7"/>
    <w:rsid w:val="207D242B"/>
    <w:rsid w:val="21132956"/>
    <w:rsid w:val="211428BF"/>
    <w:rsid w:val="21202FCA"/>
    <w:rsid w:val="217C5962"/>
    <w:rsid w:val="21AF3600"/>
    <w:rsid w:val="21B3342C"/>
    <w:rsid w:val="224A1874"/>
    <w:rsid w:val="229B216B"/>
    <w:rsid w:val="22B13B13"/>
    <w:rsid w:val="22B66EF0"/>
    <w:rsid w:val="234271CB"/>
    <w:rsid w:val="237D267B"/>
    <w:rsid w:val="238B212F"/>
    <w:rsid w:val="23BC2A5A"/>
    <w:rsid w:val="23CD07BD"/>
    <w:rsid w:val="24346E9F"/>
    <w:rsid w:val="245925FC"/>
    <w:rsid w:val="245E5334"/>
    <w:rsid w:val="24774524"/>
    <w:rsid w:val="25030902"/>
    <w:rsid w:val="254257E5"/>
    <w:rsid w:val="256D095A"/>
    <w:rsid w:val="25AE26C4"/>
    <w:rsid w:val="25D51472"/>
    <w:rsid w:val="25E0531F"/>
    <w:rsid w:val="26306279"/>
    <w:rsid w:val="263B05DB"/>
    <w:rsid w:val="264F15E3"/>
    <w:rsid w:val="26774ED4"/>
    <w:rsid w:val="26F02B5B"/>
    <w:rsid w:val="273F0DA8"/>
    <w:rsid w:val="27460791"/>
    <w:rsid w:val="274F678B"/>
    <w:rsid w:val="275318CF"/>
    <w:rsid w:val="27D44B1C"/>
    <w:rsid w:val="282A6111"/>
    <w:rsid w:val="28777AD4"/>
    <w:rsid w:val="287D015D"/>
    <w:rsid w:val="288B7471"/>
    <w:rsid w:val="28A92BCF"/>
    <w:rsid w:val="28B078C0"/>
    <w:rsid w:val="29335621"/>
    <w:rsid w:val="293755EF"/>
    <w:rsid w:val="297213A4"/>
    <w:rsid w:val="298A5CE1"/>
    <w:rsid w:val="29935745"/>
    <w:rsid w:val="299E0C30"/>
    <w:rsid w:val="29AF73CD"/>
    <w:rsid w:val="29CF2C9E"/>
    <w:rsid w:val="29FC1D70"/>
    <w:rsid w:val="2A1525B3"/>
    <w:rsid w:val="2A1F3C77"/>
    <w:rsid w:val="2A420242"/>
    <w:rsid w:val="2A770325"/>
    <w:rsid w:val="2A7A0138"/>
    <w:rsid w:val="2B577739"/>
    <w:rsid w:val="2B82420A"/>
    <w:rsid w:val="2BC32FA6"/>
    <w:rsid w:val="2BDE0F2A"/>
    <w:rsid w:val="2C1F0ECB"/>
    <w:rsid w:val="2C2F0132"/>
    <w:rsid w:val="2C5B48B1"/>
    <w:rsid w:val="2C635A6B"/>
    <w:rsid w:val="2C9C63F2"/>
    <w:rsid w:val="2CE95AE3"/>
    <w:rsid w:val="2D056A81"/>
    <w:rsid w:val="2D0D1210"/>
    <w:rsid w:val="2D205DF5"/>
    <w:rsid w:val="2D6F2A08"/>
    <w:rsid w:val="2D7A708A"/>
    <w:rsid w:val="2D986A7C"/>
    <w:rsid w:val="2DD31C58"/>
    <w:rsid w:val="2E2A4516"/>
    <w:rsid w:val="2E386100"/>
    <w:rsid w:val="2E3A4E93"/>
    <w:rsid w:val="2E921BC1"/>
    <w:rsid w:val="2E9D3756"/>
    <w:rsid w:val="2ED71151"/>
    <w:rsid w:val="2EFB0B3C"/>
    <w:rsid w:val="2F3B21A6"/>
    <w:rsid w:val="2F5B4CE0"/>
    <w:rsid w:val="2F5C1340"/>
    <w:rsid w:val="2F6457B2"/>
    <w:rsid w:val="2F8D101C"/>
    <w:rsid w:val="2F9039F3"/>
    <w:rsid w:val="2FF4525E"/>
    <w:rsid w:val="300D602F"/>
    <w:rsid w:val="30434F34"/>
    <w:rsid w:val="30551C7E"/>
    <w:rsid w:val="305C1DF5"/>
    <w:rsid w:val="30C330A2"/>
    <w:rsid w:val="31032820"/>
    <w:rsid w:val="31847465"/>
    <w:rsid w:val="31DE379A"/>
    <w:rsid w:val="327D0402"/>
    <w:rsid w:val="32A61FCC"/>
    <w:rsid w:val="32C0465B"/>
    <w:rsid w:val="32CE6B16"/>
    <w:rsid w:val="33000244"/>
    <w:rsid w:val="3319111C"/>
    <w:rsid w:val="33366578"/>
    <w:rsid w:val="33A63D3F"/>
    <w:rsid w:val="33AA7583"/>
    <w:rsid w:val="33D41912"/>
    <w:rsid w:val="33F61B9F"/>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202DD1"/>
    <w:rsid w:val="36345F74"/>
    <w:rsid w:val="366C2AF8"/>
    <w:rsid w:val="36720821"/>
    <w:rsid w:val="36E43B49"/>
    <w:rsid w:val="3708704A"/>
    <w:rsid w:val="37105321"/>
    <w:rsid w:val="375D7E76"/>
    <w:rsid w:val="37807888"/>
    <w:rsid w:val="379759C7"/>
    <w:rsid w:val="37C96B2D"/>
    <w:rsid w:val="37F0121B"/>
    <w:rsid w:val="3869436C"/>
    <w:rsid w:val="38754CFF"/>
    <w:rsid w:val="388B18D0"/>
    <w:rsid w:val="38CA6BA3"/>
    <w:rsid w:val="38EF3348"/>
    <w:rsid w:val="38F36F52"/>
    <w:rsid w:val="394B49F2"/>
    <w:rsid w:val="395D73C0"/>
    <w:rsid w:val="3964489B"/>
    <w:rsid w:val="396D4363"/>
    <w:rsid w:val="397D5C71"/>
    <w:rsid w:val="398C450B"/>
    <w:rsid w:val="39A27D95"/>
    <w:rsid w:val="39A30FAD"/>
    <w:rsid w:val="39DF76B4"/>
    <w:rsid w:val="3A3B4A7C"/>
    <w:rsid w:val="3A9C5889"/>
    <w:rsid w:val="3B0300BA"/>
    <w:rsid w:val="3B103205"/>
    <w:rsid w:val="3B2C125E"/>
    <w:rsid w:val="3B40382E"/>
    <w:rsid w:val="3B4909A7"/>
    <w:rsid w:val="3B706D2B"/>
    <w:rsid w:val="3B7B46CE"/>
    <w:rsid w:val="3B900E71"/>
    <w:rsid w:val="3B967BC8"/>
    <w:rsid w:val="3BA739C7"/>
    <w:rsid w:val="3BC7074D"/>
    <w:rsid w:val="3BDA3232"/>
    <w:rsid w:val="3C0567E7"/>
    <w:rsid w:val="3C362D65"/>
    <w:rsid w:val="3C547DBA"/>
    <w:rsid w:val="3C5A7719"/>
    <w:rsid w:val="3C71787E"/>
    <w:rsid w:val="3C766FF7"/>
    <w:rsid w:val="3CEC3782"/>
    <w:rsid w:val="3D005751"/>
    <w:rsid w:val="3D2E7CF5"/>
    <w:rsid w:val="3D6A7A3F"/>
    <w:rsid w:val="3D8475ED"/>
    <w:rsid w:val="3D9133ED"/>
    <w:rsid w:val="3D9A7407"/>
    <w:rsid w:val="3DBA03C3"/>
    <w:rsid w:val="3E0C29CB"/>
    <w:rsid w:val="3E1438A5"/>
    <w:rsid w:val="3E467EA9"/>
    <w:rsid w:val="3E6977ED"/>
    <w:rsid w:val="3EB53979"/>
    <w:rsid w:val="3ED06C72"/>
    <w:rsid w:val="3EE85802"/>
    <w:rsid w:val="3F9179BC"/>
    <w:rsid w:val="3FAF7652"/>
    <w:rsid w:val="3FB91F06"/>
    <w:rsid w:val="40143827"/>
    <w:rsid w:val="40172C0E"/>
    <w:rsid w:val="405A10B2"/>
    <w:rsid w:val="40930E3F"/>
    <w:rsid w:val="40A60D8A"/>
    <w:rsid w:val="40DE32EB"/>
    <w:rsid w:val="412D71DE"/>
    <w:rsid w:val="416C485A"/>
    <w:rsid w:val="41721093"/>
    <w:rsid w:val="41A25A1E"/>
    <w:rsid w:val="41D5051C"/>
    <w:rsid w:val="41D93646"/>
    <w:rsid w:val="422B280E"/>
    <w:rsid w:val="42420B28"/>
    <w:rsid w:val="424C4B06"/>
    <w:rsid w:val="42703D54"/>
    <w:rsid w:val="43215097"/>
    <w:rsid w:val="43335793"/>
    <w:rsid w:val="43504A5C"/>
    <w:rsid w:val="437629AE"/>
    <w:rsid w:val="43BE61A8"/>
    <w:rsid w:val="43D0692B"/>
    <w:rsid w:val="43DA56DD"/>
    <w:rsid w:val="442D019F"/>
    <w:rsid w:val="44370871"/>
    <w:rsid w:val="44AA1CB0"/>
    <w:rsid w:val="44CE24E4"/>
    <w:rsid w:val="44D16A09"/>
    <w:rsid w:val="44D90521"/>
    <w:rsid w:val="44E52F1F"/>
    <w:rsid w:val="450E440F"/>
    <w:rsid w:val="45502007"/>
    <w:rsid w:val="4580392B"/>
    <w:rsid w:val="45883F8A"/>
    <w:rsid w:val="45EE7EF1"/>
    <w:rsid w:val="45F04858"/>
    <w:rsid w:val="4606799E"/>
    <w:rsid w:val="4629386F"/>
    <w:rsid w:val="466174A4"/>
    <w:rsid w:val="468B197E"/>
    <w:rsid w:val="46D52AA1"/>
    <w:rsid w:val="470E5183"/>
    <w:rsid w:val="471F4F7F"/>
    <w:rsid w:val="47413903"/>
    <w:rsid w:val="47501D1D"/>
    <w:rsid w:val="479B2B65"/>
    <w:rsid w:val="47E241F2"/>
    <w:rsid w:val="47E67EE1"/>
    <w:rsid w:val="47F05DF8"/>
    <w:rsid w:val="48020245"/>
    <w:rsid w:val="48072124"/>
    <w:rsid w:val="484C22AF"/>
    <w:rsid w:val="488B7FA6"/>
    <w:rsid w:val="48AC59F4"/>
    <w:rsid w:val="48D164F6"/>
    <w:rsid w:val="49057F3E"/>
    <w:rsid w:val="493D11A5"/>
    <w:rsid w:val="49497376"/>
    <w:rsid w:val="49913258"/>
    <w:rsid w:val="49AD56D2"/>
    <w:rsid w:val="49DF2FA3"/>
    <w:rsid w:val="49ED1963"/>
    <w:rsid w:val="49F41BF1"/>
    <w:rsid w:val="49FE18E4"/>
    <w:rsid w:val="4A2B6493"/>
    <w:rsid w:val="4A570B81"/>
    <w:rsid w:val="4A596A5D"/>
    <w:rsid w:val="4A7D708F"/>
    <w:rsid w:val="4ACC2191"/>
    <w:rsid w:val="4B161C2E"/>
    <w:rsid w:val="4B967555"/>
    <w:rsid w:val="4BA41081"/>
    <w:rsid w:val="4BAE7BD6"/>
    <w:rsid w:val="4C624E51"/>
    <w:rsid w:val="4C6F5D75"/>
    <w:rsid w:val="4C8614A0"/>
    <w:rsid w:val="4CB90B4A"/>
    <w:rsid w:val="4D011E35"/>
    <w:rsid w:val="4D1A70AD"/>
    <w:rsid w:val="4D414AA2"/>
    <w:rsid w:val="4D4D66ED"/>
    <w:rsid w:val="4D896AAF"/>
    <w:rsid w:val="4D927727"/>
    <w:rsid w:val="4DBA3D68"/>
    <w:rsid w:val="4DCE7CC5"/>
    <w:rsid w:val="4DDF58BD"/>
    <w:rsid w:val="4E295649"/>
    <w:rsid w:val="4E434405"/>
    <w:rsid w:val="4E6D51A2"/>
    <w:rsid w:val="4F330037"/>
    <w:rsid w:val="4F6B7B7D"/>
    <w:rsid w:val="4F840FDE"/>
    <w:rsid w:val="4F8A0ABB"/>
    <w:rsid w:val="502B260A"/>
    <w:rsid w:val="503277C4"/>
    <w:rsid w:val="507B2035"/>
    <w:rsid w:val="50D729C1"/>
    <w:rsid w:val="512D3577"/>
    <w:rsid w:val="5187033E"/>
    <w:rsid w:val="51B615DA"/>
    <w:rsid w:val="51CF5615"/>
    <w:rsid w:val="51D41141"/>
    <w:rsid w:val="52111515"/>
    <w:rsid w:val="52115DFD"/>
    <w:rsid w:val="523830D8"/>
    <w:rsid w:val="52F14A35"/>
    <w:rsid w:val="53453EF9"/>
    <w:rsid w:val="537E7219"/>
    <w:rsid w:val="53E73F9D"/>
    <w:rsid w:val="542B47E5"/>
    <w:rsid w:val="5463665A"/>
    <w:rsid w:val="54737C15"/>
    <w:rsid w:val="5489364B"/>
    <w:rsid w:val="54D86D8D"/>
    <w:rsid w:val="554B067D"/>
    <w:rsid w:val="55583A1F"/>
    <w:rsid w:val="55705033"/>
    <w:rsid w:val="557D70BE"/>
    <w:rsid w:val="55CE4587"/>
    <w:rsid w:val="5624337B"/>
    <w:rsid w:val="56332F20"/>
    <w:rsid w:val="56860DC8"/>
    <w:rsid w:val="56E827E2"/>
    <w:rsid w:val="56E96FC6"/>
    <w:rsid w:val="57103B34"/>
    <w:rsid w:val="5714694D"/>
    <w:rsid w:val="57340E32"/>
    <w:rsid w:val="5809010E"/>
    <w:rsid w:val="582A0AC8"/>
    <w:rsid w:val="583525C6"/>
    <w:rsid w:val="583F79A7"/>
    <w:rsid w:val="588E0FF2"/>
    <w:rsid w:val="589932BB"/>
    <w:rsid w:val="58F5055B"/>
    <w:rsid w:val="58FC3E36"/>
    <w:rsid w:val="59264674"/>
    <w:rsid w:val="596801AA"/>
    <w:rsid w:val="596F1852"/>
    <w:rsid w:val="5992473D"/>
    <w:rsid w:val="59D251A4"/>
    <w:rsid w:val="5A16575C"/>
    <w:rsid w:val="5A175510"/>
    <w:rsid w:val="5A5F15A1"/>
    <w:rsid w:val="5A954EAF"/>
    <w:rsid w:val="5ABB4A59"/>
    <w:rsid w:val="5AC230A5"/>
    <w:rsid w:val="5B070F30"/>
    <w:rsid w:val="5B1D06EE"/>
    <w:rsid w:val="5B3E7A46"/>
    <w:rsid w:val="5B907B59"/>
    <w:rsid w:val="5BAB5771"/>
    <w:rsid w:val="5BFB5EB2"/>
    <w:rsid w:val="5C495DD3"/>
    <w:rsid w:val="5C4E06E7"/>
    <w:rsid w:val="5C593A80"/>
    <w:rsid w:val="5D041CF2"/>
    <w:rsid w:val="5D272928"/>
    <w:rsid w:val="5D2B2C34"/>
    <w:rsid w:val="5D4F03EF"/>
    <w:rsid w:val="5D905C05"/>
    <w:rsid w:val="5DCD0AC1"/>
    <w:rsid w:val="5E02038B"/>
    <w:rsid w:val="5E3E0FB2"/>
    <w:rsid w:val="5EE67330"/>
    <w:rsid w:val="5F212FF8"/>
    <w:rsid w:val="5F8B27B8"/>
    <w:rsid w:val="5FB72636"/>
    <w:rsid w:val="600B3636"/>
    <w:rsid w:val="6060486B"/>
    <w:rsid w:val="60DE7CF2"/>
    <w:rsid w:val="611E2E9B"/>
    <w:rsid w:val="612B0E8B"/>
    <w:rsid w:val="619D6AD3"/>
    <w:rsid w:val="619D7131"/>
    <w:rsid w:val="61B56F70"/>
    <w:rsid w:val="61DE071F"/>
    <w:rsid w:val="6218157F"/>
    <w:rsid w:val="62204E98"/>
    <w:rsid w:val="62553AB2"/>
    <w:rsid w:val="62956105"/>
    <w:rsid w:val="62997C74"/>
    <w:rsid w:val="62E55633"/>
    <w:rsid w:val="634041A9"/>
    <w:rsid w:val="63805167"/>
    <w:rsid w:val="63832876"/>
    <w:rsid w:val="640929F0"/>
    <w:rsid w:val="64B905C0"/>
    <w:rsid w:val="64CF7BEB"/>
    <w:rsid w:val="65187528"/>
    <w:rsid w:val="656C147B"/>
    <w:rsid w:val="65832223"/>
    <w:rsid w:val="664A7A0D"/>
    <w:rsid w:val="671A190B"/>
    <w:rsid w:val="6731767E"/>
    <w:rsid w:val="67335956"/>
    <w:rsid w:val="68016B77"/>
    <w:rsid w:val="68307014"/>
    <w:rsid w:val="687047EC"/>
    <w:rsid w:val="690C2F01"/>
    <w:rsid w:val="692A3B68"/>
    <w:rsid w:val="693A4663"/>
    <w:rsid w:val="699B0FA7"/>
    <w:rsid w:val="699F0403"/>
    <w:rsid w:val="6A257C7E"/>
    <w:rsid w:val="6AED0C62"/>
    <w:rsid w:val="6AF66468"/>
    <w:rsid w:val="6AF86E22"/>
    <w:rsid w:val="6B276638"/>
    <w:rsid w:val="6B5F2CBB"/>
    <w:rsid w:val="6B850358"/>
    <w:rsid w:val="6BA23990"/>
    <w:rsid w:val="6BA92A8C"/>
    <w:rsid w:val="6BBF6B35"/>
    <w:rsid w:val="6BD40CFD"/>
    <w:rsid w:val="6C2271E5"/>
    <w:rsid w:val="6C6139A2"/>
    <w:rsid w:val="6C6B059F"/>
    <w:rsid w:val="6C7259E8"/>
    <w:rsid w:val="6C8C5F63"/>
    <w:rsid w:val="6CFA34DB"/>
    <w:rsid w:val="6CFD6829"/>
    <w:rsid w:val="6D330230"/>
    <w:rsid w:val="6D332F6E"/>
    <w:rsid w:val="6D396B87"/>
    <w:rsid w:val="6DB265D8"/>
    <w:rsid w:val="6DB301A4"/>
    <w:rsid w:val="6DD84920"/>
    <w:rsid w:val="6DDB5D1F"/>
    <w:rsid w:val="6DE82115"/>
    <w:rsid w:val="6DF14E2F"/>
    <w:rsid w:val="6E1F4FB0"/>
    <w:rsid w:val="6E465867"/>
    <w:rsid w:val="6E5246F3"/>
    <w:rsid w:val="6F3326BD"/>
    <w:rsid w:val="6F5B19D4"/>
    <w:rsid w:val="6FBD5643"/>
    <w:rsid w:val="6FC50CC6"/>
    <w:rsid w:val="6FDF215C"/>
    <w:rsid w:val="6FF979C2"/>
    <w:rsid w:val="707123F1"/>
    <w:rsid w:val="70A709CF"/>
    <w:rsid w:val="70AA1BAA"/>
    <w:rsid w:val="70C21E33"/>
    <w:rsid w:val="71420EA7"/>
    <w:rsid w:val="7150639A"/>
    <w:rsid w:val="715504AF"/>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4153FE8"/>
    <w:rsid w:val="741C39F8"/>
    <w:rsid w:val="74544D62"/>
    <w:rsid w:val="748D4891"/>
    <w:rsid w:val="74B143F2"/>
    <w:rsid w:val="74B34C91"/>
    <w:rsid w:val="74B6734E"/>
    <w:rsid w:val="74C6482B"/>
    <w:rsid w:val="752320C7"/>
    <w:rsid w:val="756E4256"/>
    <w:rsid w:val="75D723B2"/>
    <w:rsid w:val="76393941"/>
    <w:rsid w:val="764404D2"/>
    <w:rsid w:val="76584AFD"/>
    <w:rsid w:val="770739C7"/>
    <w:rsid w:val="776D7E0F"/>
    <w:rsid w:val="78375191"/>
    <w:rsid w:val="783A5034"/>
    <w:rsid w:val="78752699"/>
    <w:rsid w:val="788A190E"/>
    <w:rsid w:val="78B67C13"/>
    <w:rsid w:val="78D027F0"/>
    <w:rsid w:val="79107D4E"/>
    <w:rsid w:val="79353900"/>
    <w:rsid w:val="793F6CA3"/>
    <w:rsid w:val="794A04D7"/>
    <w:rsid w:val="79746535"/>
    <w:rsid w:val="797647ED"/>
    <w:rsid w:val="79814165"/>
    <w:rsid w:val="799C6F8D"/>
    <w:rsid w:val="7A13676F"/>
    <w:rsid w:val="7A387BE8"/>
    <w:rsid w:val="7A4D74CC"/>
    <w:rsid w:val="7A60559B"/>
    <w:rsid w:val="7AC843DE"/>
    <w:rsid w:val="7AE9123F"/>
    <w:rsid w:val="7AED3D24"/>
    <w:rsid w:val="7AFC3A32"/>
    <w:rsid w:val="7B237139"/>
    <w:rsid w:val="7B323F28"/>
    <w:rsid w:val="7B434CA9"/>
    <w:rsid w:val="7B4D150D"/>
    <w:rsid w:val="7B504D7D"/>
    <w:rsid w:val="7B9C6019"/>
    <w:rsid w:val="7BB05565"/>
    <w:rsid w:val="7BBB5446"/>
    <w:rsid w:val="7BEA3458"/>
    <w:rsid w:val="7C0163B0"/>
    <w:rsid w:val="7C025169"/>
    <w:rsid w:val="7C682867"/>
    <w:rsid w:val="7C6C7F23"/>
    <w:rsid w:val="7CA51C7D"/>
    <w:rsid w:val="7CD05611"/>
    <w:rsid w:val="7D524A37"/>
    <w:rsid w:val="7DA418C3"/>
    <w:rsid w:val="7DEA78A4"/>
    <w:rsid w:val="7E454CA6"/>
    <w:rsid w:val="7E8B0CEF"/>
    <w:rsid w:val="7EA93097"/>
    <w:rsid w:val="7F143F12"/>
    <w:rsid w:val="7F1E73A2"/>
    <w:rsid w:val="7F29005F"/>
    <w:rsid w:val="7F380545"/>
    <w:rsid w:val="7F6A4A9D"/>
    <w:rsid w:val="7F9B2913"/>
    <w:rsid w:val="7FD97494"/>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99" w:semiHidden="0" w:name="HTML Preformatted"/>
    <w:lsdException w:qFormat="1"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5"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link w:val="65"/>
    <w:qFormat/>
    <w:uiPriority w:val="0"/>
    <w:pPr>
      <w:jc w:val="left"/>
    </w:pPr>
  </w:style>
  <w:style w:type="paragraph" w:styleId="7">
    <w:name w:val="Body Text"/>
    <w:basedOn w:val="1"/>
    <w:next w:val="1"/>
    <w:qFormat/>
    <w:uiPriority w:val="99"/>
    <w:pPr>
      <w:spacing w:after="120"/>
    </w:pPr>
  </w:style>
  <w:style w:type="paragraph" w:styleId="8">
    <w:name w:val="Body Text Indent"/>
    <w:basedOn w:val="1"/>
    <w:next w:val="9"/>
    <w:qFormat/>
    <w:uiPriority w:val="0"/>
    <w:pPr>
      <w:snapToGrid w:val="0"/>
      <w:spacing w:line="360" w:lineRule="auto"/>
      <w:ind w:firstLine="538" w:firstLineChars="192"/>
    </w:pPr>
    <w:rPr>
      <w:rFonts w:ascii="仿宋_GB2312" w:eastAsia="仿宋_GB2312"/>
      <w:bCs/>
      <w:sz w:val="28"/>
      <w:szCs w:val="28"/>
    </w:rPr>
  </w:style>
  <w:style w:type="paragraph" w:styleId="9">
    <w:name w:val="Body Text First Indent 2"/>
    <w:basedOn w:val="8"/>
    <w:next w:val="1"/>
    <w:unhideWhenUsed/>
    <w:qFormat/>
    <w:uiPriority w:val="0"/>
    <w:pPr>
      <w:spacing w:after="120" w:line="240" w:lineRule="auto"/>
      <w:ind w:left="420" w:leftChars="200" w:firstLine="420" w:firstLineChars="200"/>
    </w:pPr>
    <w:rPr>
      <w:sz w:val="21"/>
      <w:szCs w:val="21"/>
    </w:rPr>
  </w:style>
  <w:style w:type="paragraph" w:styleId="10">
    <w:name w:val="Plain Text"/>
    <w:basedOn w:val="1"/>
    <w:qFormat/>
    <w:uiPriority w:val="0"/>
    <w:rPr>
      <w:rFonts w:ascii="宋体" w:hAnsi="Courier New"/>
      <w:szCs w:val="20"/>
    </w:rPr>
  </w:style>
  <w:style w:type="paragraph" w:styleId="11">
    <w:name w:val="Balloon Text"/>
    <w:basedOn w:val="1"/>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Title"/>
    <w:basedOn w:val="1"/>
    <w:next w:val="1"/>
    <w:qFormat/>
    <w:uiPriority w:val="0"/>
    <w:pPr>
      <w:spacing w:before="240" w:after="60"/>
      <w:jc w:val="center"/>
      <w:outlineLvl w:val="0"/>
    </w:pPr>
    <w:rPr>
      <w:rFonts w:ascii="Calibri Light" w:hAnsi="Calibri Light"/>
      <w:b/>
      <w:bCs/>
      <w:sz w:val="32"/>
      <w:szCs w:val="32"/>
    </w:rPr>
  </w:style>
  <w:style w:type="paragraph" w:styleId="18">
    <w:name w:val="annotation subject"/>
    <w:basedOn w:val="6"/>
    <w:next w:val="6"/>
    <w:link w:val="66"/>
    <w:semiHidden/>
    <w:unhideWhenUsed/>
    <w:qFormat/>
    <w:uiPriority w:val="0"/>
    <w:rPr>
      <w:b/>
      <w:bCs/>
    </w:rPr>
  </w:style>
  <w:style w:type="paragraph" w:styleId="19">
    <w:name w:val="Body Text First Indent"/>
    <w:basedOn w:val="7"/>
    <w:qFormat/>
    <w:uiPriority w:val="99"/>
    <w:pPr>
      <w:ind w:firstLine="420" w:firstLineChars="100"/>
    </w:pPr>
  </w:style>
  <w:style w:type="table" w:styleId="21">
    <w:name w:val="Table Grid"/>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semiHidden/>
    <w:unhideWhenUsed/>
    <w:qFormat/>
    <w:uiPriority w:val="0"/>
    <w:rPr>
      <w:color w:val="428BCA"/>
      <w:u w:val="none"/>
    </w:rPr>
  </w:style>
  <w:style w:type="character" w:styleId="26">
    <w:name w:val="HTML Definition"/>
    <w:basedOn w:val="22"/>
    <w:semiHidden/>
    <w:unhideWhenUsed/>
    <w:qFormat/>
    <w:uiPriority w:val="0"/>
    <w:rPr>
      <w:i/>
      <w:iCs/>
    </w:rPr>
  </w:style>
  <w:style w:type="character" w:styleId="27">
    <w:name w:val="Hyperlink"/>
    <w:basedOn w:val="22"/>
    <w:qFormat/>
    <w:uiPriority w:val="0"/>
    <w:rPr>
      <w:color w:val="013F7C"/>
      <w:u w:val="none"/>
    </w:rPr>
  </w:style>
  <w:style w:type="character" w:styleId="28">
    <w:name w:val="HTML Code"/>
    <w:basedOn w:val="22"/>
    <w:semiHidden/>
    <w:unhideWhenUsed/>
    <w:qFormat/>
    <w:uiPriority w:val="0"/>
    <w:rPr>
      <w:rFonts w:hint="default" w:ascii="Consolas" w:hAnsi="Consolas" w:eastAsia="Consolas" w:cs="Consolas"/>
      <w:color w:val="C7254E"/>
      <w:sz w:val="21"/>
      <w:szCs w:val="21"/>
      <w:shd w:val="clear" w:color="auto" w:fill="F9F2F4"/>
    </w:rPr>
  </w:style>
  <w:style w:type="character" w:styleId="29">
    <w:name w:val="annotation reference"/>
    <w:basedOn w:val="22"/>
    <w:semiHidden/>
    <w:unhideWhenUsed/>
    <w:qFormat/>
    <w:uiPriority w:val="0"/>
    <w:rPr>
      <w:sz w:val="21"/>
      <w:szCs w:val="21"/>
    </w:rPr>
  </w:style>
  <w:style w:type="character" w:styleId="30">
    <w:name w:val="HTML Cite"/>
    <w:basedOn w:val="22"/>
    <w:semiHidden/>
    <w:unhideWhenUsed/>
    <w:qFormat/>
    <w:uiPriority w:val="0"/>
  </w:style>
  <w:style w:type="character" w:styleId="31">
    <w:name w:val="HTML Keyboard"/>
    <w:basedOn w:val="22"/>
    <w:semiHidden/>
    <w:unhideWhenUsed/>
    <w:qFormat/>
    <w:uiPriority w:val="0"/>
    <w:rPr>
      <w:rFonts w:hint="default" w:ascii="Consolas" w:hAnsi="Consolas" w:eastAsia="Consolas" w:cs="Consolas"/>
      <w:color w:val="FFFFFF"/>
      <w:sz w:val="21"/>
      <w:szCs w:val="21"/>
      <w:shd w:val="clear" w:color="auto" w:fill="333333"/>
    </w:rPr>
  </w:style>
  <w:style w:type="character" w:styleId="32">
    <w:name w:val="HTML Sample"/>
    <w:basedOn w:val="22"/>
    <w:semiHidden/>
    <w:unhideWhenUsed/>
    <w:qFormat/>
    <w:uiPriority w:val="0"/>
    <w:rPr>
      <w:rFonts w:ascii="Consolas" w:hAnsi="Consolas" w:eastAsia="Consolas" w:cs="Consolas"/>
      <w:sz w:val="21"/>
      <w:szCs w:val="21"/>
    </w:rPr>
  </w:style>
  <w:style w:type="paragraph" w:customStyle="1" w:styleId="33">
    <w:name w:val="Quote1"/>
    <w:basedOn w:val="1"/>
    <w:next w:val="1"/>
    <w:qFormat/>
    <w:uiPriority w:val="99"/>
    <w:rPr>
      <w:rFonts w:ascii="Calibri" w:hAnsi="Calibri" w:cs="Calibri"/>
      <w:i/>
      <w:iCs/>
      <w:color w:val="000000"/>
      <w:sz w:val="22"/>
      <w:szCs w:val="22"/>
    </w:r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样式3"/>
    <w:basedOn w:val="10"/>
    <w:qFormat/>
    <w:uiPriority w:val="0"/>
    <w:pPr>
      <w:spacing w:line="0" w:lineRule="atLeast"/>
      <w:outlineLvl w:val="0"/>
    </w:pPr>
    <w:rPr>
      <w:sz w:val="28"/>
      <w:szCs w:val="24"/>
    </w:rPr>
  </w:style>
  <w:style w:type="paragraph" w:customStyle="1" w:styleId="36">
    <w:name w:val="正文1"/>
    <w:qFormat/>
    <w:uiPriority w:val="0"/>
    <w:pPr>
      <w:jc w:val="both"/>
    </w:pPr>
    <w:rPr>
      <w:rFonts w:ascii="Calibri" w:hAnsi="Calibri" w:eastAsia="宋体" w:cs="宋体"/>
      <w:kern w:val="2"/>
      <w:sz w:val="21"/>
      <w:szCs w:val="21"/>
      <w:lang w:val="en-US" w:eastAsia="zh-CN" w:bidi="ar-SA"/>
    </w:rPr>
  </w:style>
  <w:style w:type="paragraph" w:customStyle="1" w:styleId="37">
    <w:name w:val="Normal_18"/>
    <w:qFormat/>
    <w:uiPriority w:val="0"/>
    <w:rPr>
      <w:rFonts w:ascii="Times New Roman" w:hAnsi="Times New Roman" w:eastAsia="宋体" w:cs="Times New Roman"/>
      <w:sz w:val="21"/>
      <w:lang w:val="en-US" w:eastAsia="zh-CN" w:bidi="ar-SA"/>
    </w:rPr>
  </w:style>
  <w:style w:type="character" w:customStyle="1" w:styleId="38">
    <w:name w:val="ndata"/>
    <w:basedOn w:val="22"/>
    <w:qFormat/>
    <w:uiPriority w:val="0"/>
    <w:rPr>
      <w:color w:val="AAAAAA"/>
    </w:rPr>
  </w:style>
  <w:style w:type="character" w:customStyle="1" w:styleId="39">
    <w:name w:val="NormalCharacter"/>
    <w:qFormat/>
    <w:uiPriority w:val="0"/>
    <w:rPr>
      <w:sz w:val="21"/>
      <w:lang w:val="en-US" w:eastAsia="zh-CN" w:bidi="ar-SA"/>
    </w:rPr>
  </w:style>
  <w:style w:type="paragraph" w:customStyle="1" w:styleId="40">
    <w:name w:val="正文2"/>
    <w:basedOn w:val="1"/>
    <w:qFormat/>
    <w:uiPriority w:val="0"/>
    <w:pPr>
      <w:spacing w:before="156" w:line="360" w:lineRule="auto"/>
      <w:ind w:firstLine="510" w:firstLineChars="200"/>
    </w:pPr>
    <w:rPr>
      <w:sz w:val="24"/>
    </w:rPr>
  </w:style>
  <w:style w:type="paragraph" w:customStyle="1" w:styleId="41">
    <w:name w:val="NormalIndent"/>
    <w:basedOn w:val="1"/>
    <w:qFormat/>
    <w:uiPriority w:val="0"/>
    <w:pPr>
      <w:widowControl/>
      <w:ind w:firstLine="200" w:firstLineChars="200"/>
      <w:textAlignment w:val="baseline"/>
    </w:pPr>
    <w:rPr>
      <w:rFonts w:ascii="Calibri" w:hAnsi="Calibri"/>
    </w:rPr>
  </w:style>
  <w:style w:type="paragraph" w:styleId="42">
    <w:name w:val="List Paragraph"/>
    <w:basedOn w:val="1"/>
    <w:qFormat/>
    <w:uiPriority w:val="34"/>
    <w:pPr>
      <w:ind w:firstLine="420" w:firstLineChars="200"/>
    </w:pPr>
  </w:style>
  <w:style w:type="paragraph" w:customStyle="1" w:styleId="43">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4">
    <w:name w:val="active5"/>
    <w:basedOn w:val="22"/>
    <w:qFormat/>
    <w:uiPriority w:val="0"/>
    <w:rPr>
      <w:color w:val="FFFFFF"/>
      <w:shd w:val="clear" w:color="auto" w:fill="428BCA"/>
    </w:rPr>
  </w:style>
  <w:style w:type="character" w:customStyle="1" w:styleId="45">
    <w:name w:val="ui-jqgrid-resize"/>
    <w:basedOn w:val="22"/>
    <w:qFormat/>
    <w:uiPriority w:val="0"/>
  </w:style>
  <w:style w:type="character" w:customStyle="1" w:styleId="46">
    <w:name w:val="ui-icon37"/>
    <w:basedOn w:val="22"/>
    <w:qFormat/>
    <w:uiPriority w:val="0"/>
  </w:style>
  <w:style w:type="character" w:customStyle="1" w:styleId="47">
    <w:name w:val="ui-icon38"/>
    <w:basedOn w:val="22"/>
    <w:qFormat/>
    <w:uiPriority w:val="0"/>
  </w:style>
  <w:style w:type="character" w:customStyle="1" w:styleId="48">
    <w:name w:val="ui-icon39"/>
    <w:basedOn w:val="22"/>
    <w:qFormat/>
    <w:uiPriority w:val="0"/>
  </w:style>
  <w:style w:type="character" w:customStyle="1" w:styleId="49">
    <w:name w:val="input-icon2"/>
    <w:basedOn w:val="22"/>
    <w:qFormat/>
    <w:uiPriority w:val="0"/>
  </w:style>
  <w:style w:type="character" w:customStyle="1" w:styleId="50">
    <w:name w:val="before"/>
    <w:basedOn w:val="22"/>
    <w:qFormat/>
    <w:uiPriority w:val="0"/>
    <w:rPr>
      <w:rFonts w:hint="default" w:ascii="FontAwesome" w:hAnsi="FontAwesome" w:eastAsia="FontAwesome" w:cs="FontAwesome"/>
      <w:color w:val="888888"/>
    </w:rPr>
  </w:style>
  <w:style w:type="character" w:customStyle="1" w:styleId="51">
    <w:name w:val="before1"/>
    <w:basedOn w:val="22"/>
    <w:qFormat/>
    <w:uiPriority w:val="0"/>
    <w:rPr>
      <w:rFonts w:hint="default" w:ascii="FontAwesome" w:hAnsi="FontAwesome" w:eastAsia="FontAwesome" w:cs="FontAwesome"/>
      <w:color w:val="888888"/>
    </w:rPr>
  </w:style>
  <w:style w:type="character" w:customStyle="1" w:styleId="52">
    <w:name w:val="hover6"/>
    <w:basedOn w:val="22"/>
    <w:qFormat/>
    <w:uiPriority w:val="0"/>
    <w:rPr>
      <w:shd w:val="clear" w:color="auto" w:fill="EEEEEE"/>
    </w:rPr>
  </w:style>
  <w:style w:type="character" w:customStyle="1" w:styleId="53">
    <w:name w:val="old"/>
    <w:basedOn w:val="22"/>
    <w:qFormat/>
    <w:uiPriority w:val="0"/>
    <w:rPr>
      <w:color w:val="999999"/>
    </w:rPr>
  </w:style>
  <w:style w:type="character" w:customStyle="1" w:styleId="54">
    <w:name w:val="ui-icon40"/>
    <w:basedOn w:val="22"/>
    <w:qFormat/>
    <w:uiPriority w:val="0"/>
  </w:style>
  <w:style w:type="paragraph" w:customStyle="1" w:styleId="55">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6">
    <w:name w:val="font31"/>
    <w:basedOn w:val="22"/>
    <w:qFormat/>
    <w:uiPriority w:val="0"/>
    <w:rPr>
      <w:rFonts w:hint="default" w:ascii="Arial" w:hAnsi="Arial" w:cs="Arial"/>
      <w:b/>
      <w:color w:val="000000"/>
      <w:sz w:val="24"/>
      <w:szCs w:val="24"/>
      <w:u w:val="none"/>
    </w:rPr>
  </w:style>
  <w:style w:type="character" w:customStyle="1" w:styleId="57">
    <w:name w:val="font81"/>
    <w:basedOn w:val="22"/>
    <w:qFormat/>
    <w:uiPriority w:val="0"/>
    <w:rPr>
      <w:rFonts w:ascii="新宋体" w:hAnsi="新宋体" w:eastAsia="新宋体" w:cs="新宋体"/>
      <w:color w:val="000000"/>
      <w:sz w:val="21"/>
      <w:szCs w:val="21"/>
      <w:u w:val="none"/>
    </w:rPr>
  </w:style>
  <w:style w:type="character" w:customStyle="1" w:styleId="58">
    <w:name w:val="font41"/>
    <w:basedOn w:val="22"/>
    <w:qFormat/>
    <w:uiPriority w:val="0"/>
    <w:rPr>
      <w:rFonts w:hint="default" w:ascii="Times New Roman" w:hAnsi="Times New Roman" w:cs="Times New Roman"/>
      <w:color w:val="000000"/>
      <w:sz w:val="18"/>
      <w:szCs w:val="18"/>
      <w:u w:val="none"/>
    </w:rPr>
  </w:style>
  <w:style w:type="character" w:customStyle="1" w:styleId="59">
    <w:name w:val="font51"/>
    <w:basedOn w:val="22"/>
    <w:qFormat/>
    <w:uiPriority w:val="0"/>
    <w:rPr>
      <w:rFonts w:hint="eastAsia" w:ascii="宋体" w:hAnsi="宋体" w:eastAsia="宋体" w:cs="宋体"/>
      <w:b/>
      <w:color w:val="000000"/>
      <w:sz w:val="32"/>
      <w:szCs w:val="32"/>
      <w:u w:val="none"/>
    </w:rPr>
  </w:style>
  <w:style w:type="character" w:customStyle="1" w:styleId="60">
    <w:name w:val="font01"/>
    <w:basedOn w:val="22"/>
    <w:qFormat/>
    <w:uiPriority w:val="0"/>
    <w:rPr>
      <w:rFonts w:hint="eastAsia" w:ascii="宋体" w:hAnsi="宋体" w:eastAsia="宋体" w:cs="宋体"/>
      <w:color w:val="000000"/>
      <w:sz w:val="24"/>
      <w:szCs w:val="24"/>
      <w:u w:val="none"/>
    </w:rPr>
  </w:style>
  <w:style w:type="character" w:customStyle="1" w:styleId="61">
    <w:name w:val="font71"/>
    <w:basedOn w:val="22"/>
    <w:qFormat/>
    <w:uiPriority w:val="0"/>
    <w:rPr>
      <w:rFonts w:hint="default" w:ascii="仿宋_GB2312" w:eastAsia="仿宋_GB2312" w:cs="仿宋_GB2312"/>
      <w:b/>
      <w:bCs/>
      <w:color w:val="000000"/>
      <w:sz w:val="32"/>
      <w:szCs w:val="32"/>
      <w:u w:val="none"/>
    </w:rPr>
  </w:style>
  <w:style w:type="character" w:customStyle="1" w:styleId="62">
    <w:name w:val="active1"/>
    <w:basedOn w:val="22"/>
    <w:qFormat/>
    <w:uiPriority w:val="0"/>
    <w:rPr>
      <w:color w:val="FFFFFF"/>
      <w:shd w:val="clear" w:color="auto" w:fill="428BCA"/>
    </w:rPr>
  </w:style>
  <w:style w:type="character" w:customStyle="1" w:styleId="63">
    <w:name w:val="hover5"/>
    <w:basedOn w:val="22"/>
    <w:qFormat/>
    <w:uiPriority w:val="0"/>
    <w:rPr>
      <w:shd w:val="clear" w:color="auto" w:fill="EEEEEE"/>
    </w:rPr>
  </w:style>
  <w:style w:type="character" w:customStyle="1" w:styleId="64">
    <w:name w:val="ui-jqgrid-resize2"/>
    <w:basedOn w:val="22"/>
    <w:qFormat/>
    <w:uiPriority w:val="0"/>
  </w:style>
  <w:style w:type="character" w:customStyle="1" w:styleId="65">
    <w:name w:val="批注文字 字符"/>
    <w:basedOn w:val="22"/>
    <w:link w:val="6"/>
    <w:qFormat/>
    <w:uiPriority w:val="0"/>
    <w:rPr>
      <w:kern w:val="2"/>
      <w:sz w:val="21"/>
      <w:szCs w:val="24"/>
    </w:rPr>
  </w:style>
  <w:style w:type="character" w:customStyle="1" w:styleId="66">
    <w:name w:val="批注主题 字符"/>
    <w:basedOn w:val="65"/>
    <w:link w:val="18"/>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美兰区</Company>
  <Pages>36</Pages>
  <Words>17877</Words>
  <Characters>18861</Characters>
  <Lines>148</Lines>
  <Paragraphs>41</Paragraphs>
  <TotalTime>23</TotalTime>
  <ScaleCrop>false</ScaleCrop>
  <LinksUpToDate>false</LinksUpToDate>
  <CharactersWithSpaces>19552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2020-09-02T02:13:00Z</dcterms:created>
  <dc:creator>随风</dc:creator>
  <cp:lastModifiedBy>user</cp:lastModifiedBy>
  <cp:lastPrinted>2022-10-26T09:32:00Z</cp:lastPrinted>
  <dcterms:modified xsi:type="dcterms:W3CDTF">2022-10-27T09:02:12Z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8ECDB2F57B5445BD813BF546E7973341</vt:lpwstr>
  </property>
</Properties>
</file>