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60"/>
        <w:rPr>
          <w:rFonts w:asciiTheme="minorEastAsia" w:hAnsiTheme="minorEastAsia" w:eastAsiaTheme="minorEastAsia" w:cstheme="minorEastAsia"/>
          <w:sz w:val="23"/>
          <w:szCs w:val="23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3"/>
          <w:szCs w:val="23"/>
        </w:rPr>
        <w:t>附件.江东发展大厦充电项目招商比选评分表</w:t>
      </w:r>
    </w:p>
    <w:bookmarkEnd w:id="0"/>
    <w:tbl>
      <w:tblPr>
        <w:tblStyle w:val="3"/>
        <w:tblW w:w="87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55" w:lineRule="exact"/>
              <w:jc w:val="center"/>
              <w:rPr>
                <w:rFonts w:asciiTheme="minorEastAsia" w:hAnsiTheme="minorEastAsia" w:eastAsiaTheme="minorEastAsia" w:cstheme="minorEastAsia"/>
                <w:b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3"/>
                <w:szCs w:val="23"/>
              </w:rPr>
              <w:t>评分因素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55" w:lineRule="exact"/>
              <w:ind w:left="2141" w:right="1098"/>
              <w:jc w:val="center"/>
              <w:rPr>
                <w:rFonts w:asciiTheme="minorEastAsia" w:hAnsiTheme="minorEastAsia" w:eastAsiaTheme="minorEastAsia" w:cstheme="minorEastAsia"/>
                <w:b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3"/>
                <w:szCs w:val="23"/>
              </w:rPr>
              <w:t>评分标准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分值构成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b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（总分100分）</w:t>
            </w:r>
          </w:p>
        </w:tc>
        <w:tc>
          <w:tcPr>
            <w:tcW w:w="6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3"/>
                <w:szCs w:val="23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商务资质：</w:t>
            </w: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u w:val="single"/>
              </w:rPr>
              <w:t>30分</w:t>
            </w:r>
          </w:p>
          <w:p>
            <w:pPr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技术部分：</w:t>
            </w: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u w:val="single"/>
              </w:rPr>
              <w:t>20分</w:t>
            </w:r>
          </w:p>
          <w:p>
            <w:pPr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商务报价：</w:t>
            </w: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u w:val="single"/>
              </w:rPr>
              <w:t>50分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7" w:lineRule="auto"/>
              <w:ind w:left="89" w:right="72"/>
              <w:jc w:val="center"/>
              <w:rPr>
                <w:rFonts w:asciiTheme="minorEastAsia" w:hAnsiTheme="minorEastAsia" w:eastAsiaTheme="minorEastAsia" w:cstheme="minorEastAsia"/>
                <w:color w:val="333333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szCs w:val="23"/>
              </w:rPr>
              <w:t>商务资质评分标准</w:t>
            </w:r>
          </w:p>
          <w:p>
            <w:pPr>
              <w:pStyle w:val="5"/>
              <w:spacing w:line="247" w:lineRule="auto"/>
              <w:ind w:left="89" w:right="72"/>
              <w:jc w:val="center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szCs w:val="23"/>
              </w:rPr>
              <w:t>（30分）</w:t>
            </w:r>
          </w:p>
        </w:tc>
        <w:tc>
          <w:tcPr>
            <w:tcW w:w="6897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ind w:left="7" w:right="62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应答方自2019年1月1日起（以合同签订时间为准），在海南省内承接过充电桩运营业绩：</w:t>
            </w:r>
          </w:p>
          <w:p>
            <w:pPr>
              <w:pStyle w:val="5"/>
              <w:ind w:left="7" w:right="62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单项合同运营充电桩数量50个（含）以上的，每个得5分，本项最高25分；</w:t>
            </w:r>
          </w:p>
          <w:p>
            <w:pPr>
              <w:pStyle w:val="5"/>
              <w:ind w:left="7" w:right="62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单项合同运营充电桩数量30（含）-50个的，每个得3.5分，本项最高14分；</w:t>
            </w:r>
          </w:p>
          <w:p>
            <w:pPr>
              <w:pStyle w:val="5"/>
              <w:ind w:left="7" w:right="62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单项合同运营充电桩数量30个以下的，每个得2分，本项最高10分；</w:t>
            </w:r>
          </w:p>
          <w:p>
            <w:pPr>
              <w:pStyle w:val="5"/>
              <w:ind w:left="7" w:right="62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以上三项累计得分最高为25分。</w:t>
            </w:r>
          </w:p>
          <w:p>
            <w:pPr>
              <w:pStyle w:val="5"/>
              <w:ind w:left="7" w:right="62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参与项目属于省级公共充电基础设施示范项目的，得5分，本小项最高5分。</w:t>
            </w:r>
          </w:p>
          <w:p>
            <w:pPr>
              <w:pStyle w:val="5"/>
              <w:ind w:left="7" w:right="62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证明材料要求：</w:t>
            </w:r>
          </w:p>
          <w:p>
            <w:pPr>
              <w:pStyle w:val="5"/>
              <w:ind w:right="62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须在应答文件中提供“企业类似项目情况表”，需注明清楚：合同名称、项目名称、项目建设单位、项目类型、运营充电桩数量、合同服务期限、签订时间等，提供体现相关内容的合同页面以及首尾页复印件并加盖公章。</w:t>
            </w:r>
          </w:p>
          <w:p>
            <w:pPr>
              <w:pStyle w:val="5"/>
              <w:ind w:right="62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参与过省级公共充电基础设施示范项目的投资或运营的，提供发改委等政府部门红头文件及项目清单复印件，或其他证明参与该项目的证明文件，并加盖公章。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szCs w:val="23"/>
              </w:rPr>
              <w:t>技术方案评分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szCs w:val="23"/>
              </w:rPr>
              <w:t>（20分）</w:t>
            </w:r>
          </w:p>
        </w:tc>
        <w:tc>
          <w:tcPr>
            <w:tcW w:w="6897" w:type="dxa"/>
            <w:vAlign w:val="center"/>
          </w:tcPr>
          <w:p>
            <w:pPr>
              <w:pStyle w:val="5"/>
              <w:spacing w:before="1"/>
              <w:ind w:left="7"/>
              <w:rPr>
                <w:rFonts w:asciiTheme="minorEastAsia" w:hAnsiTheme="minorEastAsia" w:eastAsiaTheme="minorEastAsia" w:cstheme="minorEastAsia"/>
                <w:color w:val="000000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3"/>
                <w:szCs w:val="23"/>
              </w:rPr>
              <w:t>优秀：设计说明书文字表达清楚、设计内容完整齐备，有成熟的线上运营系统，有较好的海南本地服务保障，得20-13分。</w:t>
            </w:r>
          </w:p>
          <w:p>
            <w:pPr>
              <w:pStyle w:val="5"/>
              <w:spacing w:before="1"/>
              <w:ind w:left="7"/>
              <w:rPr>
                <w:rFonts w:asciiTheme="minorEastAsia" w:hAnsiTheme="minorEastAsia" w:eastAsiaTheme="minorEastAsia" w:cstheme="minorEastAsia"/>
                <w:color w:val="000000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3"/>
                <w:szCs w:val="23"/>
              </w:rPr>
              <w:t>良好：整个对项目理解一般，内容相对全面，勉强符合项目实际，设计说明书文字表达比较清楚，有线上运营系统，有海南本地服务保障，得12-7分。</w:t>
            </w:r>
          </w:p>
          <w:p>
            <w:pPr>
              <w:pStyle w:val="5"/>
              <w:spacing w:before="1"/>
              <w:ind w:left="7"/>
              <w:rPr>
                <w:rFonts w:asciiTheme="minorEastAsia" w:hAnsiTheme="minorEastAsia" w:eastAsiaTheme="minorEastAsia" w:cstheme="minorEastAsia"/>
                <w:color w:val="000000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3"/>
                <w:szCs w:val="23"/>
              </w:rPr>
              <w:t xml:space="preserve">一般：对项目理解不深刻，内容基本全面，有设计说明，无自己的线上运营系统，海南本地服务保障较差，得6-0分。 </w:t>
            </w:r>
          </w:p>
          <w:p>
            <w:pPr>
              <w:pStyle w:val="5"/>
              <w:spacing w:before="1"/>
              <w:rPr>
                <w:rFonts w:asciiTheme="minorEastAsia" w:hAnsiTheme="minorEastAsia" w:eastAsiaTheme="minorEastAsia" w:cstheme="minorEastAsia"/>
                <w:color w:val="000000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3"/>
                <w:szCs w:val="23"/>
              </w:rPr>
              <w:t>无此项内容不得分。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报价评分标准</w:t>
            </w:r>
          </w:p>
          <w:p>
            <w:pPr>
              <w:pStyle w:val="2"/>
              <w:ind w:firstLine="460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（50分）</w:t>
            </w:r>
          </w:p>
        </w:tc>
        <w:tc>
          <w:tcPr>
            <w:tcW w:w="689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（1）报价注意事项：报价人以给我司的服务费分成百分比为单位报价，报价应保留小数点后两位。</w:t>
            </w:r>
          </w:p>
          <w:p>
            <w:pPr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（2）满足此次文件要求且所报价格最低的报价为评标基准价，其价格分为满分，其他报价人的价格分统一按照下列公式计算：</w:t>
            </w:r>
          </w:p>
          <w:p>
            <w:pPr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（3）报价得分=(评审基准价／报价)×50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注：在评审过程中，评审小组认为报价人的报价明显低于其他通过符合性审查的报价，有可能影响产品质量或者不能诚信履约的，应当要求其在评审现场合理的时间内提供书面说明，必要时提交相关证明材料；报价人不能证明其报价合理性的，评审小组应将其作为无效报价处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xZmVkNDMyNTJlYjBiZDI4Y2NhZDllMjU1MWQ3ODgifQ=="/>
  </w:docVars>
  <w:rsids>
    <w:rsidRoot w:val="3C1F15BD"/>
    <w:rsid w:val="00502406"/>
    <w:rsid w:val="009B4B5C"/>
    <w:rsid w:val="009E6CFD"/>
    <w:rsid w:val="3C1F15BD"/>
    <w:rsid w:val="4147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866</Words>
  <Characters>899</Characters>
  <Lines>6</Lines>
  <Paragraphs>1</Paragraphs>
  <TotalTime>0</TotalTime>
  <ScaleCrop>false</ScaleCrop>
  <LinksUpToDate>false</LinksUpToDate>
  <CharactersWithSpaces>900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2022-11-08T07:55:00Z</dcterms:created>
  <dc:creator>boom biu</dc:creator>
  <cp:lastModifiedBy>阳光一生</cp:lastModifiedBy>
  <dcterms:modified xsi:type="dcterms:W3CDTF">2022-11-08T12:05:19Z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3E0F3A52769D43D489BDA9D060B272BC</vt:lpwstr>
  </property>
</Properties>
</file>