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460"/>
        <w:rPr>
          <w:rFonts w:ascii="宋体" w:hAnsi="宋体" w:cs="宋体"/>
          <w:sz w:val="23"/>
          <w:szCs w:val="23"/>
        </w:rPr>
      </w:pPr>
      <w:r>
        <w:rPr>
          <w:rFonts w:hint="eastAsia" w:ascii="宋体" w:hAnsi="宋体" w:cs="宋体"/>
          <w:sz w:val="23"/>
          <w:szCs w:val="23"/>
        </w:rPr>
        <w:t>附件</w:t>
      </w:r>
      <w:r>
        <w:rPr>
          <w:rFonts w:ascii="宋体" w:hAnsi="宋体" w:cs="宋体"/>
          <w:sz w:val="23"/>
          <w:szCs w:val="23"/>
        </w:rPr>
        <w:t>2</w:t>
      </w:r>
      <w:r>
        <w:rPr>
          <w:rFonts w:hint="eastAsia" w:ascii="宋体" w:hAnsi="宋体" w:cs="宋体"/>
          <w:sz w:val="23"/>
          <w:szCs w:val="23"/>
        </w:rPr>
        <w:t>.江东发展大厦屋顶光伏项目招商比选评分表</w:t>
      </w:r>
      <w:bookmarkStart w:id="0" w:name="_GoBack"/>
      <w:bookmarkEnd w:id="0"/>
    </w:p>
    <w:tbl>
      <w:tblPr>
        <w:tblStyle w:val="3"/>
        <w:tblW w:w="878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83"/>
        <w:gridCol w:w="68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6" w:hRule="atLeast"/>
          <w:jc w:val="center"/>
        </w:trPr>
        <w:tc>
          <w:tcPr>
            <w:tcW w:w="1883" w:type="dxa"/>
            <w:tcBorders>
              <w:top w:val="single" w:color="auto" w:sz="4" w:space="0"/>
              <w:left w:val="single" w:color="auto" w:sz="4" w:space="0"/>
              <w:bottom w:val="single" w:color="auto" w:sz="4" w:space="0"/>
              <w:right w:val="single" w:color="auto" w:sz="4" w:space="0"/>
            </w:tcBorders>
            <w:vAlign w:val="center"/>
          </w:tcPr>
          <w:p>
            <w:pPr>
              <w:pStyle w:val="5"/>
              <w:spacing w:line="355" w:lineRule="exact"/>
              <w:jc w:val="center"/>
              <w:rPr>
                <w:rFonts w:ascii="宋体" w:hAnsi="宋体" w:cs="宋体"/>
                <w:b/>
                <w:sz w:val="23"/>
                <w:szCs w:val="23"/>
              </w:rPr>
            </w:pPr>
            <w:r>
              <w:rPr>
                <w:rFonts w:hint="eastAsia" w:ascii="宋体" w:hAnsi="宋体" w:cs="宋体"/>
                <w:b/>
                <w:sz w:val="23"/>
                <w:szCs w:val="23"/>
              </w:rPr>
              <w:t>评分因素</w:t>
            </w:r>
          </w:p>
        </w:tc>
        <w:tc>
          <w:tcPr>
            <w:tcW w:w="6897" w:type="dxa"/>
            <w:tcBorders>
              <w:top w:val="single" w:color="auto" w:sz="4" w:space="0"/>
              <w:left w:val="single" w:color="auto" w:sz="4" w:space="0"/>
              <w:bottom w:val="single" w:color="auto" w:sz="4" w:space="0"/>
              <w:right w:val="single" w:color="auto" w:sz="4" w:space="0"/>
            </w:tcBorders>
            <w:vAlign w:val="center"/>
          </w:tcPr>
          <w:p>
            <w:pPr>
              <w:pStyle w:val="5"/>
              <w:spacing w:line="355" w:lineRule="exact"/>
              <w:ind w:left="2141" w:right="1098"/>
              <w:jc w:val="center"/>
              <w:rPr>
                <w:rFonts w:ascii="宋体" w:hAnsi="宋体" w:cs="宋体"/>
                <w:b/>
                <w:sz w:val="23"/>
                <w:szCs w:val="23"/>
              </w:rPr>
            </w:pPr>
            <w:r>
              <w:rPr>
                <w:rFonts w:hint="eastAsia" w:ascii="宋体" w:hAnsi="宋体" w:cs="宋体"/>
                <w:b/>
                <w:sz w:val="23"/>
                <w:szCs w:val="23"/>
              </w:rPr>
              <w:t>评分标准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8" w:hRule="atLeast"/>
          <w:jc w:val="center"/>
        </w:trPr>
        <w:tc>
          <w:tcPr>
            <w:tcW w:w="1883"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宋体" w:hAnsi="宋体" w:cs="宋体"/>
                <w:sz w:val="23"/>
                <w:szCs w:val="23"/>
              </w:rPr>
            </w:pPr>
            <w:r>
              <w:rPr>
                <w:rFonts w:hint="eastAsia" w:ascii="宋体" w:hAnsi="宋体" w:cs="宋体"/>
                <w:sz w:val="23"/>
                <w:szCs w:val="23"/>
              </w:rPr>
              <w:t>分值构成</w:t>
            </w:r>
          </w:p>
          <w:p>
            <w:pPr>
              <w:spacing w:line="276" w:lineRule="auto"/>
              <w:jc w:val="center"/>
              <w:rPr>
                <w:rFonts w:ascii="宋体" w:hAnsi="宋体" w:cs="宋体"/>
                <w:b/>
                <w:sz w:val="23"/>
                <w:szCs w:val="23"/>
              </w:rPr>
            </w:pPr>
            <w:r>
              <w:rPr>
                <w:rFonts w:hint="eastAsia" w:ascii="宋体" w:hAnsi="宋体" w:cs="宋体"/>
                <w:sz w:val="23"/>
                <w:szCs w:val="23"/>
              </w:rPr>
              <w:t>（总分100分）</w:t>
            </w:r>
          </w:p>
        </w:tc>
        <w:tc>
          <w:tcPr>
            <w:tcW w:w="689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3"/>
                <w:szCs w:val="23"/>
                <w:u w:val="single"/>
              </w:rPr>
            </w:pPr>
            <w:r>
              <w:rPr>
                <w:rFonts w:hint="eastAsia" w:ascii="宋体" w:hAnsi="宋体" w:cs="宋体"/>
                <w:sz w:val="23"/>
                <w:szCs w:val="23"/>
              </w:rPr>
              <w:t>商务资质：</w:t>
            </w:r>
            <w:r>
              <w:rPr>
                <w:rFonts w:hint="eastAsia" w:ascii="宋体" w:hAnsi="宋体" w:cs="宋体"/>
                <w:sz w:val="23"/>
                <w:szCs w:val="23"/>
                <w:u w:val="single"/>
              </w:rPr>
              <w:t>30分</w:t>
            </w:r>
          </w:p>
          <w:p>
            <w:pPr>
              <w:rPr>
                <w:rFonts w:ascii="宋体" w:hAnsi="宋体" w:cs="宋体"/>
                <w:sz w:val="23"/>
                <w:szCs w:val="23"/>
              </w:rPr>
            </w:pPr>
            <w:r>
              <w:rPr>
                <w:rFonts w:hint="eastAsia" w:ascii="宋体" w:hAnsi="宋体" w:cs="宋体"/>
                <w:sz w:val="23"/>
                <w:szCs w:val="23"/>
              </w:rPr>
              <w:t>技术部分：</w:t>
            </w:r>
            <w:r>
              <w:rPr>
                <w:rFonts w:hint="eastAsia" w:ascii="宋体" w:hAnsi="宋体" w:cs="宋体"/>
                <w:sz w:val="23"/>
                <w:szCs w:val="23"/>
                <w:u w:val="single"/>
              </w:rPr>
              <w:t>20分</w:t>
            </w:r>
          </w:p>
          <w:p>
            <w:pPr>
              <w:rPr>
                <w:rFonts w:ascii="宋体" w:hAnsi="宋体" w:cs="宋体"/>
                <w:sz w:val="23"/>
                <w:szCs w:val="23"/>
              </w:rPr>
            </w:pPr>
            <w:r>
              <w:rPr>
                <w:rFonts w:hint="eastAsia" w:ascii="宋体" w:hAnsi="宋体" w:cs="宋体"/>
                <w:sz w:val="23"/>
                <w:szCs w:val="23"/>
              </w:rPr>
              <w:t>商务报价：</w:t>
            </w:r>
            <w:r>
              <w:rPr>
                <w:rFonts w:hint="eastAsia" w:ascii="宋体" w:hAnsi="宋体" w:cs="宋体"/>
                <w:sz w:val="23"/>
                <w:szCs w:val="23"/>
                <w:u w:val="single"/>
              </w:rPr>
              <w:t>50分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56" w:hRule="atLeast"/>
          <w:jc w:val="center"/>
        </w:trPr>
        <w:tc>
          <w:tcPr>
            <w:tcW w:w="1883" w:type="dxa"/>
            <w:tcBorders>
              <w:top w:val="single" w:color="auto" w:sz="4" w:space="0"/>
              <w:left w:val="single" w:color="auto" w:sz="4" w:space="0"/>
              <w:right w:val="single" w:color="auto" w:sz="4" w:space="0"/>
            </w:tcBorders>
            <w:vAlign w:val="center"/>
          </w:tcPr>
          <w:p>
            <w:pPr>
              <w:pStyle w:val="5"/>
              <w:spacing w:line="247" w:lineRule="auto"/>
              <w:ind w:left="89" w:right="72"/>
              <w:jc w:val="center"/>
              <w:rPr>
                <w:rFonts w:ascii="宋体" w:hAnsi="宋体" w:cs="宋体"/>
                <w:color w:val="333333"/>
                <w:sz w:val="23"/>
                <w:szCs w:val="23"/>
              </w:rPr>
            </w:pPr>
            <w:r>
              <w:rPr>
                <w:rFonts w:hint="eastAsia" w:ascii="宋体" w:hAnsi="宋体" w:cs="宋体"/>
                <w:color w:val="333333"/>
                <w:sz w:val="23"/>
                <w:szCs w:val="23"/>
              </w:rPr>
              <w:t>商务资质评分标准</w:t>
            </w:r>
          </w:p>
          <w:p>
            <w:pPr>
              <w:pStyle w:val="5"/>
              <w:spacing w:line="247" w:lineRule="auto"/>
              <w:ind w:left="89" w:right="72"/>
              <w:jc w:val="center"/>
              <w:rPr>
                <w:rFonts w:ascii="宋体" w:hAnsi="宋体" w:cs="宋体"/>
                <w:sz w:val="23"/>
                <w:szCs w:val="23"/>
              </w:rPr>
            </w:pPr>
            <w:r>
              <w:rPr>
                <w:rFonts w:hint="eastAsia" w:ascii="宋体" w:hAnsi="宋体" w:cs="宋体"/>
                <w:color w:val="333333"/>
                <w:sz w:val="23"/>
                <w:szCs w:val="23"/>
              </w:rPr>
              <w:t>（30分）</w:t>
            </w:r>
          </w:p>
        </w:tc>
        <w:tc>
          <w:tcPr>
            <w:tcW w:w="6897" w:type="dxa"/>
            <w:tcBorders>
              <w:top w:val="single" w:color="auto" w:sz="4" w:space="0"/>
            </w:tcBorders>
            <w:vAlign w:val="center"/>
          </w:tcPr>
          <w:p>
            <w:pPr>
              <w:pStyle w:val="5"/>
              <w:ind w:left="7" w:right="62"/>
              <w:rPr>
                <w:rFonts w:ascii="宋体" w:hAnsi="宋体" w:cs="宋体"/>
                <w:sz w:val="23"/>
                <w:szCs w:val="23"/>
              </w:rPr>
            </w:pPr>
            <w:r>
              <w:rPr>
                <w:rFonts w:hint="eastAsia" w:ascii="宋体" w:hAnsi="宋体" w:cs="宋体"/>
                <w:sz w:val="23"/>
                <w:szCs w:val="23"/>
              </w:rPr>
              <w:t>应答方自2019年1月1日起（以合同签订时间为准），承接过光伏项目服务业绩：</w:t>
            </w:r>
          </w:p>
          <w:p>
            <w:pPr>
              <w:pStyle w:val="5"/>
              <w:ind w:left="7" w:right="62"/>
              <w:rPr>
                <w:rFonts w:ascii="宋体" w:hAnsi="宋体" w:cs="宋体"/>
                <w:sz w:val="23"/>
                <w:szCs w:val="23"/>
              </w:rPr>
            </w:pPr>
            <w:r>
              <w:rPr>
                <w:rFonts w:hint="eastAsia" w:ascii="宋体" w:hAnsi="宋体" w:cs="宋体"/>
                <w:sz w:val="23"/>
                <w:szCs w:val="23"/>
              </w:rPr>
              <w:t>单项合同装机容量1 MWp（含）以上的，每个得6分；</w:t>
            </w:r>
          </w:p>
          <w:p>
            <w:pPr>
              <w:pStyle w:val="5"/>
              <w:ind w:left="7" w:right="62"/>
              <w:rPr>
                <w:rFonts w:ascii="宋体" w:hAnsi="宋体" w:cs="宋体"/>
                <w:sz w:val="23"/>
                <w:szCs w:val="23"/>
              </w:rPr>
            </w:pPr>
            <w:r>
              <w:rPr>
                <w:rFonts w:hint="eastAsia" w:ascii="宋体" w:hAnsi="宋体" w:cs="宋体"/>
                <w:sz w:val="23"/>
                <w:szCs w:val="23"/>
              </w:rPr>
              <w:t>单项合同装机容量0.5 MWp（含）以上的，每个得3分；</w:t>
            </w:r>
          </w:p>
          <w:p>
            <w:pPr>
              <w:pStyle w:val="5"/>
              <w:ind w:left="7" w:right="62"/>
              <w:rPr>
                <w:rFonts w:ascii="宋体" w:hAnsi="宋体" w:cs="宋体"/>
                <w:sz w:val="23"/>
                <w:szCs w:val="23"/>
              </w:rPr>
            </w:pPr>
            <w:r>
              <w:rPr>
                <w:rFonts w:hint="eastAsia" w:ascii="宋体" w:hAnsi="宋体" w:cs="宋体"/>
                <w:sz w:val="23"/>
                <w:szCs w:val="23"/>
              </w:rPr>
              <w:t>单项合同装机容量0.5 MWp以下的，每个得1分；</w:t>
            </w:r>
          </w:p>
          <w:p>
            <w:pPr>
              <w:pStyle w:val="5"/>
              <w:ind w:left="7" w:right="62"/>
              <w:rPr>
                <w:rFonts w:ascii="宋体" w:hAnsi="宋体" w:cs="宋体"/>
                <w:sz w:val="23"/>
                <w:szCs w:val="23"/>
              </w:rPr>
            </w:pPr>
            <w:r>
              <w:rPr>
                <w:rFonts w:hint="eastAsia" w:ascii="宋体" w:hAnsi="宋体" w:cs="宋体"/>
                <w:sz w:val="23"/>
                <w:szCs w:val="23"/>
              </w:rPr>
              <w:t>证明材料要求：</w:t>
            </w:r>
          </w:p>
          <w:p>
            <w:pPr>
              <w:pStyle w:val="5"/>
              <w:ind w:right="62"/>
              <w:rPr>
                <w:rFonts w:ascii="宋体" w:hAnsi="宋体" w:cs="宋体"/>
                <w:sz w:val="23"/>
                <w:szCs w:val="23"/>
              </w:rPr>
            </w:pPr>
            <w:r>
              <w:rPr>
                <w:rFonts w:hint="eastAsia" w:ascii="宋体" w:hAnsi="宋体" w:cs="宋体"/>
                <w:sz w:val="23"/>
                <w:szCs w:val="23"/>
              </w:rPr>
              <w:t>须在应答文件中提供“企业类似项目情况表”，需注明清楚：合同名称、项目名称、项目建设单位、项目类型、装机容量、合同服务期限、签订时间等，提供体现相关内容的合同页面以及首尾页复印件并加盖公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8" w:hRule="atLeast"/>
          <w:jc w:val="center"/>
        </w:trPr>
        <w:tc>
          <w:tcPr>
            <w:tcW w:w="1883" w:type="dxa"/>
            <w:tcBorders>
              <w:top w:val="single" w:color="auto" w:sz="4" w:space="0"/>
              <w:left w:val="single" w:color="auto" w:sz="4" w:space="0"/>
            </w:tcBorders>
            <w:vAlign w:val="center"/>
          </w:tcPr>
          <w:p>
            <w:pPr>
              <w:widowControl/>
              <w:jc w:val="center"/>
              <w:rPr>
                <w:rFonts w:ascii="宋体" w:hAnsi="宋体" w:cs="宋体"/>
                <w:color w:val="333333"/>
                <w:sz w:val="23"/>
                <w:szCs w:val="23"/>
              </w:rPr>
            </w:pPr>
            <w:r>
              <w:rPr>
                <w:rFonts w:hint="eastAsia" w:ascii="宋体" w:hAnsi="宋体" w:cs="宋体"/>
                <w:color w:val="333333"/>
                <w:sz w:val="23"/>
                <w:szCs w:val="23"/>
              </w:rPr>
              <w:t>技术方案评分</w:t>
            </w:r>
          </w:p>
          <w:p>
            <w:pPr>
              <w:widowControl/>
              <w:jc w:val="center"/>
              <w:rPr>
                <w:rFonts w:ascii="宋体" w:hAnsi="宋体" w:cs="宋体"/>
                <w:sz w:val="23"/>
                <w:szCs w:val="23"/>
              </w:rPr>
            </w:pPr>
            <w:r>
              <w:rPr>
                <w:rFonts w:hint="eastAsia" w:ascii="宋体" w:hAnsi="宋体" w:cs="宋体"/>
                <w:color w:val="333333"/>
                <w:sz w:val="23"/>
                <w:szCs w:val="23"/>
              </w:rPr>
              <w:t>（20分）</w:t>
            </w:r>
          </w:p>
        </w:tc>
        <w:tc>
          <w:tcPr>
            <w:tcW w:w="6897" w:type="dxa"/>
            <w:vAlign w:val="center"/>
          </w:tcPr>
          <w:p>
            <w:pPr>
              <w:pStyle w:val="5"/>
              <w:spacing w:before="1"/>
              <w:ind w:left="7"/>
              <w:rPr>
                <w:rFonts w:ascii="宋体" w:hAnsi="宋体" w:cs="宋体"/>
                <w:color w:val="000000"/>
                <w:sz w:val="23"/>
                <w:szCs w:val="23"/>
              </w:rPr>
            </w:pPr>
            <w:r>
              <w:rPr>
                <w:rFonts w:hint="eastAsia" w:ascii="宋体" w:hAnsi="宋体" w:cs="宋体"/>
                <w:color w:val="000000"/>
                <w:sz w:val="23"/>
                <w:szCs w:val="23"/>
              </w:rPr>
              <w:t>优秀：符合项目建筑形象，资源利用效率高，设计说明书文字表达清楚、设计内容完整齐备，海南当地服务团队保障较好，得20-13分。</w:t>
            </w:r>
          </w:p>
          <w:p>
            <w:pPr>
              <w:pStyle w:val="5"/>
              <w:spacing w:before="1"/>
              <w:ind w:left="7"/>
              <w:rPr>
                <w:rFonts w:ascii="宋体" w:hAnsi="宋体" w:cs="宋体"/>
                <w:color w:val="000000"/>
                <w:sz w:val="23"/>
                <w:szCs w:val="23"/>
              </w:rPr>
            </w:pPr>
            <w:r>
              <w:rPr>
                <w:rFonts w:hint="eastAsia" w:ascii="宋体" w:hAnsi="宋体" w:cs="宋体"/>
                <w:color w:val="000000"/>
                <w:sz w:val="23"/>
                <w:szCs w:val="23"/>
              </w:rPr>
              <w:t>良好：内容相对全面，勉强符合项目实际，资源利用效率一般，设计说明书文字表达比较清楚、设计内容完整齐备，海南当地服务团队保障一般，得12-7分。</w:t>
            </w:r>
          </w:p>
          <w:p>
            <w:pPr>
              <w:pStyle w:val="5"/>
              <w:spacing w:before="1"/>
              <w:ind w:left="7"/>
              <w:rPr>
                <w:rFonts w:ascii="宋体" w:hAnsi="宋体" w:cs="宋体"/>
                <w:color w:val="000000"/>
                <w:sz w:val="23"/>
                <w:szCs w:val="23"/>
              </w:rPr>
            </w:pPr>
            <w:r>
              <w:rPr>
                <w:rFonts w:hint="eastAsia" w:ascii="宋体" w:hAnsi="宋体" w:cs="宋体"/>
                <w:color w:val="000000"/>
                <w:sz w:val="23"/>
                <w:szCs w:val="23"/>
              </w:rPr>
              <w:t xml:space="preserve">一般：资源利用效率较差，内容基本全面，有设计说明，设计内容基本完整，海南当地服务团队无较好保障，得6-0分。 </w:t>
            </w:r>
          </w:p>
          <w:p>
            <w:pPr>
              <w:pStyle w:val="5"/>
              <w:spacing w:before="1"/>
              <w:rPr>
                <w:rFonts w:ascii="宋体" w:hAnsi="宋体" w:cs="宋体"/>
                <w:color w:val="000000"/>
                <w:sz w:val="23"/>
                <w:szCs w:val="23"/>
              </w:rPr>
            </w:pPr>
            <w:r>
              <w:rPr>
                <w:rFonts w:hint="eastAsia" w:ascii="宋体" w:hAnsi="宋体" w:cs="宋体"/>
                <w:color w:val="000000"/>
                <w:sz w:val="23"/>
                <w:szCs w:val="23"/>
              </w:rPr>
              <w:t>无此项内容不得分。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2" w:hRule="atLeast"/>
          <w:jc w:val="center"/>
        </w:trPr>
        <w:tc>
          <w:tcPr>
            <w:tcW w:w="1883" w:type="dxa"/>
            <w:tcBorders>
              <w:left w:val="single" w:color="auto" w:sz="4" w:space="0"/>
              <w:right w:val="single" w:color="auto" w:sz="4" w:space="0"/>
            </w:tcBorders>
            <w:vAlign w:val="center"/>
          </w:tcPr>
          <w:p>
            <w:pPr>
              <w:spacing w:line="276" w:lineRule="auto"/>
              <w:jc w:val="center"/>
              <w:rPr>
                <w:rFonts w:ascii="宋体" w:hAnsi="宋体" w:cs="宋体"/>
                <w:sz w:val="23"/>
                <w:szCs w:val="23"/>
              </w:rPr>
            </w:pPr>
            <w:r>
              <w:rPr>
                <w:rFonts w:hint="eastAsia" w:ascii="宋体" w:hAnsi="宋体" w:cs="宋体"/>
                <w:sz w:val="23"/>
                <w:szCs w:val="23"/>
              </w:rPr>
              <w:t>报价评分标准</w:t>
            </w:r>
          </w:p>
          <w:p>
            <w:pPr>
              <w:pStyle w:val="2"/>
              <w:ind w:firstLine="460"/>
              <w:rPr>
                <w:rFonts w:ascii="宋体" w:hAnsi="宋体" w:cs="宋体"/>
                <w:sz w:val="23"/>
                <w:szCs w:val="23"/>
              </w:rPr>
            </w:pPr>
            <w:r>
              <w:rPr>
                <w:rFonts w:hint="eastAsia" w:ascii="宋体" w:hAnsi="宋体" w:cs="宋体"/>
                <w:sz w:val="23"/>
                <w:szCs w:val="23"/>
              </w:rPr>
              <w:t>（50分）</w:t>
            </w:r>
          </w:p>
        </w:tc>
        <w:tc>
          <w:tcPr>
            <w:tcW w:w="6897" w:type="dxa"/>
            <w:vAlign w:val="center"/>
          </w:tcPr>
          <w:p>
            <w:pPr>
              <w:rPr>
                <w:rFonts w:ascii="宋体" w:hAnsi="宋体" w:cs="宋体"/>
                <w:sz w:val="23"/>
                <w:szCs w:val="23"/>
              </w:rPr>
            </w:pPr>
            <w:r>
              <w:rPr>
                <w:rFonts w:hint="eastAsia" w:ascii="宋体" w:hAnsi="宋体" w:cs="宋体"/>
                <w:sz w:val="23"/>
                <w:szCs w:val="23"/>
              </w:rPr>
              <w:t>（1）报价注意事项：报价人以</w:t>
            </w:r>
            <w:r>
              <w:rPr>
                <w:rFonts w:hint="eastAsia" w:ascii="宋体" w:hAnsi="宋体" w:cs="宋体"/>
                <w:b/>
                <w:bCs/>
                <w:sz w:val="23"/>
                <w:szCs w:val="23"/>
              </w:rPr>
              <w:t>给本项目的光伏用电价格按电网峰平电价的平均值的折扣率报价</w:t>
            </w:r>
            <w:r>
              <w:rPr>
                <w:rFonts w:hint="eastAsia" w:ascii="宋体" w:hAnsi="宋体" w:cs="宋体"/>
                <w:sz w:val="23"/>
                <w:szCs w:val="23"/>
              </w:rPr>
              <w:t>，报价应保留小数点后两位。报价不能超出采购预算金额，超出范围的按否决应答资格处理。</w:t>
            </w:r>
          </w:p>
          <w:p>
            <w:pPr>
              <w:rPr>
                <w:rFonts w:ascii="宋体" w:hAnsi="宋体" w:cs="宋体"/>
                <w:sz w:val="23"/>
                <w:szCs w:val="23"/>
              </w:rPr>
            </w:pPr>
            <w:r>
              <w:rPr>
                <w:rFonts w:hint="eastAsia" w:ascii="宋体" w:hAnsi="宋体" w:cs="宋体"/>
                <w:sz w:val="23"/>
                <w:szCs w:val="23"/>
              </w:rPr>
              <w:t>（2）满足招标文件要求且投标价格最低的报价为评审基准价，其价格分为满分，其他报价人的价格分统一按照下列公式计算：</w:t>
            </w:r>
          </w:p>
          <w:p>
            <w:pPr>
              <w:rPr>
                <w:rFonts w:ascii="宋体" w:hAnsi="宋体" w:cs="宋体"/>
                <w:sz w:val="23"/>
                <w:szCs w:val="23"/>
              </w:rPr>
            </w:pPr>
            <w:r>
              <w:rPr>
                <w:rFonts w:hint="eastAsia" w:ascii="宋体" w:hAnsi="宋体" w:cs="宋体"/>
                <w:sz w:val="23"/>
                <w:szCs w:val="23"/>
              </w:rPr>
              <w:t>（3）报价得分=(评审基准价／报价人报价)×50</w:t>
            </w:r>
          </w:p>
          <w:p>
            <w:pPr>
              <w:rPr>
                <w:rFonts w:ascii="宋体" w:hAnsi="宋体" w:cs="宋体"/>
                <w:color w:val="000000"/>
                <w:kern w:val="0"/>
                <w:sz w:val="23"/>
                <w:szCs w:val="23"/>
                <w:lang w:bidi="ar"/>
              </w:rPr>
            </w:pPr>
            <w:r>
              <w:rPr>
                <w:rFonts w:hint="eastAsia" w:ascii="宋体" w:hAnsi="宋体" w:cs="宋体"/>
                <w:sz w:val="23"/>
                <w:szCs w:val="23"/>
              </w:rPr>
              <w:t>注：在评审过程中，评审小组认为报价人的报价明显低于其他通过符合性审查报价人的报价，有可能影响产品质量或者不能诚信履约的，应当要求其在评审现场合理的时间内提供书面说明，必要时提交相关证明材料；报价人不能证明其报价合理性的，评审小组应将其作为无效报价处理。</w:t>
            </w:r>
          </w:p>
        </w:tc>
      </w:tr>
    </w:tbl>
    <w:p>
      <w:pPr>
        <w:pStyle w:val="2"/>
        <w:ind w:firstLine="0" w:firstLineChars="0"/>
        <w:rPr>
          <w:rFonts w:ascii="黑体" w:hAnsi="黑体" w:eastAsia="黑体"/>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xZmVkNDMyNTJlYjBiZDI4Y2NhZDllMjU1MWQ3ODgifQ=="/>
  </w:docVars>
  <w:rsids>
    <w:rsidRoot w:val="163B25E7"/>
    <w:rsid w:val="007B2E68"/>
    <w:rsid w:val="00C4435F"/>
    <w:rsid w:val="098B12A6"/>
    <w:rsid w:val="163B2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customStyle="1" w:styleId="5">
    <w:name w:val="Table Paragraph"/>
    <w:basedOn w:val="1"/>
    <w:qFormat/>
    <w:uiPriority w:val="1"/>
    <w:pPr>
      <w:autoSpaceDE w:val="0"/>
      <w:autoSpaceDN w:val="0"/>
      <w:adjustRightInd w:val="0"/>
      <w:jc w:val="left"/>
    </w:pPr>
    <w:rPr>
      <w:rFonts w:ascii="Times New Roman" w:hAnsi="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769</Words>
  <Characters>802</Characters>
  <Lines>5</Lines>
  <Paragraphs>1</Paragraphs>
  <TotalTime>2</TotalTime>
  <ScaleCrop>false</ScaleCrop>
  <LinksUpToDate>false</LinksUpToDate>
  <CharactersWithSpaces>806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2022-11-08T07:37:00Z</dcterms:created>
  <dc:creator>boom biu</dc:creator>
  <cp:lastModifiedBy>阳光一生</cp:lastModifiedBy>
  <dcterms:modified xsi:type="dcterms:W3CDTF">2022-11-08T12:13:01Z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C9D3355819B04CDDBBFB073918356F19</vt:lpwstr>
  </property>
</Properties>
</file>