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cs="仿宋"/>
          <w:b/>
          <w:bCs/>
          <w:spacing w:val="20"/>
          <w:sz w:val="44"/>
          <w:szCs w:val="30"/>
        </w:rPr>
      </w:pPr>
      <w:r>
        <w:rPr>
          <w:rFonts w:hint="eastAsia" w:ascii="仿宋" w:hAnsi="仿宋" w:eastAsia="仿宋" w:cs="仿宋"/>
          <w:b/>
          <w:bCs/>
          <w:spacing w:val="20"/>
          <w:sz w:val="44"/>
          <w:szCs w:val="30"/>
        </w:rPr>
        <w:t>2020年海口市国民经济和社会发展</w:t>
      </w:r>
    </w:p>
    <w:p>
      <w:pPr>
        <w:spacing w:line="600" w:lineRule="exact"/>
        <w:ind w:firstLine="3372" w:firstLineChars="700"/>
        <w:jc w:val="both"/>
        <w:rPr>
          <w:rFonts w:ascii="仿宋" w:hAnsi="仿宋" w:eastAsia="仿宋" w:cs="仿宋"/>
          <w:b/>
          <w:bCs/>
          <w:kern w:val="2"/>
          <w:sz w:val="44"/>
          <w:szCs w:val="32"/>
        </w:rPr>
      </w:pPr>
      <w:r>
        <w:rPr>
          <w:rFonts w:hint="eastAsia" w:ascii="仿宋" w:hAnsi="仿宋" w:eastAsia="仿宋" w:cs="仿宋"/>
          <w:b/>
          <w:bCs/>
          <w:spacing w:val="20"/>
          <w:sz w:val="44"/>
          <w:szCs w:val="30"/>
        </w:rPr>
        <w:t>统计公报</w:t>
      </w:r>
    </w:p>
    <w:p>
      <w:pPr>
        <w:spacing w:line="600" w:lineRule="exact"/>
        <w:ind w:firstLine="880" w:firstLineChars="200"/>
        <w:rPr>
          <w:rFonts w:ascii="仿宋" w:hAnsi="仿宋" w:eastAsia="仿宋" w:cs="仿宋"/>
          <w:kern w:val="2"/>
          <w:sz w:val="44"/>
          <w:szCs w:val="32"/>
        </w:rPr>
      </w:pPr>
    </w:p>
    <w:p>
      <w:pPr>
        <w:shd w:val="clear" w:color="auto" w:fill="FFFFFF"/>
        <w:spacing w:line="560" w:lineRule="exact"/>
        <w:ind w:firstLine="680" w:firstLineChars="200"/>
        <w:jc w:val="both"/>
        <w:rPr>
          <w:rFonts w:ascii="仿宋" w:hAnsi="仿宋" w:eastAsia="仿宋" w:cs="仿宋"/>
          <w:spacing w:val="20"/>
          <w:sz w:val="30"/>
          <w:szCs w:val="30"/>
          <w:lang w:val="en"/>
        </w:rPr>
      </w:pPr>
      <w:r>
        <w:rPr>
          <w:rFonts w:hint="eastAsia" w:ascii="仿宋" w:hAnsi="仿宋" w:eastAsia="仿宋" w:cs="仿宋"/>
          <w:spacing w:val="20"/>
          <w:sz w:val="30"/>
          <w:szCs w:val="30"/>
        </w:rPr>
        <w:t>2020年，我市</w:t>
      </w:r>
      <w:r>
        <w:rPr>
          <w:rFonts w:hint="eastAsia" w:ascii="仿宋" w:hAnsi="仿宋" w:eastAsia="仿宋" w:cs="仿宋"/>
          <w:color w:val="000000"/>
          <w:spacing w:val="20"/>
          <w:sz w:val="30"/>
          <w:szCs w:val="30"/>
        </w:rPr>
        <w:t>认真贯彻落实党中央国务院和省委省政府的决策部署，在市委市政府的坚强领导下，统筹常态化疫情防控和经济社会发展，着力恢复正常生产生活秩序，全力推进企业复工复产、复商复市，积极出台各项措施打通上下游产业链、为企业纾困解难、刺激消费需求恢复增长，多项主要经济指标呈现明显好转，经济回暖加快，发展韧性和活力进一</w:t>
      </w:r>
      <w:r>
        <w:rPr>
          <w:rFonts w:hint="eastAsia" w:ascii="仿宋" w:hAnsi="仿宋" w:eastAsia="仿宋" w:cs="仿宋"/>
          <w:spacing w:val="20"/>
          <w:sz w:val="30"/>
          <w:szCs w:val="30"/>
        </w:rPr>
        <w:t>步增强,</w:t>
      </w:r>
      <w:r>
        <w:rPr>
          <w:rFonts w:hint="eastAsia" w:ascii="仿宋" w:hAnsi="仿宋" w:eastAsia="仿宋" w:cs="仿宋"/>
          <w:spacing w:val="20"/>
          <w:sz w:val="30"/>
          <w:szCs w:val="30"/>
          <w:lang w:val="en"/>
        </w:rPr>
        <w:t>全市经济运行保持恢复平稳、稳中向好的发展态势。</w:t>
      </w:r>
    </w:p>
    <w:p>
      <w:pPr>
        <w:spacing w:line="560" w:lineRule="exact"/>
        <w:ind w:firstLine="181" w:firstLineChars="50"/>
        <w:jc w:val="both"/>
        <w:rPr>
          <w:rFonts w:ascii="仿宋" w:hAnsi="仿宋" w:eastAsia="仿宋" w:cs="仿宋"/>
          <w:b/>
          <w:color w:val="0000FF"/>
          <w:spacing w:val="20"/>
          <w:sz w:val="32"/>
          <w:szCs w:val="32"/>
        </w:rPr>
      </w:pPr>
      <w:r>
        <w:rPr>
          <w:rFonts w:hint="eastAsia" w:ascii="仿宋" w:hAnsi="仿宋" w:eastAsia="仿宋" w:cs="仿宋"/>
          <w:b/>
          <w:spacing w:val="20"/>
          <w:sz w:val="32"/>
          <w:szCs w:val="32"/>
          <w:shd w:val="clear" w:color="auto" w:fill="FFFFFF"/>
        </w:rPr>
        <w:t xml:space="preserve">  一、综合</w:t>
      </w:r>
    </w:p>
    <w:p>
      <w:pPr>
        <w:spacing w:line="560" w:lineRule="exact"/>
        <w:jc w:val="both"/>
        <w:rPr>
          <w:rFonts w:ascii="仿宋" w:hAnsi="仿宋" w:eastAsia="仿宋" w:cs="仿宋"/>
          <w:b/>
          <w:spacing w:val="20"/>
          <w:sz w:val="32"/>
          <w:szCs w:val="32"/>
          <w:shd w:val="clear" w:color="auto" w:fill="FFFFFF"/>
        </w:rPr>
      </w:pPr>
      <w:r>
        <w:rPr>
          <w:rFonts w:hint="eastAsia" w:ascii="仿宋" w:hAnsi="仿宋" w:eastAsia="仿宋" w:cs="仿宋"/>
          <w:b/>
          <w:color w:val="0000FF"/>
          <w:spacing w:val="20"/>
          <w:sz w:val="32"/>
          <w:szCs w:val="32"/>
          <w:shd w:val="clear" w:color="auto" w:fill="FFFFFF"/>
        </w:rPr>
        <w:t xml:space="preserve">  </w:t>
      </w:r>
      <w:r>
        <w:rPr>
          <w:rFonts w:hint="eastAsia" w:ascii="仿宋" w:hAnsi="仿宋" w:eastAsia="仿宋" w:cs="仿宋"/>
          <w:b/>
          <w:spacing w:val="20"/>
          <w:sz w:val="32"/>
          <w:szCs w:val="32"/>
          <w:shd w:val="clear" w:color="auto" w:fill="FFFFFF"/>
        </w:rPr>
        <w:t>（一）地区生产总值</w:t>
      </w:r>
    </w:p>
    <w:p>
      <w:pPr>
        <w:widowControl w:val="0"/>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初步核算，2020年实现地区生产总值1791.58亿元，按可比价格计算，比上年增长5.3%。按产业分，第一产业增加值79.88亿元，增长3.8%；第二产业增加值269.56亿元，增长0.6%；第三产业增加值1442.14亿元，增长6.4%。产业结构持续优化，三次产业结构比为4.5:15.0:80.5；三次产业对经济增长的贡献率分别为2.8%、1.9%和95.3%。</w:t>
      </w:r>
    </w:p>
    <w:p>
      <w:pPr>
        <w:widowControl w:val="0"/>
        <w:ind w:firstLine="680" w:firstLineChars="200"/>
        <w:jc w:val="both"/>
        <w:rPr>
          <w:rFonts w:ascii="仿宋" w:hAnsi="仿宋" w:eastAsia="仿宋" w:cs="仿宋"/>
          <w:spacing w:val="20"/>
          <w:sz w:val="30"/>
          <w:szCs w:val="30"/>
          <w:shd w:val="clear" w:color="auto" w:fill="FFFFFF"/>
        </w:rPr>
      </w:pPr>
    </w:p>
    <w:p>
      <w:pPr>
        <w:ind w:firstLine="480" w:firstLineChars="200"/>
        <w:jc w:val="both"/>
        <w:rPr>
          <w:rFonts w:ascii="仿宋" w:hAnsi="仿宋" w:eastAsia="仿宋" w:cs="仿宋"/>
          <w:color w:val="0000FF"/>
          <w:spacing w:val="20"/>
          <w:sz w:val="30"/>
          <w:szCs w:val="30"/>
          <w:shd w:val="clear" w:color="auto" w:fill="FFFFFF"/>
        </w:rPr>
      </w:pPr>
      <w:r>
        <w:rPr>
          <w:rFonts w:hint="eastAsia" w:ascii="仿宋" w:hAnsi="仿宋" w:eastAsia="仿宋" w:cs="仿宋"/>
        </w:rPr>
        <w:drawing>
          <wp:inline distT="0" distB="0" distL="114300" distR="114300">
            <wp:extent cx="4800600" cy="3171190"/>
            <wp:effectExtent l="0" t="0" r="0" b="1016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both"/>
        <w:rPr>
          <w:rFonts w:ascii="仿宋" w:hAnsi="仿宋" w:eastAsia="仿宋" w:cs="仿宋"/>
          <w:b/>
          <w:color w:val="0000FF"/>
          <w:spacing w:val="20"/>
          <w:sz w:val="30"/>
          <w:szCs w:val="30"/>
          <w:shd w:val="clear" w:color="auto" w:fill="FFFFFF"/>
        </w:rPr>
      </w:pPr>
      <w:r>
        <w:rPr>
          <w:rFonts w:hint="eastAsia" w:ascii="仿宋" w:hAnsi="仿宋" w:eastAsia="仿宋" w:cs="仿宋"/>
          <w:b/>
          <w:color w:val="0000FF"/>
          <w:spacing w:val="20"/>
          <w:sz w:val="32"/>
          <w:szCs w:val="30"/>
          <w:shd w:val="clear" w:color="auto" w:fill="FFFFFF"/>
        </w:rPr>
        <w:t xml:space="preserve">  </w:t>
      </w:r>
      <w:r>
        <w:rPr>
          <w:rFonts w:hint="eastAsia" w:ascii="仿宋" w:hAnsi="仿宋" w:eastAsia="仿宋" w:cs="仿宋"/>
          <w:b/>
          <w:spacing w:val="20"/>
          <w:sz w:val="32"/>
          <w:szCs w:val="30"/>
          <w:shd w:val="clear" w:color="auto" w:fill="FFFFFF"/>
        </w:rPr>
        <w:t>（二）财政收支</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全市全口径一般公共预算收入460亿元，同口径（下同）比上年下降1.3%。其中地方一般公共预算收入186.1亿元，增长0.4%。在地方一般公共预算收入中，实现税收收入138.1亿元，下降12.7%，其中国内增值税17.6亿元，下降7.2%；改增增值税37.5亿元，下降17.9%；企业所得税29.8亿元，增长0.2%;个人所得税7.2亿元，增长9.7%；土地增值税13.8亿元，下降25.3%。</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全年地方一般公共预算支出305.4亿元，增长14.9%。全年财政民生支出229.8亿元，占地方一般公共财政预算支出的75.2%，占比比去年同期增加了5.1个百分点。其中教育支出42.2亿元，增长1.9%；文化旅游体育与传媒支出15.4亿元，增长7.2%；社会保障和就业支出34.8亿元，增长18.6%；卫生健康支出36.1亿元，增长40.4%；住房保障支出7.3亿元，下降19.5%；粮油物资储备支出1.1亿元，增长3.1%；农林水支出23.2亿元，增长5.5%。</w:t>
      </w:r>
    </w:p>
    <w:p>
      <w:pPr>
        <w:ind w:firstLine="480" w:firstLineChars="200"/>
        <w:jc w:val="both"/>
        <w:rPr>
          <w:rFonts w:ascii="仿宋" w:hAnsi="仿宋" w:eastAsia="仿宋" w:cs="仿宋"/>
          <w:spacing w:val="20"/>
          <w:sz w:val="30"/>
          <w:szCs w:val="30"/>
          <w:shd w:val="clear" w:color="auto" w:fill="FFFFFF"/>
        </w:rPr>
      </w:pPr>
      <w:r>
        <w:drawing>
          <wp:inline distT="0" distB="0" distL="114300" distR="114300">
            <wp:extent cx="4962525" cy="3729355"/>
            <wp:effectExtent l="0" t="0" r="9525" b="4445"/>
            <wp:docPr id="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both"/>
        <w:rPr>
          <w:rFonts w:ascii="仿宋" w:hAnsi="仿宋" w:eastAsia="仿宋" w:cs="仿宋"/>
          <w:b/>
          <w:snapToGrid w:val="0"/>
          <w:color w:val="0000FF"/>
          <w:spacing w:val="20"/>
          <w:sz w:val="32"/>
          <w:szCs w:val="30"/>
        </w:rPr>
      </w:pPr>
      <w:r>
        <w:rPr>
          <w:rFonts w:hint="eastAsia" w:ascii="仿宋" w:hAnsi="仿宋" w:eastAsia="仿宋" w:cs="仿宋"/>
          <w:b/>
          <w:snapToGrid w:val="0"/>
          <w:color w:val="0000FF"/>
          <w:spacing w:val="20"/>
          <w:sz w:val="32"/>
          <w:szCs w:val="30"/>
        </w:rPr>
        <w:t xml:space="preserve">  </w:t>
      </w:r>
      <w:r>
        <w:rPr>
          <w:rFonts w:hint="eastAsia" w:ascii="仿宋" w:hAnsi="仿宋" w:eastAsia="仿宋" w:cs="仿宋"/>
          <w:b/>
          <w:snapToGrid w:val="0"/>
          <w:spacing w:val="20"/>
          <w:sz w:val="32"/>
          <w:szCs w:val="30"/>
        </w:rPr>
        <w:t>（三）固定资产投资</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2020年，</w:t>
      </w:r>
      <w:r>
        <w:rPr>
          <w:rFonts w:hint="eastAsia" w:ascii="仿宋" w:hAnsi="仿宋" w:eastAsia="仿宋" w:cs="仿宋"/>
          <w:spacing w:val="20"/>
          <w:sz w:val="30"/>
          <w:szCs w:val="30"/>
        </w:rPr>
        <w:t>伴随着海南建设自由贸易港政策出台，以及超常规推动投资举措陆续实施，各类项目建设加快推进，投资拉动经济作用增强。</w:t>
      </w:r>
      <w:r>
        <w:rPr>
          <w:rFonts w:hint="eastAsia" w:ascii="仿宋" w:hAnsi="仿宋" w:eastAsia="仿宋" w:cs="仿宋"/>
          <w:spacing w:val="20"/>
          <w:sz w:val="30"/>
          <w:szCs w:val="30"/>
          <w:lang w:val="en"/>
        </w:rPr>
        <w:t>全年完成固定资产投资比上年增长</w:t>
      </w:r>
      <w:r>
        <w:rPr>
          <w:rFonts w:hint="eastAsia" w:ascii="仿宋" w:hAnsi="仿宋" w:eastAsia="仿宋" w:cs="仿宋"/>
          <w:spacing w:val="20"/>
          <w:sz w:val="30"/>
          <w:szCs w:val="30"/>
        </w:rPr>
        <w:t>9.9</w:t>
      </w:r>
      <w:r>
        <w:rPr>
          <w:rFonts w:hint="eastAsia" w:ascii="仿宋" w:hAnsi="仿宋" w:eastAsia="仿宋" w:cs="仿宋"/>
          <w:spacing w:val="20"/>
          <w:sz w:val="30"/>
          <w:szCs w:val="30"/>
          <w:lang w:val="en"/>
        </w:rPr>
        <w:t>%，</w:t>
      </w:r>
      <w:r>
        <w:rPr>
          <w:rFonts w:hint="eastAsia" w:ascii="仿宋" w:hAnsi="仿宋" w:eastAsia="仿宋" w:cs="仿宋"/>
          <w:spacing w:val="20"/>
          <w:sz w:val="30"/>
          <w:szCs w:val="30"/>
          <w:shd w:val="clear" w:color="auto" w:fill="FFFFFF"/>
        </w:rPr>
        <w:t>其中：房地产投资下降7.7%，非房投资增长23.4%。分产业看，第一产业投资增长124.9%，第二产业投资增长57.6%，第三产业投资增长4.3%，三次产业投资比例为0.7:14.1:85.2。房地产与非房项目结构比由43.3:56.7调整为36.3:63.7，投资结构不断优化。</w:t>
      </w:r>
    </w:p>
    <w:p>
      <w:pPr>
        <w:ind w:firstLine="480" w:firstLineChars="200"/>
        <w:jc w:val="both"/>
        <w:rPr>
          <w:rFonts w:ascii="仿宋" w:hAnsi="仿宋" w:eastAsia="仿宋" w:cs="仿宋"/>
          <w:spacing w:val="20"/>
          <w:sz w:val="30"/>
          <w:szCs w:val="30"/>
          <w:shd w:val="clear" w:color="auto" w:fill="FFFFFF"/>
        </w:rPr>
      </w:pPr>
      <w:r>
        <w:rPr>
          <w:rFonts w:hint="eastAsia" w:ascii="仿宋" w:hAnsi="仿宋" w:eastAsia="仿宋" w:cs="仿宋"/>
        </w:rPr>
        <w:drawing>
          <wp:inline distT="0" distB="0" distL="114300" distR="114300">
            <wp:extent cx="4572000" cy="287655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both"/>
        <w:rPr>
          <w:rFonts w:ascii="仿宋" w:hAnsi="仿宋" w:eastAsia="仿宋" w:cs="仿宋"/>
          <w:b/>
          <w:color w:val="FF0000"/>
          <w:spacing w:val="20"/>
          <w:sz w:val="32"/>
          <w:szCs w:val="30"/>
        </w:rPr>
      </w:pPr>
      <w:r>
        <w:rPr>
          <w:rFonts w:hint="eastAsia" w:ascii="仿宋" w:hAnsi="仿宋" w:eastAsia="仿宋" w:cs="仿宋"/>
          <w:b/>
          <w:color w:val="0000FF"/>
          <w:spacing w:val="20"/>
          <w:sz w:val="32"/>
          <w:szCs w:val="30"/>
          <w:shd w:val="clear" w:color="auto" w:fill="FFFFFF"/>
        </w:rPr>
        <w:t xml:space="preserve">   </w:t>
      </w:r>
      <w:r>
        <w:rPr>
          <w:rFonts w:hint="eastAsia" w:ascii="仿宋" w:hAnsi="仿宋" w:eastAsia="仿宋" w:cs="仿宋"/>
          <w:b/>
          <w:spacing w:val="20"/>
          <w:sz w:val="32"/>
          <w:szCs w:val="30"/>
          <w:shd w:val="clear" w:color="auto" w:fill="FFFFFF"/>
        </w:rPr>
        <w:t>（四）</w:t>
      </w:r>
      <w:r>
        <w:rPr>
          <w:rFonts w:hint="eastAsia" w:ascii="仿宋" w:hAnsi="仿宋" w:eastAsia="仿宋" w:cs="仿宋"/>
          <w:b/>
          <w:spacing w:val="20"/>
          <w:sz w:val="32"/>
          <w:szCs w:val="30"/>
        </w:rPr>
        <w:t>居民消费价格</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年，海口市居民消费价格同比上涨1.6%。分类别看，食品烟酒价格上涨6.8%，衣着价格上涨3.0%，居住价格下跌3.3%，生活用品及服务价格上涨0.4%，交通和通信价格下跌4.9%，教育文化和娱乐价格上涨1.9%，医疗保健价格上涨0.1%，其他用品和服务价格上涨4.4%。</w:t>
      </w:r>
    </w:p>
    <w:tbl>
      <w:tblPr>
        <w:tblStyle w:val="20"/>
        <w:tblW w:w="7685" w:type="dxa"/>
        <w:jc w:val="center"/>
        <w:tblLayout w:type="fixed"/>
        <w:tblCellMar>
          <w:top w:w="0" w:type="dxa"/>
          <w:left w:w="108" w:type="dxa"/>
          <w:bottom w:w="0" w:type="dxa"/>
          <w:right w:w="108" w:type="dxa"/>
        </w:tblCellMar>
      </w:tblPr>
      <w:tblGrid>
        <w:gridCol w:w="4645"/>
        <w:gridCol w:w="3040"/>
      </w:tblGrid>
      <w:tr>
        <w:tblPrEx>
          <w:tblCellMar>
            <w:top w:w="0" w:type="dxa"/>
            <w:left w:w="108" w:type="dxa"/>
            <w:bottom w:w="0" w:type="dxa"/>
            <w:right w:w="108" w:type="dxa"/>
          </w:tblCellMar>
        </w:tblPrEx>
        <w:trPr>
          <w:trHeight w:val="575" w:hRule="atLeast"/>
          <w:jc w:val="center"/>
        </w:trPr>
        <w:tc>
          <w:tcPr>
            <w:tcW w:w="7685" w:type="dxa"/>
            <w:gridSpan w:val="2"/>
            <w:tcBorders>
              <w:top w:val="nil"/>
              <w:left w:val="nil"/>
              <w:bottom w:val="single" w:color="000000" w:sz="4" w:space="0"/>
              <w:right w:val="nil"/>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表1: 居民消费价格指数（CPI）</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指标名称</w:t>
            </w:r>
          </w:p>
        </w:tc>
        <w:tc>
          <w:tcPr>
            <w:tcW w:w="3040" w:type="dxa"/>
            <w:tcBorders>
              <w:top w:val="single" w:color="000000" w:sz="4" w:space="0"/>
              <w:left w:val="nil"/>
              <w:bottom w:val="single" w:color="000000" w:sz="4" w:space="0"/>
              <w:right w:val="nil"/>
            </w:tcBorders>
            <w:shd w:val="clear" w:color="auto" w:fill="FFFFFF"/>
            <w:vAlign w:val="center"/>
          </w:tcPr>
          <w:p>
            <w:pPr>
              <w:jc w:val="center"/>
              <w:rPr>
                <w:rFonts w:ascii="仿宋" w:hAnsi="仿宋" w:eastAsia="仿宋" w:cs="仿宋"/>
                <w:spacing w:val="20"/>
                <w:sz w:val="30"/>
                <w:szCs w:val="30"/>
              </w:rPr>
            </w:pPr>
            <w:r>
              <w:rPr>
                <w:rFonts w:hint="eastAsia" w:ascii="仿宋" w:hAnsi="仿宋" w:eastAsia="仿宋" w:cs="仿宋"/>
                <w:spacing w:val="20"/>
                <w:sz w:val="30"/>
                <w:szCs w:val="30"/>
              </w:rPr>
              <w:t>价格指数</w:t>
            </w:r>
          </w:p>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（上年=100）</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居民消费价格指数</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101.6</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一、食品烟酒</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106.8</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 xml:space="preserve">    粮    食</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101.5</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 xml:space="preserve">    食 用 油</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105.6</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 xml:space="preserve">    鲜    菜</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95.4</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 xml:space="preserve">    畜 肉 类</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136.0</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 xml:space="preserve">    禽 肉 类</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101.9</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 xml:space="preserve">    水 产 品</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100.5</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 xml:space="preserve">    蛋    类 </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97.1</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 xml:space="preserve">    奶    类</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102.7</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 xml:space="preserve">    鲜 瓜 果</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92.7</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 xml:space="preserve">    烟    草</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100.6</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 xml:space="preserve">    酒    类</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102.7</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二、衣着</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103.0</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三、居住</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96.7</w:t>
            </w:r>
          </w:p>
        </w:tc>
      </w:tr>
      <w:tr>
        <w:tblPrEx>
          <w:tblCellMar>
            <w:top w:w="0" w:type="dxa"/>
            <w:left w:w="108" w:type="dxa"/>
            <w:bottom w:w="0" w:type="dxa"/>
            <w:right w:w="108" w:type="dxa"/>
          </w:tblCellMar>
        </w:tblPrEx>
        <w:trPr>
          <w:trHeight w:val="439" w:hRule="atLeast"/>
          <w:jc w:val="center"/>
        </w:trPr>
        <w:tc>
          <w:tcPr>
            <w:tcW w:w="4645" w:type="dxa"/>
            <w:tcBorders>
              <w:top w:val="nil"/>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四、生活用品及服务</w:t>
            </w:r>
          </w:p>
        </w:tc>
        <w:tc>
          <w:tcPr>
            <w:tcW w:w="3040" w:type="dxa"/>
            <w:tcBorders>
              <w:top w:val="nil"/>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100.4</w:t>
            </w:r>
          </w:p>
        </w:tc>
      </w:tr>
      <w:tr>
        <w:tblPrEx>
          <w:tblCellMar>
            <w:top w:w="0" w:type="dxa"/>
            <w:left w:w="108" w:type="dxa"/>
            <w:bottom w:w="0" w:type="dxa"/>
            <w:right w:w="108" w:type="dxa"/>
          </w:tblCellMar>
        </w:tblPrEx>
        <w:trPr>
          <w:trHeight w:val="439" w:hRule="atLeast"/>
          <w:jc w:val="center"/>
        </w:trPr>
        <w:tc>
          <w:tcPr>
            <w:tcW w:w="4645" w:type="dxa"/>
            <w:tcBorders>
              <w:top w:val="single" w:color="000000" w:sz="4" w:space="0"/>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五、交通和通信</w:t>
            </w:r>
          </w:p>
        </w:tc>
        <w:tc>
          <w:tcPr>
            <w:tcW w:w="3040" w:type="dxa"/>
            <w:tcBorders>
              <w:top w:val="single" w:color="000000" w:sz="4" w:space="0"/>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95.1</w:t>
            </w:r>
          </w:p>
        </w:tc>
      </w:tr>
      <w:tr>
        <w:tblPrEx>
          <w:tblCellMar>
            <w:top w:w="0" w:type="dxa"/>
            <w:left w:w="108" w:type="dxa"/>
            <w:bottom w:w="0" w:type="dxa"/>
            <w:right w:w="108" w:type="dxa"/>
          </w:tblCellMar>
        </w:tblPrEx>
        <w:trPr>
          <w:trHeight w:val="439" w:hRule="atLeast"/>
          <w:jc w:val="center"/>
        </w:trPr>
        <w:tc>
          <w:tcPr>
            <w:tcW w:w="4645" w:type="dxa"/>
            <w:tcBorders>
              <w:top w:val="single" w:color="000000" w:sz="4" w:space="0"/>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六、教育文化和娱乐</w:t>
            </w:r>
          </w:p>
        </w:tc>
        <w:tc>
          <w:tcPr>
            <w:tcW w:w="3040" w:type="dxa"/>
            <w:tcBorders>
              <w:top w:val="single" w:color="000000" w:sz="4" w:space="0"/>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101.9</w:t>
            </w:r>
          </w:p>
        </w:tc>
      </w:tr>
      <w:tr>
        <w:tblPrEx>
          <w:tblCellMar>
            <w:top w:w="0" w:type="dxa"/>
            <w:left w:w="108" w:type="dxa"/>
            <w:bottom w:w="0" w:type="dxa"/>
            <w:right w:w="108" w:type="dxa"/>
          </w:tblCellMar>
        </w:tblPrEx>
        <w:trPr>
          <w:trHeight w:val="439" w:hRule="atLeast"/>
          <w:jc w:val="center"/>
        </w:trPr>
        <w:tc>
          <w:tcPr>
            <w:tcW w:w="4645" w:type="dxa"/>
            <w:tcBorders>
              <w:top w:val="single" w:color="000000" w:sz="4" w:space="0"/>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七、医疗保健</w:t>
            </w:r>
          </w:p>
        </w:tc>
        <w:tc>
          <w:tcPr>
            <w:tcW w:w="3040" w:type="dxa"/>
            <w:tcBorders>
              <w:top w:val="single" w:color="000000" w:sz="4" w:space="0"/>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100.1</w:t>
            </w:r>
          </w:p>
        </w:tc>
      </w:tr>
      <w:tr>
        <w:tblPrEx>
          <w:tblCellMar>
            <w:top w:w="0" w:type="dxa"/>
            <w:left w:w="108" w:type="dxa"/>
            <w:bottom w:w="0" w:type="dxa"/>
            <w:right w:w="108" w:type="dxa"/>
          </w:tblCellMar>
        </w:tblPrEx>
        <w:trPr>
          <w:trHeight w:val="439" w:hRule="atLeast"/>
          <w:jc w:val="center"/>
        </w:trPr>
        <w:tc>
          <w:tcPr>
            <w:tcW w:w="4645" w:type="dxa"/>
            <w:tcBorders>
              <w:top w:val="single" w:color="000000" w:sz="4" w:space="0"/>
              <w:left w:val="nil"/>
              <w:bottom w:val="single" w:color="000000" w:sz="4" w:space="0"/>
              <w:right w:val="single" w:color="000000" w:sz="4" w:space="0"/>
            </w:tcBorders>
            <w:shd w:val="clear" w:color="auto" w:fill="FFFFFF"/>
            <w:vAlign w:val="center"/>
          </w:tcPr>
          <w:p>
            <w:pPr>
              <w:jc w:val="both"/>
              <w:rPr>
                <w:rFonts w:ascii="仿宋" w:hAnsi="仿宋" w:eastAsia="仿宋" w:cs="仿宋"/>
                <w:color w:val="FF0000"/>
                <w:spacing w:val="20"/>
                <w:sz w:val="30"/>
                <w:szCs w:val="30"/>
              </w:rPr>
            </w:pPr>
            <w:r>
              <w:rPr>
                <w:rFonts w:hint="eastAsia" w:ascii="仿宋" w:hAnsi="仿宋" w:eastAsia="仿宋" w:cs="仿宋"/>
                <w:spacing w:val="20"/>
                <w:sz w:val="30"/>
                <w:szCs w:val="30"/>
              </w:rPr>
              <w:t>八、其他用品和服务</w:t>
            </w:r>
          </w:p>
        </w:tc>
        <w:tc>
          <w:tcPr>
            <w:tcW w:w="3040" w:type="dxa"/>
            <w:tcBorders>
              <w:top w:val="single" w:color="000000" w:sz="4" w:space="0"/>
              <w:left w:val="nil"/>
              <w:bottom w:val="single" w:color="000000" w:sz="4" w:space="0"/>
              <w:right w:val="nil"/>
            </w:tcBorders>
            <w:shd w:val="clear" w:color="auto" w:fill="FFFFFF"/>
            <w:vAlign w:val="center"/>
          </w:tcPr>
          <w:p>
            <w:pPr>
              <w:jc w:val="center"/>
              <w:rPr>
                <w:rFonts w:ascii="仿宋" w:hAnsi="仿宋" w:eastAsia="仿宋" w:cs="仿宋"/>
                <w:color w:val="FF0000"/>
                <w:spacing w:val="20"/>
                <w:sz w:val="30"/>
                <w:szCs w:val="30"/>
              </w:rPr>
            </w:pPr>
            <w:r>
              <w:rPr>
                <w:rFonts w:hint="eastAsia" w:ascii="仿宋" w:hAnsi="仿宋" w:eastAsia="仿宋" w:cs="仿宋"/>
                <w:spacing w:val="20"/>
                <w:sz w:val="30"/>
                <w:szCs w:val="30"/>
              </w:rPr>
              <w:t>104.4</w:t>
            </w:r>
          </w:p>
        </w:tc>
      </w:tr>
    </w:tbl>
    <w:p>
      <w:pPr>
        <w:ind w:firstLine="680" w:firstLineChars="200"/>
        <w:jc w:val="both"/>
        <w:rPr>
          <w:rFonts w:ascii="仿宋" w:hAnsi="仿宋" w:eastAsia="仿宋" w:cs="仿宋"/>
          <w:color w:val="FF0000"/>
          <w:spacing w:val="20"/>
          <w:sz w:val="30"/>
          <w:szCs w:val="30"/>
          <w:shd w:val="clear" w:color="auto" w:fill="FFFFFF"/>
        </w:rPr>
      </w:pPr>
      <w:r>
        <w:rPr>
          <w:rFonts w:hint="eastAsia" w:ascii="仿宋" w:hAnsi="仿宋" w:eastAsia="仿宋" w:cs="仿宋"/>
          <w:spacing w:val="20"/>
          <w:sz w:val="30"/>
          <w:szCs w:val="30"/>
          <w:shd w:val="clear" w:color="auto" w:fill="FFFFFF"/>
        </w:rPr>
        <w:t>2020年海口市工业生产者出厂价格同比上涨</w:t>
      </w:r>
      <w:r>
        <w:rPr>
          <w:rFonts w:hint="eastAsia" w:ascii="仿宋" w:hAnsi="仿宋" w:eastAsia="仿宋" w:cs="仿宋"/>
          <w:snapToGrid w:val="0"/>
          <w:spacing w:val="20"/>
          <w:sz w:val="30"/>
          <w:szCs w:val="30"/>
        </w:rPr>
        <w:t>0.2</w:t>
      </w:r>
      <w:r>
        <w:rPr>
          <w:rFonts w:hint="eastAsia" w:ascii="仿宋" w:hAnsi="仿宋" w:eastAsia="仿宋" w:cs="仿宋"/>
          <w:spacing w:val="20"/>
          <w:sz w:val="30"/>
          <w:szCs w:val="30"/>
          <w:shd w:val="clear" w:color="auto" w:fill="FFFFFF"/>
        </w:rPr>
        <w:t>%,工业生产者购进价格同比上涨</w:t>
      </w:r>
      <w:r>
        <w:rPr>
          <w:rFonts w:hint="eastAsia" w:ascii="仿宋" w:hAnsi="仿宋" w:eastAsia="仿宋" w:cs="仿宋"/>
          <w:snapToGrid w:val="0"/>
          <w:spacing w:val="20"/>
          <w:sz w:val="30"/>
          <w:szCs w:val="30"/>
        </w:rPr>
        <w:t>0.5</w:t>
      </w:r>
      <w:r>
        <w:rPr>
          <w:rFonts w:hint="eastAsia" w:ascii="仿宋" w:hAnsi="仿宋" w:eastAsia="仿宋" w:cs="仿宋"/>
          <w:spacing w:val="20"/>
          <w:sz w:val="30"/>
          <w:szCs w:val="30"/>
          <w:shd w:val="clear" w:color="auto" w:fill="FFFFFF"/>
        </w:rPr>
        <w:t>%。</w:t>
      </w:r>
    </w:p>
    <w:p>
      <w:pPr>
        <w:widowControl w:val="0"/>
        <w:jc w:val="both"/>
        <w:rPr>
          <w:rFonts w:ascii="仿宋" w:hAnsi="仿宋" w:eastAsia="仿宋" w:cs="仿宋"/>
          <w:b/>
          <w:bCs/>
          <w:snapToGrid w:val="0"/>
          <w:spacing w:val="20"/>
          <w:sz w:val="32"/>
          <w:szCs w:val="30"/>
        </w:rPr>
      </w:pPr>
      <w:r>
        <w:rPr>
          <w:rFonts w:hint="eastAsia" w:ascii="仿宋" w:hAnsi="仿宋" w:eastAsia="仿宋" w:cs="仿宋"/>
          <w:b/>
          <w:color w:val="0000FF"/>
          <w:spacing w:val="20"/>
          <w:sz w:val="32"/>
          <w:szCs w:val="30"/>
          <w:shd w:val="clear" w:color="auto" w:fill="FFFFFF"/>
        </w:rPr>
        <w:t xml:space="preserve">   </w:t>
      </w:r>
      <w:r>
        <w:rPr>
          <w:rFonts w:hint="eastAsia" w:ascii="仿宋" w:hAnsi="仿宋" w:eastAsia="仿宋" w:cs="仿宋"/>
          <w:b/>
          <w:spacing w:val="20"/>
          <w:sz w:val="32"/>
          <w:szCs w:val="30"/>
          <w:shd w:val="clear" w:color="auto" w:fill="FFFFFF"/>
        </w:rPr>
        <w:t>（五）江东新区建设</w:t>
      </w:r>
    </w:p>
    <w:p>
      <w:pPr>
        <w:widowControl w:val="0"/>
        <w:jc w:val="both"/>
        <w:rPr>
          <w:rFonts w:ascii="仿宋" w:hAnsi="仿宋" w:eastAsia="仿宋" w:cs="仿宋"/>
          <w:spacing w:val="20"/>
          <w:sz w:val="30"/>
          <w:szCs w:val="30"/>
        </w:rPr>
      </w:pPr>
      <w:r>
        <w:rPr>
          <w:rStyle w:val="29"/>
          <w:rFonts w:hint="eastAsia" w:ascii="仿宋" w:hAnsi="仿宋" w:eastAsia="仿宋" w:cs="仿宋"/>
          <w:spacing w:val="20"/>
          <w:sz w:val="30"/>
          <w:szCs w:val="30"/>
        </w:rPr>
        <w:t xml:space="preserve">    2020年江东新区建设项目共115个，其中政府投资项目94个，社会投资项目21个，</w:t>
      </w:r>
      <w:r>
        <w:rPr>
          <w:rFonts w:hint="eastAsia" w:ascii="仿宋" w:hAnsi="仿宋" w:eastAsia="仿宋" w:cs="仿宋"/>
          <w:spacing w:val="20"/>
          <w:sz w:val="30"/>
          <w:szCs w:val="30"/>
        </w:rPr>
        <w:t>坚持将自贸港建设作为抓手和引领，加快建设江东新区，落地实施自贸港各方面政策制度体系，完成江东新区离岸创新创业等四组团控规和起步区规划建设，加快编制江东新区补充区域等控制性详细规划和江东新区节能评估等4项区域评估报告。</w:t>
      </w:r>
      <w:r>
        <w:rPr>
          <w:rStyle w:val="29"/>
          <w:rFonts w:hint="eastAsia" w:ascii="仿宋" w:hAnsi="仿宋" w:eastAsia="仿宋" w:cs="仿宋"/>
          <w:spacing w:val="20"/>
          <w:sz w:val="30"/>
          <w:szCs w:val="30"/>
        </w:rPr>
        <w:t>2020年江东新区涉及省重点项目10个，其中，已完工项目3个（白驹大道改造及东延长线、文明东越江通道、海口哈罗学校），在建项目7个（政府投资项目5个，社会投资项目2个）,</w:t>
      </w:r>
      <w:r>
        <w:rPr>
          <w:rFonts w:hint="eastAsia" w:ascii="仿宋" w:hAnsi="仿宋" w:eastAsia="仿宋" w:cs="仿宋"/>
          <w:spacing w:val="20"/>
          <w:sz w:val="30"/>
          <w:szCs w:val="30"/>
        </w:rPr>
        <w:t>发挥全省龙头作用，打造南北互济内外联动开放新格局，建设更高水平开放型经济新体制，构建国际一流营商环境,推动海口对外开放不断迈向深入。</w:t>
      </w:r>
    </w:p>
    <w:p>
      <w:pPr>
        <w:jc w:val="both"/>
        <w:rPr>
          <w:rFonts w:ascii="仿宋" w:hAnsi="仿宋" w:eastAsia="仿宋" w:cs="仿宋"/>
          <w:b/>
          <w:spacing w:val="20"/>
          <w:sz w:val="36"/>
          <w:szCs w:val="28"/>
          <w:shd w:val="clear" w:color="auto" w:fill="FFFFFF"/>
        </w:rPr>
      </w:pPr>
      <w:r>
        <w:rPr>
          <w:rFonts w:hint="eastAsia" w:ascii="仿宋" w:hAnsi="仿宋" w:eastAsia="仿宋" w:cs="仿宋"/>
          <w:b/>
          <w:color w:val="0000FF"/>
          <w:spacing w:val="20"/>
          <w:sz w:val="36"/>
          <w:szCs w:val="28"/>
          <w:shd w:val="clear" w:color="auto" w:fill="FFFFFF"/>
        </w:rPr>
        <w:t xml:space="preserve">   </w:t>
      </w:r>
      <w:r>
        <w:rPr>
          <w:rFonts w:hint="eastAsia" w:ascii="仿宋" w:hAnsi="仿宋" w:eastAsia="仿宋" w:cs="仿宋"/>
          <w:b/>
          <w:spacing w:val="20"/>
          <w:sz w:val="36"/>
          <w:szCs w:val="28"/>
          <w:shd w:val="clear" w:color="auto" w:fill="FFFFFF"/>
        </w:rPr>
        <w:t>二、人民生活和民生事业</w:t>
      </w:r>
    </w:p>
    <w:p>
      <w:pPr>
        <w:jc w:val="both"/>
        <w:rPr>
          <w:rFonts w:ascii="仿宋" w:hAnsi="仿宋" w:eastAsia="仿宋" w:cs="仿宋"/>
          <w:b/>
          <w:spacing w:val="20"/>
          <w:sz w:val="32"/>
          <w:szCs w:val="30"/>
          <w:shd w:val="clear" w:color="auto" w:fill="FFFFFF"/>
        </w:rPr>
      </w:pPr>
      <w:r>
        <w:rPr>
          <w:rFonts w:hint="eastAsia" w:ascii="仿宋" w:hAnsi="仿宋" w:eastAsia="仿宋" w:cs="仿宋"/>
          <w:b/>
          <w:spacing w:val="20"/>
          <w:sz w:val="32"/>
          <w:szCs w:val="30"/>
          <w:shd w:val="clear" w:color="auto" w:fill="FFFFFF"/>
        </w:rPr>
        <w:t xml:space="preserve">   （一）居民收入</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2020年,海口市城乡常住居民人均可支配收入</w:t>
      </w:r>
      <w:r>
        <w:rPr>
          <w:rFonts w:hint="eastAsia" w:ascii="仿宋" w:hAnsi="仿宋" w:eastAsia="仿宋" w:cs="仿宋"/>
          <w:snapToGrid w:val="0"/>
          <w:spacing w:val="20"/>
          <w:sz w:val="30"/>
          <w:szCs w:val="30"/>
        </w:rPr>
        <w:t>35025</w:t>
      </w:r>
      <w:r>
        <w:rPr>
          <w:rFonts w:hint="eastAsia" w:ascii="仿宋" w:hAnsi="仿宋" w:eastAsia="仿宋" w:cs="仿宋"/>
          <w:spacing w:val="20"/>
          <w:sz w:val="30"/>
          <w:szCs w:val="30"/>
          <w:shd w:val="clear" w:color="auto" w:fill="FFFFFF"/>
        </w:rPr>
        <w:t>元，比上年增长</w:t>
      </w:r>
      <w:r>
        <w:rPr>
          <w:rFonts w:hint="eastAsia" w:ascii="仿宋" w:hAnsi="仿宋" w:eastAsia="仿宋" w:cs="仿宋"/>
          <w:snapToGrid w:val="0"/>
          <w:spacing w:val="20"/>
          <w:sz w:val="30"/>
          <w:szCs w:val="30"/>
        </w:rPr>
        <w:t>3.6</w:t>
      </w:r>
      <w:r>
        <w:rPr>
          <w:rFonts w:hint="eastAsia" w:ascii="仿宋" w:hAnsi="仿宋" w:eastAsia="仿宋" w:cs="仿宋"/>
          <w:spacing w:val="20"/>
          <w:sz w:val="30"/>
          <w:szCs w:val="30"/>
          <w:shd w:val="clear" w:color="auto" w:fill="FFFFFF"/>
        </w:rPr>
        <w:t>%。其中人均工资性收入</w:t>
      </w:r>
      <w:r>
        <w:rPr>
          <w:rFonts w:hint="eastAsia" w:ascii="仿宋" w:hAnsi="仿宋" w:eastAsia="仿宋" w:cs="仿宋"/>
          <w:snapToGrid w:val="0"/>
          <w:spacing w:val="20"/>
          <w:sz w:val="30"/>
          <w:szCs w:val="30"/>
        </w:rPr>
        <w:t>23170</w:t>
      </w:r>
      <w:r>
        <w:rPr>
          <w:rFonts w:hint="eastAsia" w:ascii="仿宋" w:hAnsi="仿宋" w:eastAsia="仿宋" w:cs="仿宋"/>
          <w:spacing w:val="20"/>
          <w:sz w:val="30"/>
          <w:szCs w:val="30"/>
          <w:shd w:val="clear" w:color="auto" w:fill="FFFFFF"/>
        </w:rPr>
        <w:t>元，增长</w:t>
      </w:r>
      <w:r>
        <w:rPr>
          <w:rFonts w:hint="eastAsia" w:ascii="仿宋" w:hAnsi="仿宋" w:eastAsia="仿宋" w:cs="仿宋"/>
          <w:snapToGrid w:val="0"/>
          <w:spacing w:val="20"/>
          <w:sz w:val="30"/>
          <w:szCs w:val="30"/>
        </w:rPr>
        <w:t>2.4</w:t>
      </w:r>
      <w:r>
        <w:rPr>
          <w:rFonts w:hint="eastAsia" w:ascii="仿宋" w:hAnsi="仿宋" w:eastAsia="仿宋" w:cs="仿宋"/>
          <w:spacing w:val="20"/>
          <w:sz w:val="30"/>
          <w:szCs w:val="30"/>
          <w:shd w:val="clear" w:color="auto" w:fill="FFFFFF"/>
        </w:rPr>
        <w:t>%；人均经营净收入</w:t>
      </w:r>
      <w:r>
        <w:rPr>
          <w:rFonts w:hint="eastAsia" w:ascii="仿宋" w:hAnsi="仿宋" w:eastAsia="仿宋" w:cs="仿宋"/>
          <w:snapToGrid w:val="0"/>
          <w:spacing w:val="20"/>
          <w:sz w:val="30"/>
          <w:szCs w:val="30"/>
        </w:rPr>
        <w:t>4136</w:t>
      </w:r>
      <w:r>
        <w:rPr>
          <w:rFonts w:hint="eastAsia" w:ascii="仿宋" w:hAnsi="仿宋" w:eastAsia="仿宋" w:cs="仿宋"/>
          <w:spacing w:val="20"/>
          <w:sz w:val="30"/>
          <w:szCs w:val="30"/>
          <w:shd w:val="clear" w:color="auto" w:fill="FFFFFF"/>
        </w:rPr>
        <w:t>元，下降</w:t>
      </w:r>
      <w:r>
        <w:rPr>
          <w:rFonts w:hint="eastAsia" w:ascii="仿宋" w:hAnsi="仿宋" w:eastAsia="仿宋" w:cs="仿宋"/>
          <w:snapToGrid w:val="0"/>
          <w:spacing w:val="20"/>
          <w:sz w:val="30"/>
          <w:szCs w:val="30"/>
        </w:rPr>
        <w:t>0.9</w:t>
      </w:r>
      <w:r>
        <w:rPr>
          <w:rFonts w:hint="eastAsia" w:ascii="仿宋" w:hAnsi="仿宋" w:eastAsia="仿宋" w:cs="仿宋"/>
          <w:spacing w:val="20"/>
          <w:sz w:val="30"/>
          <w:szCs w:val="30"/>
          <w:shd w:val="clear" w:color="auto" w:fill="FFFFFF"/>
        </w:rPr>
        <w:t>%；人均财产净收入</w:t>
      </w:r>
      <w:r>
        <w:rPr>
          <w:rFonts w:hint="eastAsia" w:ascii="仿宋" w:hAnsi="仿宋" w:eastAsia="仿宋" w:cs="仿宋"/>
          <w:snapToGrid w:val="0"/>
          <w:spacing w:val="20"/>
          <w:sz w:val="30"/>
          <w:szCs w:val="30"/>
        </w:rPr>
        <w:t>2986</w:t>
      </w:r>
      <w:r>
        <w:rPr>
          <w:rFonts w:hint="eastAsia" w:ascii="仿宋" w:hAnsi="仿宋" w:eastAsia="仿宋" w:cs="仿宋"/>
          <w:spacing w:val="20"/>
          <w:sz w:val="30"/>
          <w:szCs w:val="30"/>
          <w:shd w:val="clear" w:color="auto" w:fill="FFFFFF"/>
        </w:rPr>
        <w:t>元，增长</w:t>
      </w:r>
      <w:r>
        <w:rPr>
          <w:rFonts w:hint="eastAsia" w:ascii="仿宋" w:hAnsi="仿宋" w:eastAsia="仿宋" w:cs="仿宋"/>
          <w:snapToGrid w:val="0"/>
          <w:spacing w:val="20"/>
          <w:sz w:val="30"/>
          <w:szCs w:val="30"/>
        </w:rPr>
        <w:t>1.6%</w:t>
      </w:r>
      <w:r>
        <w:rPr>
          <w:rFonts w:hint="eastAsia" w:ascii="仿宋" w:hAnsi="仿宋" w:eastAsia="仿宋" w:cs="仿宋"/>
          <w:spacing w:val="20"/>
          <w:sz w:val="30"/>
          <w:szCs w:val="30"/>
          <w:shd w:val="clear" w:color="auto" w:fill="FFFFFF"/>
        </w:rPr>
        <w:t>；人均转移净收入</w:t>
      </w:r>
      <w:r>
        <w:rPr>
          <w:rFonts w:hint="eastAsia" w:ascii="仿宋" w:hAnsi="仿宋" w:eastAsia="仿宋" w:cs="仿宋"/>
          <w:snapToGrid w:val="0"/>
          <w:spacing w:val="20"/>
          <w:sz w:val="30"/>
          <w:szCs w:val="30"/>
        </w:rPr>
        <w:t>4733</w:t>
      </w:r>
      <w:r>
        <w:rPr>
          <w:rFonts w:hint="eastAsia" w:ascii="仿宋" w:hAnsi="仿宋" w:eastAsia="仿宋" w:cs="仿宋"/>
          <w:spacing w:val="20"/>
          <w:sz w:val="30"/>
          <w:szCs w:val="30"/>
          <w:shd w:val="clear" w:color="auto" w:fill="FFFFFF"/>
        </w:rPr>
        <w:t>元，增长</w:t>
      </w:r>
      <w:r>
        <w:rPr>
          <w:rFonts w:hint="eastAsia" w:ascii="仿宋" w:hAnsi="仿宋" w:eastAsia="仿宋" w:cs="仿宋"/>
          <w:snapToGrid w:val="0"/>
          <w:spacing w:val="20"/>
          <w:sz w:val="30"/>
          <w:szCs w:val="30"/>
        </w:rPr>
        <w:t>16.3</w:t>
      </w:r>
      <w:r>
        <w:rPr>
          <w:rFonts w:hint="eastAsia" w:ascii="仿宋" w:hAnsi="仿宋" w:eastAsia="仿宋" w:cs="仿宋"/>
          <w:spacing w:val="20"/>
          <w:sz w:val="30"/>
          <w:szCs w:val="30"/>
          <w:shd w:val="clear" w:color="auto" w:fill="FFFFFF"/>
        </w:rPr>
        <w:t>%。</w:t>
      </w:r>
    </w:p>
    <w:p>
      <w:pPr>
        <w:widowControl w:val="0"/>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城镇常住居民人均可支配收入</w:t>
      </w:r>
      <w:r>
        <w:rPr>
          <w:rFonts w:hint="eastAsia" w:ascii="仿宋" w:hAnsi="仿宋" w:eastAsia="仿宋" w:cs="仿宋"/>
          <w:snapToGrid w:val="0"/>
          <w:spacing w:val="20"/>
          <w:sz w:val="30"/>
          <w:szCs w:val="30"/>
        </w:rPr>
        <w:t>40049</w:t>
      </w:r>
      <w:r>
        <w:rPr>
          <w:rFonts w:hint="eastAsia" w:ascii="仿宋" w:hAnsi="仿宋" w:eastAsia="仿宋" w:cs="仿宋"/>
          <w:spacing w:val="20"/>
          <w:sz w:val="30"/>
          <w:szCs w:val="30"/>
          <w:shd w:val="clear" w:color="auto" w:fill="FFFFFF"/>
        </w:rPr>
        <w:t>元，比上年增长</w:t>
      </w:r>
      <w:r>
        <w:rPr>
          <w:rFonts w:hint="eastAsia" w:ascii="仿宋" w:hAnsi="仿宋" w:eastAsia="仿宋" w:cs="仿宋"/>
          <w:snapToGrid w:val="0"/>
          <w:spacing w:val="20"/>
          <w:sz w:val="30"/>
          <w:szCs w:val="30"/>
        </w:rPr>
        <w:t>2.8</w:t>
      </w:r>
      <w:r>
        <w:rPr>
          <w:rFonts w:hint="eastAsia" w:ascii="仿宋" w:hAnsi="仿宋" w:eastAsia="仿宋" w:cs="仿宋"/>
          <w:spacing w:val="20"/>
          <w:sz w:val="30"/>
          <w:szCs w:val="30"/>
          <w:shd w:val="clear" w:color="auto" w:fill="FFFFFF"/>
        </w:rPr>
        <w:t>%。其中人均工资性收入27113元，增长</w:t>
      </w:r>
      <w:r>
        <w:rPr>
          <w:rFonts w:hint="eastAsia" w:ascii="仿宋" w:hAnsi="仿宋" w:eastAsia="仿宋" w:cs="仿宋"/>
          <w:snapToGrid w:val="0"/>
          <w:spacing w:val="20"/>
          <w:sz w:val="30"/>
          <w:szCs w:val="30"/>
        </w:rPr>
        <w:t>1.7</w:t>
      </w:r>
      <w:r>
        <w:rPr>
          <w:rFonts w:hint="eastAsia" w:ascii="仿宋" w:hAnsi="仿宋" w:eastAsia="仿宋" w:cs="仿宋"/>
          <w:spacing w:val="20"/>
          <w:sz w:val="30"/>
          <w:szCs w:val="30"/>
          <w:shd w:val="clear" w:color="auto" w:fill="FFFFFF"/>
        </w:rPr>
        <w:t>%；人均经营净收入</w:t>
      </w:r>
      <w:r>
        <w:rPr>
          <w:rFonts w:hint="eastAsia" w:ascii="仿宋" w:hAnsi="仿宋" w:eastAsia="仿宋" w:cs="仿宋"/>
          <w:snapToGrid w:val="0"/>
          <w:spacing w:val="20"/>
          <w:sz w:val="30"/>
          <w:szCs w:val="30"/>
        </w:rPr>
        <w:t>3755</w:t>
      </w:r>
      <w:r>
        <w:rPr>
          <w:rFonts w:hint="eastAsia" w:ascii="仿宋" w:hAnsi="仿宋" w:eastAsia="仿宋" w:cs="仿宋"/>
          <w:spacing w:val="20"/>
          <w:sz w:val="30"/>
          <w:szCs w:val="30"/>
          <w:shd w:val="clear" w:color="auto" w:fill="FFFFFF"/>
        </w:rPr>
        <w:t>元，下降</w:t>
      </w:r>
      <w:r>
        <w:rPr>
          <w:rFonts w:hint="eastAsia" w:ascii="仿宋" w:hAnsi="仿宋" w:eastAsia="仿宋" w:cs="仿宋"/>
          <w:snapToGrid w:val="0"/>
          <w:spacing w:val="20"/>
          <w:sz w:val="30"/>
          <w:szCs w:val="30"/>
        </w:rPr>
        <w:t>4.7</w:t>
      </w:r>
      <w:r>
        <w:rPr>
          <w:rFonts w:hint="eastAsia" w:ascii="仿宋" w:hAnsi="仿宋" w:eastAsia="仿宋" w:cs="仿宋"/>
          <w:spacing w:val="20"/>
          <w:sz w:val="30"/>
          <w:szCs w:val="30"/>
          <w:shd w:val="clear" w:color="auto" w:fill="FFFFFF"/>
        </w:rPr>
        <w:t>%；人均财产净收入</w:t>
      </w:r>
      <w:r>
        <w:rPr>
          <w:rFonts w:hint="eastAsia" w:ascii="仿宋" w:hAnsi="仿宋" w:eastAsia="仿宋" w:cs="仿宋"/>
          <w:snapToGrid w:val="0"/>
          <w:spacing w:val="20"/>
          <w:sz w:val="30"/>
          <w:szCs w:val="30"/>
        </w:rPr>
        <w:t>3654</w:t>
      </w:r>
      <w:r>
        <w:rPr>
          <w:rFonts w:hint="eastAsia" w:ascii="仿宋" w:hAnsi="仿宋" w:eastAsia="仿宋" w:cs="仿宋"/>
          <w:spacing w:val="20"/>
          <w:sz w:val="30"/>
          <w:szCs w:val="30"/>
          <w:shd w:val="clear" w:color="auto" w:fill="FFFFFF"/>
        </w:rPr>
        <w:t>元，增长</w:t>
      </w:r>
      <w:r>
        <w:rPr>
          <w:rFonts w:hint="eastAsia" w:ascii="仿宋" w:hAnsi="仿宋" w:eastAsia="仿宋" w:cs="仿宋"/>
          <w:snapToGrid w:val="0"/>
          <w:spacing w:val="20"/>
          <w:sz w:val="30"/>
          <w:szCs w:val="30"/>
        </w:rPr>
        <w:t>0.8</w:t>
      </w:r>
      <w:r>
        <w:rPr>
          <w:rFonts w:hint="eastAsia" w:ascii="仿宋" w:hAnsi="仿宋" w:eastAsia="仿宋" w:cs="仿宋"/>
          <w:spacing w:val="20"/>
          <w:sz w:val="30"/>
          <w:szCs w:val="30"/>
          <w:shd w:val="clear" w:color="auto" w:fill="FFFFFF"/>
        </w:rPr>
        <w:t>%；人均转移净收入</w:t>
      </w:r>
      <w:r>
        <w:rPr>
          <w:rFonts w:hint="eastAsia" w:ascii="仿宋" w:hAnsi="仿宋" w:eastAsia="仿宋" w:cs="仿宋"/>
          <w:snapToGrid w:val="0"/>
          <w:spacing w:val="20"/>
          <w:sz w:val="30"/>
          <w:szCs w:val="30"/>
        </w:rPr>
        <w:t>5527</w:t>
      </w:r>
      <w:r>
        <w:rPr>
          <w:rFonts w:hint="eastAsia" w:ascii="仿宋" w:hAnsi="仿宋" w:eastAsia="仿宋" w:cs="仿宋"/>
          <w:spacing w:val="20"/>
          <w:sz w:val="30"/>
          <w:szCs w:val="30"/>
          <w:shd w:val="clear" w:color="auto" w:fill="FFFFFF"/>
        </w:rPr>
        <w:t>元，增长</w:t>
      </w:r>
      <w:r>
        <w:rPr>
          <w:rFonts w:hint="eastAsia" w:ascii="仿宋" w:hAnsi="仿宋" w:eastAsia="仿宋" w:cs="仿宋"/>
          <w:snapToGrid w:val="0"/>
          <w:spacing w:val="20"/>
          <w:sz w:val="30"/>
          <w:szCs w:val="30"/>
        </w:rPr>
        <w:t>16.3</w:t>
      </w:r>
      <w:r>
        <w:rPr>
          <w:rFonts w:hint="eastAsia" w:ascii="仿宋" w:hAnsi="仿宋" w:eastAsia="仿宋" w:cs="仿宋"/>
          <w:spacing w:val="20"/>
          <w:sz w:val="30"/>
          <w:szCs w:val="30"/>
          <w:shd w:val="clear" w:color="auto" w:fill="FFFFFF"/>
        </w:rPr>
        <w:t>%。</w:t>
      </w:r>
    </w:p>
    <w:p>
      <w:pPr>
        <w:widowControl w:val="0"/>
        <w:ind w:firstLine="480" w:firstLineChars="200"/>
        <w:jc w:val="both"/>
        <w:rPr>
          <w:rFonts w:ascii="仿宋" w:hAnsi="仿宋" w:eastAsia="仿宋" w:cs="仿宋"/>
          <w:spacing w:val="20"/>
          <w:sz w:val="30"/>
          <w:szCs w:val="30"/>
          <w:shd w:val="clear" w:color="auto" w:fill="FFFFFF"/>
        </w:rPr>
      </w:pPr>
      <w:r>
        <w:rPr>
          <w:rFonts w:hint="eastAsia" w:ascii="仿宋" w:hAnsi="仿宋" w:eastAsia="仿宋" w:cs="仿宋"/>
        </w:rPr>
        <w:drawing>
          <wp:inline distT="0" distB="0" distL="114300" distR="114300">
            <wp:extent cx="5000625" cy="3676650"/>
            <wp:effectExtent l="0" t="0" r="9525"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val="0"/>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农村常住居民人均可支配收入</w:t>
      </w:r>
      <w:r>
        <w:rPr>
          <w:rFonts w:hint="eastAsia" w:ascii="仿宋" w:hAnsi="仿宋" w:eastAsia="仿宋" w:cs="仿宋"/>
          <w:snapToGrid w:val="0"/>
          <w:spacing w:val="20"/>
          <w:sz w:val="30"/>
          <w:szCs w:val="30"/>
        </w:rPr>
        <w:t>17405</w:t>
      </w:r>
      <w:r>
        <w:rPr>
          <w:rFonts w:hint="eastAsia" w:ascii="仿宋" w:hAnsi="仿宋" w:eastAsia="仿宋" w:cs="仿宋"/>
          <w:spacing w:val="20"/>
          <w:sz w:val="30"/>
          <w:szCs w:val="30"/>
          <w:shd w:val="clear" w:color="auto" w:fill="FFFFFF"/>
        </w:rPr>
        <w:t>元，比上年增长</w:t>
      </w:r>
      <w:r>
        <w:rPr>
          <w:rFonts w:hint="eastAsia" w:ascii="仿宋" w:hAnsi="仿宋" w:eastAsia="仿宋" w:cs="仿宋"/>
          <w:snapToGrid w:val="0"/>
          <w:spacing w:val="20"/>
          <w:sz w:val="30"/>
          <w:szCs w:val="30"/>
        </w:rPr>
        <w:t>8.0</w:t>
      </w:r>
      <w:r>
        <w:rPr>
          <w:rFonts w:hint="eastAsia" w:ascii="仿宋" w:hAnsi="仿宋" w:eastAsia="仿宋" w:cs="仿宋"/>
          <w:spacing w:val="20"/>
          <w:sz w:val="30"/>
          <w:szCs w:val="30"/>
          <w:shd w:val="clear" w:color="auto" w:fill="FFFFFF"/>
        </w:rPr>
        <w:t>%。其中人均工资性收入</w:t>
      </w:r>
      <w:r>
        <w:rPr>
          <w:rFonts w:hint="eastAsia" w:ascii="仿宋" w:hAnsi="仿宋" w:eastAsia="仿宋" w:cs="仿宋"/>
          <w:snapToGrid w:val="0"/>
          <w:spacing w:val="20"/>
          <w:sz w:val="30"/>
          <w:szCs w:val="30"/>
        </w:rPr>
        <w:t>9340</w:t>
      </w:r>
      <w:r>
        <w:rPr>
          <w:rFonts w:hint="eastAsia" w:ascii="仿宋" w:hAnsi="仿宋" w:eastAsia="仿宋" w:cs="仿宋"/>
          <w:spacing w:val="20"/>
          <w:sz w:val="30"/>
          <w:szCs w:val="30"/>
          <w:shd w:val="clear" w:color="auto" w:fill="FFFFFF"/>
        </w:rPr>
        <w:t>元，增长</w:t>
      </w:r>
      <w:r>
        <w:rPr>
          <w:rFonts w:hint="eastAsia" w:ascii="仿宋" w:hAnsi="仿宋" w:eastAsia="仿宋" w:cs="仿宋"/>
          <w:snapToGrid w:val="0"/>
          <w:spacing w:val="20"/>
          <w:sz w:val="30"/>
          <w:szCs w:val="30"/>
        </w:rPr>
        <w:t>5.8</w:t>
      </w:r>
      <w:r>
        <w:rPr>
          <w:rFonts w:hint="eastAsia" w:ascii="仿宋" w:hAnsi="仿宋" w:eastAsia="仿宋" w:cs="仿宋"/>
          <w:spacing w:val="20"/>
          <w:sz w:val="30"/>
          <w:szCs w:val="30"/>
          <w:shd w:val="clear" w:color="auto" w:fill="FFFFFF"/>
        </w:rPr>
        <w:t>%；人均经营净收入</w:t>
      </w:r>
      <w:r>
        <w:rPr>
          <w:rFonts w:hint="eastAsia" w:ascii="仿宋" w:hAnsi="仿宋" w:eastAsia="仿宋" w:cs="仿宋"/>
          <w:snapToGrid w:val="0"/>
          <w:spacing w:val="20"/>
          <w:sz w:val="30"/>
          <w:szCs w:val="30"/>
        </w:rPr>
        <w:t>5470</w:t>
      </w:r>
      <w:r>
        <w:rPr>
          <w:rFonts w:hint="eastAsia" w:ascii="仿宋" w:hAnsi="仿宋" w:eastAsia="仿宋" w:cs="仿宋"/>
          <w:spacing w:val="20"/>
          <w:sz w:val="30"/>
          <w:szCs w:val="30"/>
          <w:shd w:val="clear" w:color="auto" w:fill="FFFFFF"/>
        </w:rPr>
        <w:t>元，增长</w:t>
      </w:r>
      <w:r>
        <w:rPr>
          <w:rFonts w:hint="eastAsia" w:ascii="仿宋" w:hAnsi="仿宋" w:eastAsia="仿宋" w:cs="仿宋"/>
          <w:snapToGrid w:val="0"/>
          <w:spacing w:val="20"/>
          <w:sz w:val="30"/>
          <w:szCs w:val="30"/>
        </w:rPr>
        <w:t>10.0</w:t>
      </w:r>
      <w:r>
        <w:rPr>
          <w:rFonts w:hint="eastAsia" w:ascii="仿宋" w:hAnsi="仿宋" w:eastAsia="仿宋" w:cs="仿宋"/>
          <w:spacing w:val="20"/>
          <w:sz w:val="30"/>
          <w:szCs w:val="30"/>
          <w:shd w:val="clear" w:color="auto" w:fill="FFFFFF"/>
        </w:rPr>
        <w:t>%；人均财产净收入</w:t>
      </w:r>
      <w:r>
        <w:rPr>
          <w:rFonts w:hint="eastAsia" w:ascii="仿宋" w:hAnsi="仿宋" w:eastAsia="仿宋" w:cs="仿宋"/>
          <w:snapToGrid w:val="0"/>
          <w:spacing w:val="20"/>
          <w:sz w:val="30"/>
          <w:szCs w:val="30"/>
        </w:rPr>
        <w:t>645</w:t>
      </w:r>
      <w:r>
        <w:rPr>
          <w:rFonts w:hint="eastAsia" w:ascii="仿宋" w:hAnsi="仿宋" w:eastAsia="仿宋" w:cs="仿宋"/>
          <w:spacing w:val="20"/>
          <w:sz w:val="30"/>
          <w:szCs w:val="30"/>
          <w:shd w:val="clear" w:color="auto" w:fill="FFFFFF"/>
        </w:rPr>
        <w:t>元，增长</w:t>
      </w:r>
      <w:r>
        <w:rPr>
          <w:rFonts w:hint="eastAsia" w:ascii="仿宋" w:hAnsi="仿宋" w:eastAsia="仿宋" w:cs="仿宋"/>
          <w:snapToGrid w:val="0"/>
          <w:spacing w:val="20"/>
          <w:sz w:val="30"/>
          <w:szCs w:val="30"/>
        </w:rPr>
        <w:t>9.1</w:t>
      </w:r>
      <w:r>
        <w:rPr>
          <w:rFonts w:hint="eastAsia" w:ascii="仿宋" w:hAnsi="仿宋" w:eastAsia="仿宋" w:cs="仿宋"/>
          <w:spacing w:val="20"/>
          <w:sz w:val="30"/>
          <w:szCs w:val="30"/>
          <w:shd w:val="clear" w:color="auto" w:fill="FFFFFF"/>
        </w:rPr>
        <w:t>%；人均转移净收入</w:t>
      </w:r>
      <w:r>
        <w:rPr>
          <w:rFonts w:hint="eastAsia" w:ascii="仿宋" w:hAnsi="仿宋" w:eastAsia="仿宋" w:cs="仿宋"/>
          <w:snapToGrid w:val="0"/>
          <w:spacing w:val="20"/>
          <w:sz w:val="30"/>
          <w:szCs w:val="30"/>
        </w:rPr>
        <w:t>1950</w:t>
      </w:r>
      <w:r>
        <w:rPr>
          <w:rFonts w:hint="eastAsia" w:ascii="仿宋" w:hAnsi="仿宋" w:eastAsia="仿宋" w:cs="仿宋"/>
          <w:spacing w:val="20"/>
          <w:sz w:val="30"/>
          <w:szCs w:val="30"/>
          <w:shd w:val="clear" w:color="auto" w:fill="FFFFFF"/>
        </w:rPr>
        <w:t>元，增长</w:t>
      </w:r>
      <w:r>
        <w:rPr>
          <w:rFonts w:hint="eastAsia" w:ascii="仿宋" w:hAnsi="仿宋" w:eastAsia="仿宋" w:cs="仿宋"/>
          <w:snapToGrid w:val="0"/>
          <w:spacing w:val="20"/>
          <w:sz w:val="30"/>
          <w:szCs w:val="30"/>
        </w:rPr>
        <w:t>13.2</w:t>
      </w:r>
      <w:r>
        <w:rPr>
          <w:rFonts w:hint="eastAsia" w:ascii="仿宋" w:hAnsi="仿宋" w:eastAsia="仿宋" w:cs="仿宋"/>
          <w:spacing w:val="20"/>
          <w:sz w:val="30"/>
          <w:szCs w:val="30"/>
          <w:shd w:val="clear" w:color="auto" w:fill="FFFFFF"/>
        </w:rPr>
        <w:t>%。</w:t>
      </w:r>
    </w:p>
    <w:p>
      <w:pPr>
        <w:widowControl w:val="0"/>
        <w:ind w:firstLine="680" w:firstLineChars="200"/>
        <w:jc w:val="both"/>
        <w:rPr>
          <w:rFonts w:ascii="仿宋" w:hAnsi="仿宋" w:eastAsia="仿宋" w:cs="仿宋"/>
          <w:spacing w:val="20"/>
          <w:sz w:val="30"/>
          <w:szCs w:val="30"/>
          <w:shd w:val="clear" w:color="auto" w:fill="FFFFFF"/>
        </w:rPr>
      </w:pPr>
    </w:p>
    <w:p>
      <w:pPr>
        <w:widowControl w:val="0"/>
        <w:ind w:firstLine="480" w:firstLineChars="200"/>
        <w:jc w:val="both"/>
        <w:rPr>
          <w:rFonts w:ascii="仿宋" w:hAnsi="仿宋" w:eastAsia="仿宋" w:cs="仿宋"/>
          <w:color w:val="0000FF"/>
          <w:spacing w:val="20"/>
          <w:sz w:val="30"/>
          <w:szCs w:val="30"/>
          <w:shd w:val="clear" w:color="auto" w:fill="FFFFFF"/>
        </w:rPr>
      </w:pPr>
      <w:r>
        <w:rPr>
          <w:rFonts w:hint="eastAsia" w:ascii="仿宋" w:hAnsi="仿宋" w:eastAsia="仿宋" w:cs="仿宋"/>
        </w:rPr>
        <w:drawing>
          <wp:inline distT="0" distB="0" distL="114300" distR="114300">
            <wp:extent cx="4980940" cy="2877185"/>
            <wp:effectExtent l="0" t="0" r="10160" b="1841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361" w:firstLineChars="100"/>
        <w:jc w:val="both"/>
        <w:rPr>
          <w:rFonts w:ascii="仿宋" w:hAnsi="仿宋" w:eastAsia="仿宋" w:cs="仿宋"/>
          <w:b/>
          <w:spacing w:val="20"/>
          <w:sz w:val="32"/>
          <w:szCs w:val="30"/>
          <w:shd w:val="clear" w:color="auto" w:fill="FFFFFF"/>
        </w:rPr>
      </w:pPr>
    </w:p>
    <w:p>
      <w:pPr>
        <w:ind w:firstLine="361" w:firstLineChars="100"/>
        <w:jc w:val="both"/>
        <w:rPr>
          <w:rFonts w:ascii="仿宋" w:hAnsi="仿宋" w:eastAsia="仿宋" w:cs="仿宋"/>
          <w:b/>
          <w:spacing w:val="20"/>
          <w:sz w:val="32"/>
          <w:szCs w:val="30"/>
          <w:shd w:val="clear" w:color="auto" w:fill="FFFFFF"/>
        </w:rPr>
      </w:pPr>
      <w:r>
        <w:rPr>
          <w:rFonts w:hint="eastAsia" w:ascii="仿宋" w:hAnsi="仿宋" w:eastAsia="仿宋" w:cs="仿宋"/>
          <w:b/>
          <w:spacing w:val="20"/>
          <w:sz w:val="32"/>
          <w:szCs w:val="30"/>
          <w:shd w:val="clear" w:color="auto" w:fill="FFFFFF"/>
        </w:rPr>
        <w:t>（二）社会保障和就业</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2020年末，全市参加城镇从业人员基本养老保险94.54万人，比上年末增长13%。其中，在职人员81.7万人，离退休人员12.84万人。参加城镇职工基本医疗保险人数 78.17 万人。参加城乡居民基本医疗保险人数 107.42 万人。参加失业保险54.33万人，比上年末增长5.95%。参加工伤保险60万人。参加城乡居民养老保险33.96万人。年末领取失业保险金职工人数9386人。</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就业创业政策进一步完善，就业形势持续保持稳定。2020年，城镇新增就业人员35542人，完成年任务的101.55%。其中，城镇登记失业人员再就业13090人，转移农村富余劳动力就业7212人。城镇登记失业率2.46%。全年全市创业小额贷款担保中心共发放创业担保贷款6583万元，帮扶448人自主创业，带动1583人实现就业。</w:t>
      </w:r>
    </w:p>
    <w:p>
      <w:pPr>
        <w:jc w:val="both"/>
        <w:rPr>
          <w:rFonts w:ascii="仿宋" w:hAnsi="仿宋" w:eastAsia="仿宋" w:cs="仿宋"/>
          <w:b/>
          <w:spacing w:val="20"/>
          <w:sz w:val="30"/>
          <w:szCs w:val="30"/>
          <w:shd w:val="clear" w:color="auto" w:fill="FFFFFF"/>
        </w:rPr>
      </w:pPr>
      <w:r>
        <w:rPr>
          <w:rFonts w:hint="eastAsia" w:ascii="仿宋" w:hAnsi="仿宋" w:eastAsia="仿宋" w:cs="仿宋"/>
          <w:b/>
          <w:color w:val="0000FF"/>
          <w:spacing w:val="20"/>
          <w:sz w:val="30"/>
          <w:szCs w:val="30"/>
          <w:shd w:val="clear" w:color="auto" w:fill="FFFFFF"/>
        </w:rPr>
        <w:t xml:space="preserve">   </w:t>
      </w:r>
      <w:r>
        <w:rPr>
          <w:rFonts w:hint="eastAsia" w:ascii="仿宋" w:hAnsi="仿宋" w:eastAsia="仿宋" w:cs="仿宋"/>
          <w:b/>
          <w:spacing w:val="20"/>
          <w:sz w:val="30"/>
          <w:szCs w:val="30"/>
          <w:shd w:val="clear" w:color="auto" w:fill="FFFFFF"/>
        </w:rPr>
        <w:t>(三)教育</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 xml:space="preserve">2020年，海口地区共有普通高等教育学校12 所，成人高校1所，中等职业学校43所，普通中学115 所，普通小学157所，幼儿园824所，特殊教育学校1 所。研究生招生4127人，在校生10211人，毕业生2091人；普通高校本专科招生54143人，在校生15.65万人，毕业生3.44万人；成人本专科招生8585人，在校生1.86万人，毕业生 6069人；中等职业学校招生 2.66万人，在校生 7.24万人，毕业生2.47万人；普通高中招生1.97万人，在校生5.15万人，毕业生1.43万人；普通初中招生3.34万人，在校生9.35万人，毕业生2.80万人；普通小学招生3.99万人，在校生22.64万人，毕业生3.21 万人；学前教育招生 5.24万人，在校生10.72万人，毕业生4.38万人；特殊教育招生173人，在校生667人，毕业生 163人。全省高等教育毛入学率为54.7%（该指标不分地区，为全省范围指标），初中入学率为106.3%，小学入学率为 102.4%。 </w:t>
      </w:r>
    </w:p>
    <w:p>
      <w:pPr>
        <w:ind w:firstLine="361" w:firstLineChars="100"/>
        <w:jc w:val="both"/>
        <w:rPr>
          <w:rFonts w:ascii="仿宋" w:hAnsi="仿宋" w:eastAsia="仿宋" w:cs="仿宋"/>
          <w:b/>
          <w:spacing w:val="20"/>
          <w:sz w:val="32"/>
          <w:szCs w:val="30"/>
          <w:shd w:val="clear" w:color="auto" w:fill="FFFFFF"/>
        </w:rPr>
      </w:pPr>
      <w:r>
        <w:rPr>
          <w:rFonts w:hint="eastAsia" w:ascii="仿宋" w:hAnsi="仿宋" w:eastAsia="仿宋" w:cs="仿宋"/>
          <w:b/>
          <w:spacing w:val="20"/>
          <w:sz w:val="32"/>
          <w:szCs w:val="30"/>
          <w:shd w:val="clear" w:color="auto" w:fill="FFFFFF"/>
        </w:rPr>
        <w:t>（四）医疗卫生</w:t>
      </w:r>
    </w:p>
    <w:p>
      <w:pPr>
        <w:ind w:firstLine="600" w:firstLineChars="200"/>
        <w:jc w:val="both"/>
        <w:rPr>
          <w:rFonts w:ascii="仿宋" w:hAnsi="仿宋" w:eastAsia="仿宋" w:cs="仿宋"/>
          <w:sz w:val="30"/>
          <w:szCs w:val="30"/>
        </w:rPr>
      </w:pPr>
      <w:r>
        <w:rPr>
          <w:rFonts w:hint="eastAsia" w:ascii="仿宋" w:hAnsi="仿宋" w:eastAsia="仿宋" w:cs="仿宋"/>
          <w:sz w:val="30"/>
          <w:szCs w:val="30"/>
        </w:rPr>
        <w:t>根据2020年国家卫生统计信息网络直报系统数据分析，全市（省、市、区属各单位）共有各级各类医疗卫生机构1385个。其中，医院83个，社区卫生服务中心（站）120个，卫生院26个，村卫生室263个，门诊部151个，诊所、卫生所、医务室710个，疾控预防控制中心6个，专科疾病防治院（所、站）2个，妇幼保健院（所、站）6个，急救中心（站）2个，计划生育技术服务机构6个。共有卫生技术人员29893人。其中，执业医师和执业助理医师10710人，注册护士14866 人。共有医疗卫生机构床位数19996张。其中，医院床位17465张，妇幼保健院（所、站）1135张，社区卫生服务中心（站）852张，乡镇卫生院床位387张。</w:t>
      </w:r>
    </w:p>
    <w:p>
      <w:pPr>
        <w:widowControl w:val="0"/>
        <w:jc w:val="both"/>
        <w:rPr>
          <w:rFonts w:ascii="仿宋" w:hAnsi="仿宋" w:eastAsia="仿宋" w:cs="仿宋"/>
          <w:b/>
          <w:spacing w:val="20"/>
          <w:sz w:val="32"/>
          <w:szCs w:val="30"/>
          <w:shd w:val="clear" w:color="auto" w:fill="FFFFFF"/>
        </w:rPr>
      </w:pPr>
      <w:r>
        <w:rPr>
          <w:rFonts w:hint="eastAsia" w:ascii="仿宋" w:hAnsi="仿宋" w:eastAsia="仿宋" w:cs="仿宋"/>
          <w:b/>
          <w:color w:val="0000FF"/>
          <w:spacing w:val="20"/>
          <w:sz w:val="32"/>
          <w:szCs w:val="30"/>
          <w:shd w:val="clear" w:color="auto" w:fill="FFFFFF"/>
        </w:rPr>
        <w:t xml:space="preserve">   </w:t>
      </w:r>
      <w:r>
        <w:rPr>
          <w:rFonts w:hint="eastAsia" w:ascii="仿宋" w:hAnsi="仿宋" w:eastAsia="仿宋" w:cs="仿宋"/>
          <w:b/>
          <w:spacing w:val="20"/>
          <w:sz w:val="32"/>
          <w:szCs w:val="30"/>
          <w:shd w:val="clear" w:color="auto" w:fill="FFFFFF"/>
        </w:rPr>
        <w:t>（五）精准扶贫</w:t>
      </w:r>
    </w:p>
    <w:p>
      <w:pPr>
        <w:widowControl w:val="0"/>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 年，全力克服新冠疫情的影响，有效解决外出务工受阻和农产品滞销的问题。实现全市有劳动能力的贫困户家庭至少有一名劳动力实现务工的预期目标，“零务工”家庭已动态清零。组织贫困劳动力9638人次参加各类培训，开发413个扶贫公益岗位和68个光伏扶贫公益岗位用于兜底安置贫困劳动力就业，建成就业扶贫基地（车间）15个，共吸纳贫困劳动力364人实现就地就近就业。投入各类财政专项扶贫资金7797万元，安排产业发展、就业扶贫、教育扶贫、健康扶贫、生活条件改善、村基础设施等扶贫项目276个。开展消费扶贫促进扶贫农产品销售。全市共举办线下消费扶贫集市100场，销售总金额 598.53 万元，贫困户受益11721户次；各类线上消费1526.78万元。通过开展消费扶贫，拓宽了贫困户农产品销路，极大促进了扶贫农产品产销。</w:t>
      </w:r>
    </w:p>
    <w:p>
      <w:pPr>
        <w:jc w:val="both"/>
        <w:rPr>
          <w:rFonts w:ascii="仿宋" w:hAnsi="仿宋" w:eastAsia="仿宋" w:cs="仿宋"/>
          <w:b/>
          <w:spacing w:val="20"/>
          <w:sz w:val="32"/>
          <w:shd w:val="clear" w:color="auto" w:fill="FFFFFF"/>
        </w:rPr>
      </w:pPr>
      <w:r>
        <w:rPr>
          <w:rFonts w:hint="eastAsia" w:ascii="仿宋" w:hAnsi="仿宋" w:eastAsia="仿宋" w:cs="仿宋"/>
          <w:b/>
          <w:color w:val="0000FF"/>
          <w:spacing w:val="20"/>
          <w:sz w:val="32"/>
          <w:shd w:val="clear" w:color="auto" w:fill="FFFFFF"/>
        </w:rPr>
        <w:t xml:space="preserve">   </w:t>
      </w:r>
      <w:r>
        <w:rPr>
          <w:rFonts w:hint="eastAsia" w:ascii="仿宋" w:hAnsi="仿宋" w:eastAsia="仿宋" w:cs="仿宋"/>
          <w:b/>
          <w:spacing w:val="20"/>
          <w:sz w:val="32"/>
          <w:shd w:val="clear" w:color="auto" w:fill="FFFFFF"/>
        </w:rPr>
        <w:t>（六）安全生产</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年度，全市发生各类生产安全事故53起，死亡48人，受伤54人，直接经济损失1507.19万元。与去年相比，事故起数、死亡人数、受伤人数各减少18起、3人、8人，分别下降25.4%、5.9%、12.9%；直接经济损失增加559.17万元，上升59%。四项指标呈“三降一升”态势。</w:t>
      </w:r>
    </w:p>
    <w:p>
      <w:pPr>
        <w:jc w:val="both"/>
        <w:rPr>
          <w:rFonts w:ascii="仿宋" w:hAnsi="仿宋" w:eastAsia="仿宋" w:cs="仿宋"/>
          <w:b/>
          <w:color w:val="0000FF"/>
          <w:spacing w:val="20"/>
          <w:sz w:val="32"/>
          <w:szCs w:val="32"/>
          <w:shd w:val="clear" w:color="auto" w:fill="FFFFFF"/>
        </w:rPr>
      </w:pPr>
      <w:r>
        <w:rPr>
          <w:rFonts w:hint="eastAsia" w:ascii="仿宋" w:hAnsi="仿宋" w:eastAsia="仿宋" w:cs="仿宋"/>
          <w:b/>
          <w:color w:val="0000FF"/>
          <w:spacing w:val="20"/>
          <w:sz w:val="32"/>
          <w:szCs w:val="32"/>
          <w:shd w:val="clear" w:color="auto" w:fill="FFFFFF"/>
        </w:rPr>
        <w:t xml:space="preserve">   </w:t>
      </w:r>
      <w:r>
        <w:rPr>
          <w:rFonts w:hint="eastAsia" w:ascii="仿宋" w:hAnsi="仿宋" w:eastAsia="仿宋" w:cs="仿宋"/>
          <w:b/>
          <w:spacing w:val="20"/>
          <w:sz w:val="32"/>
          <w:szCs w:val="32"/>
          <w:shd w:val="clear" w:color="auto" w:fill="FFFFFF"/>
        </w:rPr>
        <w:t xml:space="preserve"> 三、国民经济各行业</w:t>
      </w:r>
    </w:p>
    <w:p>
      <w:pPr>
        <w:jc w:val="both"/>
        <w:rPr>
          <w:rFonts w:ascii="仿宋" w:hAnsi="仿宋" w:eastAsia="仿宋" w:cs="仿宋"/>
          <w:b/>
          <w:color w:val="0000FF"/>
          <w:spacing w:val="20"/>
          <w:sz w:val="32"/>
          <w:szCs w:val="32"/>
          <w:shd w:val="clear" w:color="auto" w:fill="FFFFFF"/>
        </w:rPr>
      </w:pPr>
      <w:r>
        <w:rPr>
          <w:rFonts w:hint="eastAsia" w:ascii="仿宋" w:hAnsi="仿宋" w:eastAsia="仿宋" w:cs="仿宋"/>
          <w:b/>
          <w:color w:val="0000FF"/>
          <w:spacing w:val="20"/>
          <w:sz w:val="32"/>
          <w:szCs w:val="32"/>
          <w:shd w:val="clear" w:color="auto" w:fill="FFFFFF"/>
        </w:rPr>
        <w:t xml:space="preserve">   </w:t>
      </w:r>
      <w:r>
        <w:rPr>
          <w:rFonts w:hint="eastAsia" w:ascii="仿宋" w:hAnsi="仿宋" w:eastAsia="仿宋" w:cs="仿宋"/>
          <w:b/>
          <w:spacing w:val="20"/>
          <w:sz w:val="32"/>
          <w:szCs w:val="32"/>
          <w:shd w:val="clear" w:color="auto" w:fill="FFFFFF"/>
        </w:rPr>
        <w:t>（一）农林牧渔业</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2020年，全市实现农林牧渔业增加值85.3亿元，比上年增长3.8%。其中，种植业47.2亿元，增长21.3%；畜牧业20.6亿元，下降21.0%；林业4.6亿元，增长11.6%；渔业7.2亿元，下降3.7%；农林牧渔服务业5.4亿元，增长3.1%。</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全年农作物总播种面积94.9万亩，比上年下降3.9%。粮食播种面积31.1万亩，比上年下降18.3%。油料播种面积4.1万亩，下降11.7%。蔬菜播种面积40.4万亩，增长2.8%。水果种植面积26.4万亩，上涨7.0 %。橡胶种植面积14.4万亩，下降15.3%。胡椒种植面积5.3万亩，上涨4.4%。</w:t>
      </w:r>
    </w:p>
    <w:p>
      <w:pPr>
        <w:widowControl w:val="0"/>
        <w:ind w:firstLine="680" w:firstLineChars="200"/>
        <w:jc w:val="both"/>
        <w:rPr>
          <w:rFonts w:ascii="仿宋" w:hAnsi="仿宋" w:eastAsia="仿宋" w:cs="仿宋"/>
          <w:spacing w:val="20"/>
          <w:sz w:val="30"/>
          <w:szCs w:val="30"/>
          <w:shd w:val="clear" w:color="auto" w:fill="FFFFFF"/>
          <w:lang w:bidi="ar"/>
        </w:rPr>
      </w:pPr>
      <w:r>
        <w:rPr>
          <w:rFonts w:hint="eastAsia" w:ascii="仿宋" w:hAnsi="仿宋" w:eastAsia="仿宋" w:cs="仿宋"/>
          <w:spacing w:val="20"/>
          <w:sz w:val="30"/>
          <w:szCs w:val="30"/>
          <w:shd w:val="clear" w:color="auto" w:fill="FFFFFF"/>
        </w:rPr>
        <w:t>全年粮食总产量达10.5万吨，比上年下降13.9%；油料作物产量0.6万吨，下降15.2%；水果产量24.2万吨，增长6.4%；蔬菜产量56.7万吨，增长14.3%；水产品产量4.8万吨，下降8.7%。</w:t>
      </w:r>
      <w:r>
        <w:rPr>
          <w:rFonts w:hint="eastAsia" w:ascii="仿宋" w:hAnsi="仿宋" w:eastAsia="仿宋" w:cs="仿宋"/>
          <w:spacing w:val="20"/>
          <w:sz w:val="30"/>
          <w:szCs w:val="30"/>
          <w:shd w:val="clear" w:color="auto" w:fill="FFFFFF"/>
          <w:lang w:bidi="ar"/>
        </w:rPr>
        <w:t>受非洲猪瘟和新冠肺炎疫情双重打击，畜牧业生产持续低迷。生猪出栏量18.2万头，同比下降56.1%；猪肉产量1.5万吨，同比下降59.7%。牛出栏1.6万头、羊出栏7.4万只，分别下降0.2%和10.3%。</w:t>
      </w:r>
    </w:p>
    <w:p>
      <w:pPr>
        <w:jc w:val="both"/>
        <w:rPr>
          <w:rFonts w:ascii="仿宋" w:hAnsi="仿宋" w:eastAsia="仿宋" w:cs="仿宋"/>
          <w:spacing w:val="20"/>
          <w:sz w:val="30"/>
          <w:szCs w:val="30"/>
        </w:rPr>
      </w:pPr>
      <w:r>
        <w:rPr>
          <w:rFonts w:hint="eastAsia" w:ascii="仿宋" w:hAnsi="仿宋" w:eastAsia="仿宋" w:cs="仿宋"/>
          <w:spacing w:val="20"/>
          <w:sz w:val="30"/>
          <w:szCs w:val="30"/>
        </w:rPr>
        <w:t>表2: 2020年主要农产品产量及增长速度</w:t>
      </w:r>
    </w:p>
    <w:p>
      <w:pPr>
        <w:jc w:val="both"/>
        <w:rPr>
          <w:rFonts w:ascii="仿宋" w:hAnsi="仿宋" w:eastAsia="仿宋" w:cs="仿宋"/>
          <w:spacing w:val="20"/>
          <w:sz w:val="30"/>
          <w:szCs w:val="30"/>
        </w:rPr>
      </w:pPr>
    </w:p>
    <w:tbl>
      <w:tblPr>
        <w:tblStyle w:val="20"/>
        <w:tblW w:w="7575" w:type="dxa"/>
        <w:tblInd w:w="0" w:type="dxa"/>
        <w:tblLayout w:type="fixed"/>
        <w:tblCellMar>
          <w:top w:w="0" w:type="dxa"/>
          <w:left w:w="108" w:type="dxa"/>
          <w:bottom w:w="0" w:type="dxa"/>
          <w:right w:w="108" w:type="dxa"/>
        </w:tblCellMar>
      </w:tblPr>
      <w:tblGrid>
        <w:gridCol w:w="1575"/>
        <w:gridCol w:w="1080"/>
        <w:gridCol w:w="2535"/>
        <w:gridCol w:w="2385"/>
      </w:tblGrid>
      <w:tr>
        <w:tblPrEx>
          <w:tblCellMar>
            <w:top w:w="0" w:type="dxa"/>
            <w:left w:w="108" w:type="dxa"/>
            <w:bottom w:w="0" w:type="dxa"/>
            <w:right w:w="108" w:type="dxa"/>
          </w:tblCellMar>
        </w:tblPrEx>
        <w:trPr>
          <w:trHeight w:val="700" w:hRule="atLeast"/>
        </w:trPr>
        <w:tc>
          <w:tcPr>
            <w:tcW w:w="1575" w:type="dxa"/>
            <w:tcBorders>
              <w:top w:val="single" w:color="000000" w:sz="8" w:space="0"/>
              <w:left w:val="nil"/>
              <w:bottom w:val="nil"/>
              <w:right w:val="single" w:color="000000" w:sz="8"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产品名称</w:t>
            </w:r>
          </w:p>
        </w:tc>
        <w:tc>
          <w:tcPr>
            <w:tcW w:w="1080" w:type="dxa"/>
            <w:tcBorders>
              <w:top w:val="single" w:color="000000" w:sz="8" w:space="0"/>
              <w:left w:val="nil"/>
              <w:bottom w:val="nil"/>
              <w:right w:val="single" w:color="000000" w:sz="8"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单位</w:t>
            </w:r>
          </w:p>
        </w:tc>
        <w:tc>
          <w:tcPr>
            <w:tcW w:w="2535" w:type="dxa"/>
            <w:tcBorders>
              <w:top w:val="single" w:color="000000" w:sz="8" w:space="0"/>
              <w:left w:val="nil"/>
              <w:bottom w:val="nil"/>
              <w:right w:val="single" w:color="000000" w:sz="8"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产量</w:t>
            </w:r>
          </w:p>
        </w:tc>
        <w:tc>
          <w:tcPr>
            <w:tcW w:w="2385" w:type="dxa"/>
            <w:tcBorders>
              <w:top w:val="single" w:color="000000" w:sz="8" w:space="0"/>
              <w:left w:val="nil"/>
              <w:bottom w:val="nil"/>
              <w:right w:val="nil"/>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比上年增长（%）</w:t>
            </w:r>
          </w:p>
        </w:tc>
      </w:tr>
      <w:tr>
        <w:tblPrEx>
          <w:tblCellMar>
            <w:top w:w="0" w:type="dxa"/>
            <w:left w:w="108" w:type="dxa"/>
            <w:bottom w:w="0" w:type="dxa"/>
            <w:right w:w="108" w:type="dxa"/>
          </w:tblCellMar>
        </w:tblPrEx>
        <w:trPr>
          <w:trHeight w:val="390" w:hRule="atLeast"/>
        </w:trPr>
        <w:tc>
          <w:tcPr>
            <w:tcW w:w="1575"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早稻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万吨</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color w:val="000000"/>
                <w:sz w:val="30"/>
                <w:szCs w:val="30"/>
              </w:rPr>
              <w:t>4.5</w:t>
            </w:r>
          </w:p>
        </w:tc>
        <w:tc>
          <w:tcPr>
            <w:tcW w:w="238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-16.5</w:t>
            </w:r>
          </w:p>
        </w:tc>
      </w:tr>
      <w:tr>
        <w:tblPrEx>
          <w:tblCellMar>
            <w:top w:w="0" w:type="dxa"/>
            <w:left w:w="108" w:type="dxa"/>
            <w:bottom w:w="0" w:type="dxa"/>
            <w:right w:w="108" w:type="dxa"/>
          </w:tblCellMar>
        </w:tblPrEx>
        <w:trPr>
          <w:trHeight w:val="390" w:hRule="atLeast"/>
        </w:trPr>
        <w:tc>
          <w:tcPr>
            <w:tcW w:w="1575"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晚稻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万吨</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color w:val="000000"/>
                <w:sz w:val="30"/>
                <w:szCs w:val="30"/>
              </w:rPr>
              <w:t>4.2</w:t>
            </w:r>
          </w:p>
        </w:tc>
        <w:tc>
          <w:tcPr>
            <w:tcW w:w="238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-12.5</w:t>
            </w:r>
          </w:p>
        </w:tc>
      </w:tr>
      <w:tr>
        <w:tblPrEx>
          <w:tblCellMar>
            <w:top w:w="0" w:type="dxa"/>
            <w:left w:w="108" w:type="dxa"/>
            <w:bottom w:w="0" w:type="dxa"/>
            <w:right w:w="108" w:type="dxa"/>
          </w:tblCellMar>
        </w:tblPrEx>
        <w:trPr>
          <w:trHeight w:val="390" w:hRule="atLeast"/>
        </w:trPr>
        <w:tc>
          <w:tcPr>
            <w:tcW w:w="1575"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油料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万吨</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color w:val="000000"/>
                <w:sz w:val="30"/>
                <w:szCs w:val="30"/>
              </w:rPr>
              <w:t>0.6</w:t>
            </w:r>
          </w:p>
        </w:tc>
        <w:tc>
          <w:tcPr>
            <w:tcW w:w="238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-15.2</w:t>
            </w:r>
          </w:p>
        </w:tc>
      </w:tr>
      <w:tr>
        <w:tblPrEx>
          <w:tblCellMar>
            <w:top w:w="0" w:type="dxa"/>
            <w:left w:w="108" w:type="dxa"/>
            <w:bottom w:w="0" w:type="dxa"/>
            <w:right w:w="108" w:type="dxa"/>
          </w:tblCellMar>
        </w:tblPrEx>
        <w:trPr>
          <w:trHeight w:val="390" w:hRule="atLeast"/>
        </w:trPr>
        <w:tc>
          <w:tcPr>
            <w:tcW w:w="1575"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花生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万吨</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color w:val="000000"/>
                <w:sz w:val="30"/>
                <w:szCs w:val="30"/>
              </w:rPr>
              <w:t>0.6</w:t>
            </w:r>
          </w:p>
        </w:tc>
        <w:tc>
          <w:tcPr>
            <w:tcW w:w="238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-14.1</w:t>
            </w:r>
          </w:p>
        </w:tc>
      </w:tr>
      <w:tr>
        <w:tblPrEx>
          <w:tblCellMar>
            <w:top w:w="0" w:type="dxa"/>
            <w:left w:w="108" w:type="dxa"/>
            <w:bottom w:w="0" w:type="dxa"/>
            <w:right w:w="108" w:type="dxa"/>
          </w:tblCellMar>
        </w:tblPrEx>
        <w:trPr>
          <w:trHeight w:val="390" w:hRule="atLeast"/>
        </w:trPr>
        <w:tc>
          <w:tcPr>
            <w:tcW w:w="1575"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糖蔗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万吨</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color w:val="000000"/>
                <w:sz w:val="30"/>
                <w:szCs w:val="30"/>
              </w:rPr>
              <w:t>0.005</w:t>
            </w:r>
          </w:p>
        </w:tc>
        <w:tc>
          <w:tcPr>
            <w:tcW w:w="238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-93.3</w:t>
            </w:r>
          </w:p>
        </w:tc>
      </w:tr>
      <w:tr>
        <w:tblPrEx>
          <w:tblCellMar>
            <w:top w:w="0" w:type="dxa"/>
            <w:left w:w="108" w:type="dxa"/>
            <w:bottom w:w="0" w:type="dxa"/>
            <w:right w:w="108" w:type="dxa"/>
          </w:tblCellMar>
        </w:tblPrEx>
        <w:trPr>
          <w:trHeight w:val="390" w:hRule="atLeast"/>
        </w:trPr>
        <w:tc>
          <w:tcPr>
            <w:tcW w:w="1575"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水果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万吨</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color w:val="000000"/>
                <w:sz w:val="30"/>
                <w:szCs w:val="30"/>
              </w:rPr>
              <w:t>24.2</w:t>
            </w:r>
          </w:p>
        </w:tc>
        <w:tc>
          <w:tcPr>
            <w:tcW w:w="238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6.4</w:t>
            </w:r>
          </w:p>
        </w:tc>
      </w:tr>
      <w:tr>
        <w:tblPrEx>
          <w:tblCellMar>
            <w:top w:w="0" w:type="dxa"/>
            <w:left w:w="108" w:type="dxa"/>
            <w:bottom w:w="0" w:type="dxa"/>
            <w:right w:w="108" w:type="dxa"/>
          </w:tblCellMar>
        </w:tblPrEx>
        <w:trPr>
          <w:trHeight w:val="390" w:hRule="atLeast"/>
        </w:trPr>
        <w:tc>
          <w:tcPr>
            <w:tcW w:w="1575"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蔬菜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万吨</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color w:val="000000"/>
                <w:sz w:val="30"/>
                <w:szCs w:val="30"/>
              </w:rPr>
              <w:t>56.7</w:t>
            </w:r>
          </w:p>
        </w:tc>
        <w:tc>
          <w:tcPr>
            <w:tcW w:w="238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14.3</w:t>
            </w:r>
          </w:p>
        </w:tc>
      </w:tr>
      <w:tr>
        <w:tblPrEx>
          <w:tblCellMar>
            <w:top w:w="0" w:type="dxa"/>
            <w:left w:w="108" w:type="dxa"/>
            <w:bottom w:w="0" w:type="dxa"/>
            <w:right w:w="108" w:type="dxa"/>
          </w:tblCellMar>
        </w:tblPrEx>
        <w:trPr>
          <w:trHeight w:val="390" w:hRule="atLeast"/>
        </w:trPr>
        <w:tc>
          <w:tcPr>
            <w:tcW w:w="1575"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橡胶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万吨</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color w:val="000000"/>
                <w:sz w:val="30"/>
                <w:szCs w:val="30"/>
              </w:rPr>
              <w:t>0.4</w:t>
            </w:r>
          </w:p>
        </w:tc>
        <w:tc>
          <w:tcPr>
            <w:tcW w:w="238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19.3</w:t>
            </w:r>
          </w:p>
        </w:tc>
      </w:tr>
      <w:tr>
        <w:tblPrEx>
          <w:tblCellMar>
            <w:top w:w="0" w:type="dxa"/>
            <w:left w:w="108" w:type="dxa"/>
            <w:bottom w:w="0" w:type="dxa"/>
            <w:right w:w="108" w:type="dxa"/>
          </w:tblCellMar>
        </w:tblPrEx>
        <w:trPr>
          <w:trHeight w:val="390" w:hRule="atLeast"/>
        </w:trPr>
        <w:tc>
          <w:tcPr>
            <w:tcW w:w="1575"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胡椒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万吨</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30"/>
                <w:szCs w:val="30"/>
              </w:rPr>
            </w:pPr>
            <w:r>
              <w:rPr>
                <w:rFonts w:hint="eastAsia" w:ascii="仿宋" w:hAnsi="仿宋" w:eastAsia="仿宋" w:cs="仿宋"/>
                <w:color w:val="000000"/>
                <w:sz w:val="30"/>
                <w:szCs w:val="30"/>
              </w:rPr>
              <w:t>0.5</w:t>
            </w:r>
          </w:p>
        </w:tc>
        <w:tc>
          <w:tcPr>
            <w:tcW w:w="238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仿宋" w:hAnsi="仿宋" w:eastAsia="仿宋" w:cs="仿宋"/>
                <w:sz w:val="30"/>
                <w:szCs w:val="30"/>
              </w:rPr>
            </w:pPr>
            <w:r>
              <w:rPr>
                <w:rFonts w:hint="eastAsia" w:ascii="仿宋" w:hAnsi="仿宋" w:eastAsia="仿宋" w:cs="仿宋"/>
                <w:sz w:val="30"/>
                <w:szCs w:val="30"/>
              </w:rPr>
              <w:t>-16.6</w:t>
            </w:r>
          </w:p>
        </w:tc>
      </w:tr>
    </w:tbl>
    <w:p>
      <w:pPr>
        <w:jc w:val="both"/>
        <w:rPr>
          <w:rFonts w:ascii="仿宋" w:hAnsi="仿宋" w:eastAsia="仿宋" w:cs="仿宋"/>
          <w:b/>
          <w:color w:val="0000FF"/>
          <w:spacing w:val="20"/>
          <w:sz w:val="21"/>
          <w:szCs w:val="21"/>
          <w:shd w:val="clear" w:color="auto" w:fill="FFFFFF"/>
        </w:rPr>
      </w:pPr>
    </w:p>
    <w:p>
      <w:pPr>
        <w:jc w:val="both"/>
        <w:rPr>
          <w:rFonts w:ascii="仿宋" w:hAnsi="仿宋" w:eastAsia="仿宋" w:cs="仿宋"/>
          <w:b/>
          <w:color w:val="0000FF"/>
          <w:spacing w:val="20"/>
          <w:sz w:val="21"/>
          <w:szCs w:val="21"/>
          <w:shd w:val="clear" w:color="auto" w:fill="FFFFFF"/>
        </w:rPr>
      </w:pPr>
    </w:p>
    <w:p>
      <w:pPr>
        <w:jc w:val="both"/>
        <w:rPr>
          <w:rFonts w:ascii="仿宋" w:hAnsi="仿宋" w:eastAsia="仿宋" w:cs="仿宋"/>
          <w:b/>
          <w:color w:val="0000FF"/>
          <w:spacing w:val="20"/>
          <w:sz w:val="21"/>
          <w:szCs w:val="21"/>
          <w:shd w:val="clear" w:color="auto" w:fill="FFFFFF"/>
        </w:rPr>
      </w:pPr>
      <w:r>
        <w:rPr>
          <w:rFonts w:hint="eastAsia" w:ascii="仿宋" w:hAnsi="仿宋" w:eastAsia="仿宋" w:cs="仿宋"/>
        </w:rPr>
        <w:drawing>
          <wp:inline distT="0" distB="0" distL="114300" distR="114300">
            <wp:extent cx="4745355" cy="2994025"/>
            <wp:effectExtent l="0" t="0" r="17145" b="15875"/>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both"/>
        <w:rPr>
          <w:rFonts w:ascii="仿宋" w:hAnsi="仿宋" w:eastAsia="仿宋" w:cs="仿宋"/>
          <w:b/>
          <w:color w:val="0000FF"/>
          <w:spacing w:val="20"/>
          <w:sz w:val="32"/>
          <w:szCs w:val="30"/>
          <w:shd w:val="clear" w:color="auto" w:fill="FFFFFF"/>
        </w:rPr>
      </w:pPr>
      <w:r>
        <w:rPr>
          <w:rFonts w:hint="eastAsia" w:ascii="仿宋" w:hAnsi="仿宋" w:eastAsia="仿宋" w:cs="仿宋"/>
          <w:b/>
          <w:color w:val="0000FF"/>
          <w:spacing w:val="20"/>
          <w:sz w:val="32"/>
          <w:szCs w:val="30"/>
          <w:shd w:val="clear" w:color="auto" w:fill="FFFFFF"/>
        </w:rPr>
        <w:t xml:space="preserve">  </w:t>
      </w:r>
    </w:p>
    <w:p>
      <w:pPr>
        <w:jc w:val="both"/>
        <w:rPr>
          <w:rFonts w:ascii="仿宋" w:hAnsi="仿宋" w:eastAsia="仿宋" w:cs="仿宋"/>
          <w:b/>
          <w:spacing w:val="20"/>
          <w:sz w:val="32"/>
          <w:szCs w:val="30"/>
          <w:shd w:val="clear" w:color="auto" w:fill="FFFFFF"/>
        </w:rPr>
      </w:pPr>
    </w:p>
    <w:p>
      <w:pPr>
        <w:jc w:val="both"/>
        <w:rPr>
          <w:rFonts w:ascii="仿宋" w:hAnsi="仿宋" w:eastAsia="仿宋" w:cs="仿宋"/>
          <w:b/>
          <w:spacing w:val="20"/>
          <w:sz w:val="32"/>
          <w:szCs w:val="30"/>
          <w:shd w:val="clear" w:color="auto" w:fill="FFFFFF"/>
        </w:rPr>
      </w:pPr>
      <w:r>
        <w:rPr>
          <w:rFonts w:hint="eastAsia" w:ascii="仿宋" w:hAnsi="仿宋" w:eastAsia="仿宋" w:cs="仿宋"/>
          <w:b/>
          <w:spacing w:val="20"/>
          <w:sz w:val="32"/>
          <w:szCs w:val="30"/>
          <w:shd w:val="clear" w:color="auto" w:fill="FFFFFF"/>
        </w:rPr>
        <w:t>（二）工业和建筑业</w:t>
      </w:r>
    </w:p>
    <w:p>
      <w:pPr>
        <w:jc w:val="both"/>
        <w:rPr>
          <w:rFonts w:ascii="仿宋" w:hAnsi="仿宋" w:eastAsia="仿宋" w:cs="仿宋"/>
          <w:b/>
          <w:spacing w:val="20"/>
          <w:sz w:val="32"/>
          <w:szCs w:val="30"/>
          <w:shd w:val="clear" w:color="auto" w:fill="FFFFFF"/>
        </w:rPr>
      </w:pPr>
      <w:r>
        <w:rPr>
          <w:rFonts w:hint="eastAsia" w:ascii="仿宋" w:hAnsi="仿宋" w:eastAsia="仿宋" w:cs="仿宋"/>
          <w:b/>
          <w:spacing w:val="20"/>
          <w:sz w:val="32"/>
          <w:szCs w:val="30"/>
          <w:shd w:val="clear" w:color="auto" w:fill="FFFFFF"/>
        </w:rPr>
        <w:t xml:space="preserve">   1.工业</w:t>
      </w:r>
    </w:p>
    <w:p>
      <w:pPr>
        <w:widowControl w:val="0"/>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2020年，</w:t>
      </w:r>
      <w:r>
        <w:rPr>
          <w:rFonts w:hint="eastAsia" w:ascii="仿宋" w:hAnsi="仿宋" w:eastAsia="仿宋" w:cs="仿宋"/>
          <w:spacing w:val="20"/>
          <w:sz w:val="30"/>
          <w:szCs w:val="30"/>
        </w:rPr>
        <w:t>受疫情的持续影响，我市工业经济整体市场需求减弱，</w:t>
      </w:r>
      <w:r>
        <w:rPr>
          <w:rFonts w:hint="eastAsia" w:ascii="仿宋" w:hAnsi="仿宋" w:eastAsia="仿宋" w:cs="仿宋"/>
          <w:spacing w:val="20"/>
          <w:sz w:val="30"/>
          <w:szCs w:val="30"/>
          <w:shd w:val="clear" w:color="auto" w:fill="FFFFFF"/>
        </w:rPr>
        <w:t>全市规模以上工业企业有151家，实现规模以上工业总产值545.43亿元，同比下降2.7%。其中产值超十亿元的企业有13家，超亿元的企业有79家。产值超亿元企业共完成工业产值513.84亿元，占全市规模以上工业总产值的94.2%。</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 xml:space="preserve">规模以上工业总产值中，轻工业完成产值371.48亿元，下降6.1%；重工业完成产值173.95亿元，增长0.5%，轻重工业产值之比为 68 </w:t>
      </w:r>
      <w:r>
        <w:rPr>
          <w:rFonts w:hint="eastAsia" w:ascii="仿宋" w:hAnsi="仿宋" w:eastAsia="仿宋" w:cs="仿宋"/>
          <w:snapToGrid w:val="0"/>
          <w:spacing w:val="20"/>
          <w:sz w:val="30"/>
          <w:szCs w:val="30"/>
        </w:rPr>
        <w:t>：32</w:t>
      </w:r>
      <w:r>
        <w:rPr>
          <w:rFonts w:hint="eastAsia" w:ascii="仿宋" w:hAnsi="仿宋" w:eastAsia="仿宋" w:cs="仿宋"/>
          <w:spacing w:val="20"/>
          <w:sz w:val="30"/>
          <w:szCs w:val="30"/>
          <w:shd w:val="clear" w:color="auto" w:fill="FFFFFF"/>
        </w:rPr>
        <w:t>。分行业看，医药制造业完成239.98亿元，下降4.7%；电气机械和器材制造业完成47.08亿元，下降7.9%；汽车制造业完成8.97亿元，增长96.2%；电力、热力、燃气及水生产和供应业完成61.40亿元，下降1.9%；食品制造业完成36.60亿元，下降7.4%；烟草制造业完成33.33亿元，增长4.0%；农副食品加工业完成43.28亿元，下降1.5%。</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年，全市工业增加值150.60亿元，下降3.5%；其中全市规模以上工业增加值137.07亿元，比上年下降3.3%；全市规模以上工业企业实现销售产值520.28亿元，下降5.0%；全年规上工业产销率为95.4%，比上年减少1.8个百分点。</w:t>
      </w:r>
    </w:p>
    <w:p>
      <w:pPr>
        <w:ind w:firstLine="480" w:firstLineChars="200"/>
        <w:jc w:val="both"/>
        <w:rPr>
          <w:rFonts w:ascii="仿宋" w:hAnsi="仿宋" w:eastAsia="仿宋" w:cs="仿宋"/>
          <w:spacing w:val="20"/>
          <w:sz w:val="30"/>
          <w:szCs w:val="30"/>
          <w:shd w:val="clear" w:color="auto" w:fill="FFFFFF"/>
        </w:rPr>
      </w:pPr>
      <w:r>
        <w:rPr>
          <w:rFonts w:hint="eastAsia" w:ascii="仿宋" w:hAnsi="仿宋" w:eastAsia="仿宋" w:cs="仿宋"/>
        </w:rPr>
        <w:drawing>
          <wp:inline distT="0" distB="0" distL="114300" distR="114300">
            <wp:extent cx="4429125" cy="2353310"/>
            <wp:effectExtent l="0" t="0" r="9525" b="8890"/>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both"/>
        <w:rPr>
          <w:rFonts w:ascii="仿宋" w:hAnsi="仿宋" w:eastAsia="仿宋" w:cs="仿宋"/>
          <w:b/>
          <w:color w:val="0000FF"/>
          <w:spacing w:val="20"/>
          <w:sz w:val="32"/>
          <w:szCs w:val="30"/>
          <w:shd w:val="clear" w:color="auto" w:fill="FFFFFF"/>
        </w:rPr>
      </w:pPr>
      <w:r>
        <w:rPr>
          <w:rFonts w:hint="eastAsia" w:ascii="仿宋" w:hAnsi="仿宋" w:eastAsia="仿宋" w:cs="仿宋"/>
          <w:b/>
          <w:color w:val="0000FF"/>
          <w:spacing w:val="20"/>
          <w:sz w:val="32"/>
          <w:szCs w:val="30"/>
          <w:shd w:val="clear" w:color="auto" w:fill="FFFFFF"/>
        </w:rPr>
        <w:t xml:space="preserve">   </w:t>
      </w:r>
      <w:r>
        <w:rPr>
          <w:rFonts w:hint="eastAsia" w:ascii="仿宋" w:hAnsi="仿宋" w:eastAsia="仿宋" w:cs="仿宋"/>
          <w:b/>
          <w:spacing w:val="20"/>
          <w:sz w:val="32"/>
          <w:szCs w:val="30"/>
          <w:shd w:val="clear" w:color="auto" w:fill="FFFFFF"/>
        </w:rPr>
        <w:t>2.建筑业</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年全市建筑业实现增加值122.39亿元，比上年增长6.5%。全市具有资质等级的建筑业企业单位167个，增长15.2%。从业人员4.57万人，下降11.9%。本市资质内建筑企业全年房屋建筑施工面积1294.2万平方米，下降31.4%；房屋建筑竣工面积150.63万平方米，下降  55.4%。</w:t>
      </w:r>
    </w:p>
    <w:p>
      <w:pPr>
        <w:ind w:firstLine="181" w:firstLineChars="50"/>
        <w:jc w:val="both"/>
        <w:rPr>
          <w:rFonts w:ascii="仿宋" w:hAnsi="仿宋" w:eastAsia="仿宋" w:cs="仿宋"/>
          <w:b/>
          <w:bCs/>
          <w:color w:val="0000FF"/>
          <w:spacing w:val="20"/>
          <w:sz w:val="32"/>
          <w:szCs w:val="30"/>
          <w:lang w:val="en"/>
        </w:rPr>
      </w:pPr>
      <w:r>
        <w:rPr>
          <w:rFonts w:hint="eastAsia" w:ascii="仿宋" w:hAnsi="仿宋" w:eastAsia="仿宋" w:cs="仿宋"/>
          <w:b/>
          <w:color w:val="0000FF"/>
          <w:spacing w:val="20"/>
          <w:sz w:val="32"/>
          <w:szCs w:val="30"/>
          <w:shd w:val="clear" w:color="auto" w:fill="FFFFFF"/>
        </w:rPr>
        <w:t xml:space="preserve">   </w:t>
      </w:r>
      <w:r>
        <w:rPr>
          <w:rFonts w:hint="eastAsia" w:ascii="仿宋" w:hAnsi="仿宋" w:eastAsia="仿宋" w:cs="仿宋"/>
          <w:b/>
          <w:spacing w:val="20"/>
          <w:sz w:val="32"/>
          <w:szCs w:val="30"/>
          <w:shd w:val="clear" w:color="auto" w:fill="FFFFFF"/>
        </w:rPr>
        <w:t>（三）房地产业</w:t>
      </w:r>
      <w:r>
        <w:rPr>
          <w:rFonts w:hint="eastAsia" w:ascii="仿宋" w:hAnsi="仿宋" w:eastAsia="仿宋" w:cs="仿宋"/>
          <w:b/>
          <w:bCs/>
          <w:spacing w:val="20"/>
          <w:sz w:val="32"/>
          <w:szCs w:val="30"/>
          <w:lang w:val="en"/>
        </w:rPr>
        <w:t xml:space="preserve"> </w:t>
      </w:r>
      <w:r>
        <w:rPr>
          <w:rFonts w:hint="eastAsia" w:ascii="仿宋" w:hAnsi="仿宋" w:eastAsia="仿宋" w:cs="仿宋"/>
          <w:b/>
          <w:bCs/>
          <w:color w:val="0000FF"/>
          <w:spacing w:val="20"/>
          <w:sz w:val="32"/>
          <w:szCs w:val="30"/>
          <w:lang w:val="en"/>
        </w:rPr>
        <w:t xml:space="preserve"> </w:t>
      </w:r>
    </w:p>
    <w:p>
      <w:pPr>
        <w:ind w:firstLine="680" w:firstLineChars="200"/>
        <w:jc w:val="both"/>
        <w:rPr>
          <w:rFonts w:ascii="仿宋" w:hAnsi="仿宋" w:eastAsia="仿宋" w:cs="仿宋"/>
          <w:color w:val="0000FF"/>
          <w:spacing w:val="20"/>
          <w:sz w:val="30"/>
          <w:szCs w:val="30"/>
          <w:shd w:val="clear" w:color="auto" w:fill="FFFFFF"/>
        </w:rPr>
      </w:pPr>
      <w:r>
        <w:rPr>
          <w:rFonts w:hint="eastAsia" w:ascii="仿宋" w:hAnsi="仿宋" w:eastAsia="仿宋" w:cs="仿宋"/>
          <w:spacing w:val="20"/>
          <w:sz w:val="30"/>
          <w:szCs w:val="30"/>
          <w:lang w:val="en"/>
        </w:rPr>
        <w:t> </w:t>
      </w:r>
      <w:r>
        <w:rPr>
          <w:rFonts w:hint="eastAsia" w:ascii="仿宋" w:hAnsi="仿宋" w:eastAsia="仿宋" w:cs="仿宋"/>
          <w:spacing w:val="20"/>
          <w:sz w:val="30"/>
          <w:szCs w:val="30"/>
          <w:shd w:val="clear" w:color="auto" w:fill="FFFFFF"/>
        </w:rPr>
        <w:t>2020年，全市房地产业完成增加值165.01亿元，比上年下降2.8%。全市商品房施工面积3370.64万平方米，下降2.0%；商品房新开工面积325.71万平方米，下降36.2%。商品房销售面积463.74万平方米，增长5.3%；商品房销售额734.42亿元，增长8.4%；其中，住宅销售面积371.52万平方米，下降0.5%；住宅销售额612.79亿元，增长5.4%。</w:t>
      </w:r>
    </w:p>
    <w:p>
      <w:pPr>
        <w:jc w:val="both"/>
        <w:rPr>
          <w:rFonts w:ascii="仿宋" w:hAnsi="仿宋" w:eastAsia="仿宋" w:cs="仿宋"/>
          <w:b/>
          <w:color w:val="0000FF"/>
          <w:spacing w:val="20"/>
          <w:sz w:val="32"/>
          <w:shd w:val="clear" w:color="auto" w:fill="FFFFFF"/>
        </w:rPr>
      </w:pPr>
      <w:r>
        <w:rPr>
          <w:rFonts w:hint="eastAsia" w:ascii="仿宋" w:hAnsi="仿宋" w:eastAsia="仿宋" w:cs="仿宋"/>
          <w:b/>
          <w:color w:val="0000FF"/>
          <w:spacing w:val="20"/>
          <w:sz w:val="32"/>
          <w:shd w:val="clear" w:color="auto" w:fill="FFFFFF"/>
        </w:rPr>
        <w:t xml:space="preserve">  </w:t>
      </w:r>
      <w:r>
        <w:rPr>
          <w:rFonts w:hint="eastAsia" w:ascii="仿宋" w:hAnsi="仿宋" w:eastAsia="仿宋" w:cs="仿宋"/>
          <w:b/>
          <w:spacing w:val="20"/>
          <w:sz w:val="32"/>
          <w:shd w:val="clear" w:color="auto" w:fill="FFFFFF"/>
        </w:rPr>
        <w:t>（四）旅游业</w:t>
      </w:r>
    </w:p>
    <w:p>
      <w:pPr>
        <w:pStyle w:val="12"/>
        <w:spacing w:after="0"/>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年，推出“5月5折起”、“6月6折起”等优惠措施，全面开展“海南人游海口”活动，集中发放了8000万旅游消费券实施海口旅游消费券免费领活动，联合82家酒店开展促销优惠活动，推出“琼北旅游年票”，包装7条亲近自然、亲子齐欢的采摘线路，进一步刺激市民游客消费。聚焦“享购物”、“享美食”、“享生活”、“享节庆”、“享时尚”等旅游消费市场，组织开展了“旅游康养，海口尽享”康养旅游新媒体专题宣传，面向全国医护人员推出免费、半价等系列套餐，多举措、全方位助力游客“Hi 游海口”，组织开展“国庆、中秋大惠聚”“海口亲水季活动”“玩美假期计划”“国庆中秋赏月热气球嘉年华系列活动”等旅游、文体主题活动。全市接待国内外游客1620.27万人次，恢复到去年同期水平的74%，人均逗留1.51天。其中，接待入境过夜游客3.8万人次，下降86.96%。实现旅游总收入201.39亿元，恢复到去年同期水平73.28%，其中入境旅游收入1238.04 万美元，下降87.62%。年末全市拥有国家A级景区12个，其中4A级景区6个；星级宾馆酒店36家，其中五星级宾馆酒店3家。海南长影环球100奇幻乐园成功获评国家4A级旅游景区，桂林洋国家热带农业公园成功获评国家3A级旅游景区，观澜湖旅游度假区获评省级旅游度假区；天羽飞行训练基地、桂林洋热带农业公园成功获评省级中小学生研学旅行实践教育基地。全力支持秀英区创建全域旅游示范区，加快推动骑楼老街创建4A级旅游景区，推进观澜湖旅游度假区创建5A级旅游景区，推荐 6家四星级酒店和12家旅行社参与等级评定，2020年是近五年来旅游文化品牌创建最多的一年。</w:t>
      </w:r>
    </w:p>
    <w:p>
      <w:pPr>
        <w:jc w:val="both"/>
        <w:rPr>
          <w:rFonts w:ascii="仿宋" w:hAnsi="仿宋" w:eastAsia="仿宋" w:cs="仿宋"/>
          <w:b/>
          <w:color w:val="0000FF"/>
          <w:spacing w:val="20"/>
          <w:sz w:val="32"/>
          <w:szCs w:val="30"/>
          <w:shd w:val="clear" w:color="auto" w:fill="FFFFFF"/>
        </w:rPr>
      </w:pPr>
      <w:r>
        <w:rPr>
          <w:rFonts w:hint="eastAsia" w:ascii="仿宋" w:hAnsi="仿宋" w:eastAsia="仿宋" w:cs="仿宋"/>
          <w:b/>
          <w:color w:val="0000FF"/>
          <w:spacing w:val="20"/>
          <w:sz w:val="32"/>
          <w:szCs w:val="30"/>
          <w:shd w:val="clear" w:color="auto" w:fill="FFFFFF"/>
        </w:rPr>
        <w:t xml:space="preserve">   </w:t>
      </w:r>
      <w:r>
        <w:rPr>
          <w:rFonts w:hint="eastAsia" w:ascii="仿宋" w:hAnsi="仿宋" w:eastAsia="仿宋" w:cs="仿宋"/>
          <w:b/>
          <w:spacing w:val="20"/>
          <w:sz w:val="32"/>
          <w:szCs w:val="30"/>
          <w:shd w:val="clear" w:color="auto" w:fill="FFFFFF"/>
        </w:rPr>
        <w:t>（五）批发零售业和住宿餐饮业</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2020年，</w:t>
      </w:r>
      <w:r>
        <w:rPr>
          <w:rFonts w:hint="eastAsia" w:ascii="仿宋" w:hAnsi="仿宋" w:eastAsia="仿宋" w:cs="仿宋"/>
          <w:color w:val="000000"/>
          <w:spacing w:val="20"/>
          <w:sz w:val="30"/>
          <w:szCs w:val="30"/>
        </w:rPr>
        <w:t>开展乐购嘉年华促消费活动，持续释放市民消费潜力。以海口乐购嘉年华活动为抓手，聚焦“免税、汽车、家电、餐饮、夜间、新兴等六大消费，精心组织策划“五月的海风”狂欢购、2020阿里巴巴本地生活全城欢乐季、直播</w:t>
      </w:r>
      <w:r>
        <w:rPr>
          <w:rFonts w:hint="eastAsia" w:ascii="仿宋" w:hAnsi="仿宋" w:eastAsia="仿宋" w:cs="仿宋"/>
          <w:spacing w:val="20"/>
          <w:sz w:val="30"/>
          <w:szCs w:val="30"/>
        </w:rPr>
        <w:t>嗨购节</w:t>
      </w:r>
      <w:r>
        <w:rPr>
          <w:rFonts w:hint="eastAsia" w:ascii="仿宋" w:hAnsi="仿宋" w:eastAsia="仿宋" w:cs="仿宋"/>
          <w:color w:val="000000"/>
          <w:spacing w:val="20"/>
          <w:sz w:val="30"/>
          <w:szCs w:val="30"/>
        </w:rPr>
        <w:t>、国庆中秋大惠聚、2020新能源汽车焕新消费季等50余场丰富多彩的促消费活动，助力海口国际旅游消费中心城市建设，着眼激发餐饮消费活力，举办2020年海口国际食尚美食消费季、海口商超美食节、联动全城夜市，开展丰富多彩的文化体验以及线上线下互动活动，有力增强夜市的特色吸引力和品牌竞争力。</w:t>
      </w:r>
      <w:r>
        <w:rPr>
          <w:rFonts w:hint="eastAsia" w:ascii="仿宋" w:hAnsi="仿宋" w:eastAsia="仿宋" w:cs="仿宋"/>
          <w:spacing w:val="20"/>
          <w:sz w:val="30"/>
          <w:szCs w:val="30"/>
        </w:rPr>
        <w:t>在10月出台购车补贴政策，对12月31日前购买新车的车主每辆补贴3000元，销售前10名限额以上汽车销售企业每家补助20万元等各项措施利好</w:t>
      </w:r>
      <w:r>
        <w:rPr>
          <w:rFonts w:hint="eastAsia" w:ascii="仿宋" w:hAnsi="仿宋" w:eastAsia="仿宋" w:cs="仿宋"/>
          <w:spacing w:val="20"/>
          <w:sz w:val="30"/>
          <w:szCs w:val="30"/>
          <w:shd w:val="clear" w:color="auto" w:fill="FFFFFF"/>
        </w:rPr>
        <w:t>的带动下，</w:t>
      </w:r>
      <w:r>
        <w:rPr>
          <w:rFonts w:hint="eastAsia" w:ascii="仿宋" w:hAnsi="仿宋" w:eastAsia="仿宋" w:cs="仿宋"/>
          <w:spacing w:val="20"/>
          <w:sz w:val="30"/>
          <w:szCs w:val="30"/>
        </w:rPr>
        <w:t>1-11月我市社会消费品零售总额首次实现由负转正。消费潜力进一步激发、市场活力得到充分释放，</w:t>
      </w:r>
      <w:r>
        <w:rPr>
          <w:rFonts w:hint="eastAsia" w:ascii="仿宋" w:hAnsi="仿宋" w:eastAsia="仿宋" w:cs="仿宋"/>
          <w:spacing w:val="20"/>
          <w:sz w:val="30"/>
          <w:szCs w:val="30"/>
          <w:shd w:val="clear" w:color="auto" w:fill="FFFFFF"/>
        </w:rPr>
        <w:t>全年全市社会消费品零售总额实现835.89亿元，比上年增长1.5%。按经营地统计，城镇消费品零售额711.65亿元，增长0.8%；乡村消费品零售额124.24亿元，增长5.4%。按消费类型统计，商品零售额769.62亿元，增长3.6%；餐饮收入额66.26亿元，下降18.2%。</w:t>
      </w:r>
      <w:r>
        <w:rPr>
          <w:rFonts w:hint="eastAsia" w:ascii="仿宋" w:hAnsi="仿宋" w:eastAsia="仿宋" w:cs="仿宋"/>
          <w:color w:val="000000"/>
          <w:spacing w:val="20"/>
          <w:sz w:val="30"/>
          <w:szCs w:val="30"/>
        </w:rPr>
        <w:t>海口免税品</w:t>
      </w:r>
      <w:r>
        <w:rPr>
          <w:rFonts w:hint="eastAsia" w:ascii="仿宋" w:hAnsi="仿宋" w:eastAsia="仿宋" w:cs="仿宋"/>
          <w:spacing w:val="20"/>
          <w:sz w:val="30"/>
          <w:szCs w:val="30"/>
        </w:rPr>
        <w:t>零售额</w:t>
      </w:r>
      <w:r>
        <w:rPr>
          <w:rFonts w:hint="eastAsia" w:ascii="仿宋" w:hAnsi="仿宋" w:eastAsia="仿宋" w:cs="仿宋"/>
          <w:color w:val="000000"/>
          <w:spacing w:val="20"/>
          <w:sz w:val="30"/>
          <w:szCs w:val="30"/>
        </w:rPr>
        <w:t>90.72亿元，增长175.1%,</w:t>
      </w:r>
      <w:r>
        <w:rPr>
          <w:rFonts w:hint="eastAsia" w:ascii="仿宋" w:hAnsi="仿宋" w:eastAsia="仿宋" w:cs="仿宋"/>
          <w:spacing w:val="20"/>
          <w:sz w:val="30"/>
          <w:szCs w:val="30"/>
          <w:shd w:val="clear" w:color="auto" w:fill="FFFFFF"/>
        </w:rPr>
        <w:t>对全市社会消费品零售总额增长的贡献率为483.3%。</w:t>
      </w:r>
    </w:p>
    <w:p>
      <w:pPr>
        <w:ind w:firstLine="680" w:firstLineChars="200"/>
        <w:jc w:val="both"/>
        <w:rPr>
          <w:rFonts w:ascii="仿宋" w:hAnsi="仿宋" w:eastAsia="仿宋" w:cs="仿宋"/>
          <w:spacing w:val="20"/>
          <w:sz w:val="30"/>
          <w:szCs w:val="30"/>
          <w:shd w:val="clear" w:color="auto" w:fill="FFFFFF"/>
        </w:rPr>
      </w:pPr>
    </w:p>
    <w:p>
      <w:pPr>
        <w:ind w:firstLine="480" w:firstLineChars="200"/>
        <w:jc w:val="both"/>
        <w:rPr>
          <w:rFonts w:ascii="仿宋" w:hAnsi="仿宋" w:eastAsia="仿宋" w:cs="仿宋"/>
          <w:color w:val="0000FF"/>
          <w:spacing w:val="20"/>
          <w:sz w:val="30"/>
          <w:szCs w:val="30"/>
          <w:shd w:val="clear" w:color="auto" w:fill="FFFFFF"/>
        </w:rPr>
      </w:pPr>
      <w:r>
        <w:rPr>
          <w:rFonts w:hint="eastAsia" w:ascii="仿宋" w:hAnsi="仿宋" w:eastAsia="仿宋" w:cs="仿宋"/>
        </w:rPr>
        <w:drawing>
          <wp:inline distT="0" distB="0" distL="114300" distR="114300">
            <wp:extent cx="4572000" cy="2743200"/>
            <wp:effectExtent l="4445" t="4445" r="14605" b="1460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widowControl w:val="0"/>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全年批发和零售业实现增加值</w:t>
      </w:r>
      <w:r>
        <w:rPr>
          <w:rFonts w:hint="eastAsia" w:ascii="仿宋" w:hAnsi="仿宋" w:eastAsia="仿宋" w:cs="仿宋"/>
          <w:snapToGrid w:val="0"/>
          <w:spacing w:val="20"/>
          <w:sz w:val="30"/>
          <w:szCs w:val="30"/>
        </w:rPr>
        <w:t>379.68</w:t>
      </w:r>
      <w:r>
        <w:rPr>
          <w:rFonts w:hint="eastAsia" w:ascii="仿宋" w:hAnsi="仿宋" w:eastAsia="仿宋" w:cs="仿宋"/>
          <w:spacing w:val="20"/>
          <w:sz w:val="30"/>
          <w:szCs w:val="30"/>
          <w:shd w:val="clear" w:color="auto" w:fill="FFFFFF"/>
        </w:rPr>
        <w:t>亿元，比上年增长</w:t>
      </w:r>
      <w:r>
        <w:rPr>
          <w:rFonts w:hint="eastAsia" w:ascii="仿宋" w:hAnsi="仿宋" w:eastAsia="仿宋" w:cs="仿宋"/>
          <w:snapToGrid w:val="0"/>
          <w:spacing w:val="20"/>
          <w:sz w:val="30"/>
          <w:szCs w:val="30"/>
        </w:rPr>
        <w:t>17.7</w:t>
      </w:r>
      <w:r>
        <w:rPr>
          <w:rFonts w:hint="eastAsia" w:ascii="仿宋" w:hAnsi="仿宋" w:eastAsia="仿宋" w:cs="仿宋"/>
          <w:spacing w:val="20"/>
          <w:sz w:val="30"/>
          <w:szCs w:val="30"/>
          <w:shd w:val="clear" w:color="auto" w:fill="FFFFFF"/>
        </w:rPr>
        <w:t>%，占全市地区生产总值的</w:t>
      </w:r>
      <w:r>
        <w:rPr>
          <w:rFonts w:hint="eastAsia" w:ascii="仿宋" w:hAnsi="仿宋" w:eastAsia="仿宋" w:cs="仿宋"/>
          <w:snapToGrid w:val="0"/>
          <w:spacing w:val="20"/>
          <w:sz w:val="30"/>
          <w:szCs w:val="30"/>
        </w:rPr>
        <w:t>15.6</w:t>
      </w:r>
      <w:r>
        <w:rPr>
          <w:rFonts w:hint="eastAsia" w:ascii="仿宋" w:hAnsi="仿宋" w:eastAsia="仿宋" w:cs="仿宋"/>
          <w:spacing w:val="20"/>
          <w:sz w:val="30"/>
          <w:szCs w:val="30"/>
          <w:shd w:val="clear" w:color="auto" w:fill="FFFFFF"/>
        </w:rPr>
        <w:t>%；住宿和餐饮业实现增加值</w:t>
      </w:r>
      <w:r>
        <w:rPr>
          <w:rFonts w:hint="eastAsia" w:ascii="仿宋" w:hAnsi="仿宋" w:eastAsia="仿宋" w:cs="仿宋"/>
          <w:snapToGrid w:val="0"/>
          <w:spacing w:val="20"/>
          <w:sz w:val="30"/>
          <w:szCs w:val="30"/>
        </w:rPr>
        <w:t>52.06</w:t>
      </w:r>
      <w:r>
        <w:rPr>
          <w:rFonts w:hint="eastAsia" w:ascii="仿宋" w:hAnsi="仿宋" w:eastAsia="仿宋" w:cs="仿宋"/>
          <w:spacing w:val="20"/>
          <w:sz w:val="30"/>
          <w:szCs w:val="30"/>
          <w:shd w:val="clear" w:color="auto" w:fill="FFFFFF"/>
        </w:rPr>
        <w:t>亿元，下降19.4%，占全市地区生产总值的</w:t>
      </w:r>
      <w:r>
        <w:rPr>
          <w:rFonts w:hint="eastAsia" w:ascii="仿宋" w:hAnsi="仿宋" w:eastAsia="仿宋" w:cs="仿宋"/>
          <w:snapToGrid w:val="0"/>
          <w:spacing w:val="20"/>
          <w:sz w:val="30"/>
          <w:szCs w:val="30"/>
        </w:rPr>
        <w:t>2.9</w:t>
      </w:r>
      <w:r>
        <w:rPr>
          <w:rFonts w:hint="eastAsia" w:ascii="仿宋" w:hAnsi="仿宋" w:eastAsia="仿宋" w:cs="仿宋"/>
          <w:spacing w:val="20"/>
          <w:sz w:val="30"/>
          <w:szCs w:val="30"/>
          <w:shd w:val="clear" w:color="auto" w:fill="FFFFFF"/>
        </w:rPr>
        <w:t>%。</w:t>
      </w:r>
    </w:p>
    <w:p>
      <w:pPr>
        <w:widowControl w:val="0"/>
        <w:ind w:firstLine="680" w:firstLineChars="200"/>
        <w:jc w:val="both"/>
        <w:rPr>
          <w:rFonts w:ascii="仿宋" w:hAnsi="仿宋" w:eastAsia="仿宋" w:cs="仿宋"/>
          <w:spacing w:val="20"/>
          <w:sz w:val="30"/>
          <w:szCs w:val="30"/>
          <w:shd w:val="clear" w:color="auto" w:fill="FFFFFF"/>
          <w:lang w:val="en"/>
        </w:rPr>
      </w:pPr>
      <w:r>
        <w:rPr>
          <w:rFonts w:hint="eastAsia" w:ascii="仿宋" w:hAnsi="仿宋" w:eastAsia="仿宋" w:cs="仿宋"/>
          <w:spacing w:val="20"/>
          <w:sz w:val="30"/>
          <w:szCs w:val="30"/>
          <w:shd w:val="clear" w:color="auto" w:fill="FFFFFF"/>
        </w:rPr>
        <w:t>在限上企业（单位）商品零售额中，粮油、食品类增长9.1%，饮料类下降4.4%，烟酒类下降6.6%，服装、鞋帽、针纺织品类下降19.4%，化妆品类增长198.7%，金银珠宝类下降1.6%，日用品类增长11.0%，体育、娱乐用品类下降30.0%，书报杂志类下降11.4%，家用电器和音像器材类增长11.4%，中西药品类增长5.9%，文化办公用品类下降8.6%，家具类下降75.1%，通讯器材类增长53.6%，石油及制品类下降17.8%，汽车类增长18.6%，其他增长8.2%。</w:t>
      </w:r>
      <w:r>
        <w:rPr>
          <w:rFonts w:hint="eastAsia" w:ascii="仿宋" w:hAnsi="仿宋" w:eastAsia="仿宋" w:cs="仿宋"/>
          <w:spacing w:val="20"/>
          <w:sz w:val="30"/>
          <w:szCs w:val="30"/>
          <w:shd w:val="clear" w:color="auto" w:fill="FFFFFF"/>
          <w:lang w:val="en"/>
        </w:rPr>
        <w:t> </w:t>
      </w:r>
    </w:p>
    <w:p>
      <w:pPr>
        <w:jc w:val="both"/>
        <w:rPr>
          <w:rFonts w:ascii="仿宋" w:hAnsi="仿宋" w:eastAsia="仿宋" w:cs="仿宋"/>
          <w:b/>
          <w:color w:val="0000FF"/>
          <w:spacing w:val="20"/>
          <w:sz w:val="32"/>
          <w:szCs w:val="30"/>
          <w:shd w:val="clear" w:color="auto" w:fill="FFFFFF"/>
        </w:rPr>
      </w:pPr>
      <w:r>
        <w:rPr>
          <w:rFonts w:hint="eastAsia" w:ascii="仿宋" w:hAnsi="仿宋" w:eastAsia="仿宋" w:cs="仿宋"/>
          <w:b/>
          <w:color w:val="0000FF"/>
          <w:spacing w:val="20"/>
          <w:sz w:val="32"/>
          <w:szCs w:val="30"/>
          <w:shd w:val="clear" w:color="auto" w:fill="FFFFFF"/>
        </w:rPr>
        <w:t xml:space="preserve">   </w:t>
      </w:r>
      <w:r>
        <w:rPr>
          <w:rFonts w:hint="eastAsia" w:ascii="仿宋" w:hAnsi="仿宋" w:eastAsia="仿宋" w:cs="仿宋"/>
          <w:b/>
          <w:spacing w:val="20"/>
          <w:sz w:val="32"/>
          <w:szCs w:val="30"/>
          <w:shd w:val="clear" w:color="auto" w:fill="FFFFFF"/>
        </w:rPr>
        <w:t>（六）交通运输邮政仓储业</w:t>
      </w:r>
    </w:p>
    <w:p>
      <w:pPr>
        <w:widowControl w:val="0"/>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年我市交通运输、仓储和邮政业实现增加值151.59亿元，比上年下降13.3%。旅客运输量6145万人次，下降39.8%；旅客周转量3626136万人公里，下降58.9%；货物运输量12586万吨，增长0.6%；货物周转量14978636万吨公里，增长14.2%；港口货物吞吐量10467万吨，下降6.5%；港口集装箱吞吐量1970675标箱，下降0.1%。现代物流业蓬勃发展，高新区美安物流枢纽建设继续推进，已建成西城汇物流中心一期、顺丰物流西城汇分拨中心。</w:t>
      </w:r>
    </w:p>
    <w:p>
      <w:pPr>
        <w:widowControl w:val="0"/>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年末全市民用汽车拥有量86万辆，比上年末增加4万辆，增长4.5%。其中私人汽车拥有量75万辆，增加32152辆，增长4.5%。全年新注册汽车8万辆，报废0.9万辆。</w:t>
      </w:r>
    </w:p>
    <w:p>
      <w:pPr>
        <w:keepNext/>
        <w:widowControl w:val="0"/>
        <w:ind w:firstLine="680" w:firstLineChars="200"/>
        <w:jc w:val="both"/>
        <w:rPr>
          <w:rFonts w:ascii="仿宋" w:hAnsi="仿宋" w:eastAsia="仿宋" w:cs="仿宋"/>
          <w:color w:val="0000FF"/>
          <w:spacing w:val="20"/>
          <w:sz w:val="30"/>
          <w:szCs w:val="30"/>
          <w:lang w:val="en"/>
        </w:rPr>
      </w:pPr>
      <w:r>
        <w:rPr>
          <w:rFonts w:hint="eastAsia" w:ascii="仿宋" w:hAnsi="仿宋" w:eastAsia="仿宋" w:cs="仿宋"/>
          <w:spacing w:val="20"/>
          <w:sz w:val="30"/>
          <w:szCs w:val="30"/>
          <w:shd w:val="clear" w:color="auto" w:fill="FFFFFF"/>
        </w:rPr>
        <w:t>2020年我市完成邮电业务总量451亿元，增长29.6%。其中，电信业务总量436亿元，增长30.5%；邮政业务总量15亿元，增长11.8%。至年末，全市电话用户448万户，其中固定电话用户55万户；移动电话用户393万户，增加3万户。互联网宽带接入用户115万户。</w:t>
      </w:r>
    </w:p>
    <w:p>
      <w:pPr>
        <w:jc w:val="both"/>
        <w:rPr>
          <w:rFonts w:ascii="仿宋" w:hAnsi="仿宋" w:eastAsia="仿宋" w:cs="仿宋"/>
          <w:b/>
          <w:color w:val="0000FF"/>
          <w:spacing w:val="20"/>
          <w:sz w:val="32"/>
          <w:szCs w:val="30"/>
          <w:shd w:val="clear" w:color="auto" w:fill="FFFFFF"/>
        </w:rPr>
      </w:pPr>
      <w:r>
        <w:rPr>
          <w:rFonts w:hint="eastAsia" w:ascii="仿宋" w:hAnsi="仿宋" w:eastAsia="仿宋" w:cs="仿宋"/>
          <w:b/>
          <w:color w:val="0000FF"/>
          <w:spacing w:val="20"/>
          <w:sz w:val="32"/>
          <w:szCs w:val="30"/>
          <w:shd w:val="clear" w:color="auto" w:fill="FFFFFF"/>
        </w:rPr>
        <w:t xml:space="preserve">   </w:t>
      </w:r>
      <w:r>
        <w:rPr>
          <w:rFonts w:hint="eastAsia" w:ascii="仿宋" w:hAnsi="仿宋" w:eastAsia="仿宋" w:cs="仿宋"/>
          <w:b/>
          <w:spacing w:val="20"/>
          <w:sz w:val="32"/>
          <w:szCs w:val="30"/>
          <w:shd w:val="clear" w:color="auto" w:fill="FFFFFF"/>
        </w:rPr>
        <w:t>（七）金融、保险和证券</w:t>
      </w:r>
    </w:p>
    <w:p>
      <w:pPr>
        <w:widowControl w:val="0"/>
        <w:ind w:firstLine="720" w:firstLineChars="200"/>
        <w:jc w:val="both"/>
        <w:rPr>
          <w:rFonts w:ascii="仿宋" w:hAnsi="仿宋" w:eastAsia="仿宋" w:cs="仿宋"/>
          <w:spacing w:val="20"/>
          <w:sz w:val="32"/>
          <w:szCs w:val="32"/>
          <w:shd w:val="clear" w:color="auto" w:fill="FFFFFF"/>
        </w:rPr>
      </w:pPr>
      <w:r>
        <w:rPr>
          <w:rFonts w:hint="eastAsia" w:ascii="仿宋" w:hAnsi="仿宋" w:eastAsia="仿宋" w:cs="仿宋"/>
          <w:spacing w:val="20"/>
          <w:sz w:val="32"/>
          <w:szCs w:val="32"/>
          <w:shd w:val="clear" w:color="auto" w:fill="FFFFFF"/>
        </w:rPr>
        <w:t>2020年末，全市金融机构本外币存款余额为5164.11亿元，比年初增加214.75亿元，增长4.34%。其中，住户存款余额2055.14亿元，增长10.53%；非金融企业存款1855.75亿元，增长6.46%。</w:t>
      </w:r>
    </w:p>
    <w:p>
      <w:pPr>
        <w:widowControl w:val="0"/>
        <w:ind w:firstLine="720" w:firstLineChars="200"/>
        <w:jc w:val="both"/>
        <w:rPr>
          <w:rFonts w:ascii="仿宋" w:hAnsi="仿宋" w:eastAsia="仿宋" w:cs="仿宋"/>
          <w:spacing w:val="20"/>
          <w:sz w:val="32"/>
          <w:szCs w:val="32"/>
          <w:shd w:val="clear" w:color="auto" w:fill="FFFFFF"/>
        </w:rPr>
      </w:pPr>
      <w:r>
        <w:rPr>
          <w:rFonts w:hint="eastAsia" w:ascii="仿宋" w:hAnsi="仿宋" w:eastAsia="仿宋" w:cs="仿宋"/>
          <w:spacing w:val="20"/>
          <w:sz w:val="32"/>
          <w:szCs w:val="32"/>
          <w:shd w:val="clear" w:color="auto" w:fill="FFFFFF"/>
        </w:rPr>
        <w:t>2020年末，全市金融机构本外币各项贷款余额6491.03亿元，比年初增加270.50亿元，增长4.35%。其中，中长期贷款余额4784.78亿元，比年初增加205.16亿元，增长5.53%；短期贷款余额1029.39亿元，比年初减少80.74亿元，下降10.92%。</w:t>
      </w:r>
    </w:p>
    <w:p>
      <w:pPr>
        <w:ind w:firstLine="680" w:firstLineChars="200"/>
        <w:jc w:val="both"/>
        <w:rPr>
          <w:rFonts w:ascii="仿宋" w:hAnsi="仿宋" w:eastAsia="仿宋" w:cs="仿宋"/>
          <w:color w:val="0000FF"/>
          <w:spacing w:val="20"/>
          <w:sz w:val="30"/>
          <w:szCs w:val="30"/>
        </w:rPr>
      </w:pPr>
      <w:r>
        <w:rPr>
          <w:rFonts w:hint="eastAsia" w:ascii="仿宋" w:hAnsi="仿宋" w:eastAsia="仿宋" w:cs="仿宋"/>
          <w:spacing w:val="20"/>
          <w:sz w:val="30"/>
          <w:szCs w:val="30"/>
          <w:shd w:val="clear" w:color="auto" w:fill="FFFFFF"/>
        </w:rPr>
        <w:t>2020年，金融业增加值占GDP比重提高到12.5%,比上年下降0.7个百分点。</w:t>
      </w:r>
      <w:r>
        <w:rPr>
          <w:rFonts w:hint="eastAsia" w:ascii="仿宋" w:hAnsi="仿宋" w:eastAsia="仿宋" w:cs="仿宋"/>
          <w:color w:val="000000"/>
          <w:spacing w:val="20"/>
          <w:sz w:val="30"/>
          <w:szCs w:val="30"/>
          <w:lang w:bidi="ar"/>
        </w:rPr>
        <w:t>金融业在国民经济中的地位持续上升，日益成为第三产业和国民经济的重要组成部分。</w:t>
      </w:r>
      <w:r>
        <w:rPr>
          <w:rFonts w:hint="eastAsia" w:ascii="仿宋" w:hAnsi="仿宋" w:eastAsia="仿宋" w:cs="仿宋"/>
          <w:color w:val="0000FF"/>
          <w:spacing w:val="20"/>
          <w:sz w:val="30"/>
          <w:szCs w:val="30"/>
          <w:lang w:bidi="ar"/>
        </w:rPr>
        <w:t xml:space="preserve"> </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年，保险保费收入140.55亿元，比上年增长2.5%。其中,财产险保费收入45.83亿元，同比下降0.22%；人身意外伤害险保费收入4.56亿元，同比下降19.93%。寿险保费收入61.90亿元，同比增长1.09%，健康险保费收入28.26亿元，同比增长16.36%。全年支付各项赔款和给付47.22亿元，同比增长11.67%。其中，财产险赔款支出27.52亿元，同比增长11.81%；人身意外伤害险赔付支出0.53亿元，同比下降7.41%；寿险赔付支出10.03亿元，同比增长1.07%；健康险赔付支出9.15亿元，同比增长27.38%。</w:t>
      </w:r>
    </w:p>
    <w:p>
      <w:pPr>
        <w:ind w:firstLine="680" w:firstLineChars="200"/>
        <w:jc w:val="both"/>
        <w:rPr>
          <w:rFonts w:ascii="仿宋" w:hAnsi="仿宋" w:eastAsia="仿宋" w:cs="仿宋"/>
          <w:color w:val="FF0000"/>
          <w:spacing w:val="20"/>
          <w:sz w:val="30"/>
          <w:szCs w:val="30"/>
          <w:shd w:val="clear" w:color="auto" w:fill="FFFFFF"/>
        </w:rPr>
      </w:pPr>
      <w:r>
        <w:rPr>
          <w:rFonts w:hint="eastAsia" w:ascii="仿宋" w:hAnsi="仿宋" w:eastAsia="仿宋" w:cs="仿宋"/>
          <w:spacing w:val="20"/>
          <w:sz w:val="30"/>
          <w:szCs w:val="30"/>
          <w:shd w:val="clear" w:color="auto" w:fill="FFFFFF"/>
        </w:rPr>
        <w:t>2020年，海口证券经营机构总交易金额35538.30亿元，比上年增长26.6%，其中股票交易额22400.20亿元，增长45.8%。年末海口市证券账户开户260.67万户，增长8.0%。全年海口期货经营机构期货交易额23020.23亿元，增长15.1%。</w:t>
      </w:r>
    </w:p>
    <w:p>
      <w:pPr>
        <w:jc w:val="both"/>
        <w:rPr>
          <w:rFonts w:ascii="仿宋" w:hAnsi="仿宋" w:eastAsia="仿宋" w:cs="仿宋"/>
          <w:b/>
          <w:spacing w:val="20"/>
          <w:sz w:val="32"/>
          <w:szCs w:val="30"/>
          <w:shd w:val="clear" w:color="auto" w:fill="FFFFFF"/>
        </w:rPr>
      </w:pPr>
      <w:r>
        <w:rPr>
          <w:rFonts w:hint="eastAsia" w:ascii="仿宋" w:hAnsi="仿宋" w:eastAsia="仿宋" w:cs="仿宋"/>
          <w:b/>
          <w:color w:val="0000FF"/>
          <w:spacing w:val="20"/>
          <w:sz w:val="32"/>
          <w:szCs w:val="30"/>
          <w:shd w:val="clear" w:color="auto" w:fill="FFFFFF"/>
        </w:rPr>
        <w:t xml:space="preserve">  </w:t>
      </w:r>
      <w:r>
        <w:rPr>
          <w:rFonts w:hint="eastAsia" w:ascii="仿宋" w:hAnsi="仿宋" w:eastAsia="仿宋" w:cs="仿宋"/>
          <w:b/>
          <w:spacing w:val="20"/>
          <w:sz w:val="32"/>
          <w:szCs w:val="30"/>
          <w:shd w:val="clear" w:color="auto" w:fill="FFFFFF"/>
        </w:rPr>
        <w:t xml:space="preserve"> （八）会展业</w:t>
      </w:r>
    </w:p>
    <w:p>
      <w:pPr>
        <w:ind w:firstLine="680" w:firstLineChars="200"/>
        <w:jc w:val="both"/>
        <w:rPr>
          <w:rFonts w:ascii="仿宋" w:hAnsi="仿宋" w:eastAsia="仿宋" w:cs="仿宋"/>
          <w:color w:val="0000FF"/>
          <w:spacing w:val="20"/>
          <w:sz w:val="30"/>
          <w:szCs w:val="30"/>
          <w:shd w:val="clear" w:color="auto" w:fill="FFFFFF"/>
        </w:rPr>
      </w:pPr>
      <w:r>
        <w:rPr>
          <w:rFonts w:hint="eastAsia" w:ascii="仿宋" w:hAnsi="仿宋" w:eastAsia="仿宋" w:cs="仿宋"/>
          <w:spacing w:val="20"/>
          <w:sz w:val="30"/>
          <w:szCs w:val="30"/>
          <w:shd w:val="clear" w:color="auto" w:fill="FFFFFF"/>
        </w:rPr>
        <w:t>2020年，我市共举办各类会展活动274场，其中展览24场，展览面积近60万平方米。规模以上展览14场（1万平米以上），同比增长17%，展览数量及规模初步估计约占全省的60%。规模以上会议(300人)217场，1000 人以上会议33场。受新冠肺炎疫情影响，今年2-3月，海口延期或取消的会展项目达119个。第三、四季度疫情稳定后，会展强劲恢复，大型会议完成全年任务的80%。展览业保持稳定发展态势，成功举办全国第二个大型展览“第17届海南国际汽车展览会”。海南国际会展中心二期项目已建成，先后成功举办“世界新能源汽车大会”“第16届全国消毒供应中心发展论坛”等4场千人以上会议。并于12月18日成功承办了“冬交会”，为明年在海口举办的中国国际消费精品博览会这一国家级展会进行了调试、测压。</w:t>
      </w:r>
    </w:p>
    <w:p>
      <w:pPr>
        <w:jc w:val="both"/>
        <w:rPr>
          <w:rFonts w:ascii="仿宋" w:hAnsi="仿宋" w:eastAsia="仿宋" w:cs="仿宋"/>
          <w:b/>
          <w:spacing w:val="20"/>
          <w:sz w:val="32"/>
          <w:szCs w:val="32"/>
          <w:shd w:val="clear" w:color="auto" w:fill="FFFFFF"/>
        </w:rPr>
      </w:pPr>
      <w:r>
        <w:rPr>
          <w:rFonts w:hint="eastAsia" w:ascii="仿宋" w:hAnsi="仿宋" w:eastAsia="仿宋" w:cs="仿宋"/>
          <w:b/>
          <w:color w:val="0000FF"/>
          <w:spacing w:val="20"/>
          <w:sz w:val="32"/>
          <w:szCs w:val="32"/>
          <w:shd w:val="clear" w:color="auto" w:fill="FFFFFF"/>
        </w:rPr>
        <w:t xml:space="preserve">   </w:t>
      </w:r>
      <w:r>
        <w:rPr>
          <w:rFonts w:hint="eastAsia" w:ascii="仿宋" w:hAnsi="仿宋" w:eastAsia="仿宋" w:cs="仿宋"/>
          <w:b/>
          <w:spacing w:val="20"/>
          <w:sz w:val="32"/>
          <w:szCs w:val="32"/>
          <w:shd w:val="clear" w:color="auto" w:fill="FFFFFF"/>
        </w:rPr>
        <w:t>四、对外贸易和总部经济</w:t>
      </w:r>
    </w:p>
    <w:p>
      <w:pPr>
        <w:jc w:val="both"/>
        <w:rPr>
          <w:rFonts w:ascii="仿宋" w:hAnsi="仿宋" w:eastAsia="仿宋" w:cs="仿宋"/>
          <w:b/>
          <w:spacing w:val="20"/>
          <w:sz w:val="32"/>
          <w:szCs w:val="32"/>
          <w:shd w:val="clear" w:color="auto" w:fill="FFFFFF"/>
        </w:rPr>
      </w:pPr>
      <w:r>
        <w:rPr>
          <w:rFonts w:hint="eastAsia" w:ascii="仿宋" w:hAnsi="仿宋" w:eastAsia="仿宋" w:cs="仿宋"/>
          <w:b/>
          <w:color w:val="0000FF"/>
          <w:spacing w:val="20"/>
          <w:sz w:val="32"/>
          <w:szCs w:val="32"/>
          <w:shd w:val="clear" w:color="auto" w:fill="FFFFFF"/>
        </w:rPr>
        <w:t xml:space="preserve">   </w:t>
      </w:r>
      <w:r>
        <w:rPr>
          <w:rFonts w:hint="eastAsia" w:ascii="仿宋" w:hAnsi="仿宋" w:eastAsia="仿宋" w:cs="仿宋"/>
          <w:b/>
          <w:spacing w:val="20"/>
          <w:sz w:val="32"/>
          <w:szCs w:val="32"/>
          <w:shd w:val="clear" w:color="auto" w:fill="FFFFFF"/>
        </w:rPr>
        <w:t>（一）对外贸易</w:t>
      </w:r>
    </w:p>
    <w:p>
      <w:pPr>
        <w:ind w:firstLine="680" w:firstLineChars="200"/>
        <w:jc w:val="both"/>
        <w:rPr>
          <w:rFonts w:ascii="仿宋" w:hAnsi="仿宋" w:eastAsia="仿宋" w:cs="仿宋"/>
          <w:spacing w:val="20"/>
          <w:sz w:val="30"/>
          <w:szCs w:val="30"/>
        </w:rPr>
      </w:pPr>
      <w:r>
        <w:rPr>
          <w:rFonts w:hint="eastAsia" w:ascii="仿宋" w:hAnsi="仿宋" w:eastAsia="仿宋" w:cs="仿宋"/>
          <w:spacing w:val="20"/>
          <w:sz w:val="30"/>
          <w:szCs w:val="30"/>
        </w:rPr>
        <w:t>据海口海关统计，2020年我市进出口总额368.3亿元，比上年增长11.2%。其中，出口110.3亿元，增长27.7%；进口258亿元，增长5.3%。贸易逆差147.7亿元，下降6.9%。</w:t>
      </w:r>
    </w:p>
    <w:p>
      <w:pPr>
        <w:ind w:firstLine="680" w:firstLineChars="200"/>
        <w:jc w:val="both"/>
        <w:rPr>
          <w:rFonts w:ascii="仿宋" w:hAnsi="仿宋" w:eastAsia="仿宋" w:cs="仿宋"/>
          <w:spacing w:val="20"/>
          <w:sz w:val="30"/>
          <w:szCs w:val="30"/>
        </w:rPr>
      </w:pPr>
    </w:p>
    <w:p>
      <w:pPr>
        <w:ind w:firstLine="480" w:firstLineChars="200"/>
        <w:jc w:val="both"/>
        <w:rPr>
          <w:rFonts w:ascii="仿宋" w:hAnsi="仿宋" w:eastAsia="仿宋" w:cs="仿宋"/>
          <w:spacing w:val="20"/>
          <w:sz w:val="30"/>
          <w:szCs w:val="30"/>
        </w:rPr>
      </w:pPr>
      <w:r>
        <w:rPr>
          <w:rFonts w:hint="eastAsia" w:ascii="仿宋" w:hAnsi="仿宋" w:eastAsia="仿宋" w:cs="仿宋"/>
        </w:rPr>
        <w:drawing>
          <wp:inline distT="0" distB="0" distL="114300" distR="114300">
            <wp:extent cx="4590415" cy="2771775"/>
            <wp:effectExtent l="0" t="0" r="635" b="9525"/>
            <wp:docPr id="11" name="Host Control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680" w:firstLineChars="200"/>
        <w:jc w:val="both"/>
        <w:rPr>
          <w:rFonts w:ascii="仿宋" w:hAnsi="仿宋" w:eastAsia="仿宋" w:cs="仿宋"/>
          <w:b/>
          <w:spacing w:val="20"/>
          <w:sz w:val="32"/>
          <w:szCs w:val="32"/>
          <w:shd w:val="clear" w:color="auto" w:fill="FFFFFF"/>
        </w:rPr>
      </w:pPr>
      <w:r>
        <w:rPr>
          <w:rFonts w:hint="eastAsia" w:ascii="仿宋" w:hAnsi="仿宋" w:eastAsia="仿宋" w:cs="仿宋"/>
          <w:spacing w:val="20"/>
          <w:sz w:val="30"/>
          <w:szCs w:val="30"/>
        </w:rPr>
        <w:t>为充分发挥海南自贸港政策效应，切实扛起省会城市担当，积极探索、勇于创新，促成多项自贸港“首单”落地,围绕意向一批、合同一批、开工/开业一批、投产/纳税一批“四个一批”强化招商引资的统筹推进，成立医药、公务机、游艇、飞机维修、保税航油、航空租赁等6个产业招商小组。先后组织中国绿公司年会招商集中签约和医药、旅游、金融、互联网、航空、会展等专场招商推介。</w:t>
      </w:r>
      <w:r>
        <w:rPr>
          <w:rFonts w:hint="eastAsia" w:ascii="仿宋" w:hAnsi="仿宋" w:eastAsia="仿宋" w:cs="仿宋"/>
          <w:spacing w:val="20"/>
          <w:sz w:val="30"/>
          <w:szCs w:val="30"/>
          <w:shd w:val="clear" w:color="auto" w:fill="FFFFFF"/>
        </w:rPr>
        <w:t>2020年全年我市新设外资企业665家，同比增长310%，占全省（1005家）66%，合同总投资额210亿美元，同比下降54.58%；合同外资额122亿美元，同比下降71.71%。实际利用外资17.2亿美元，同比增长157%，占全省（30.3亿美元）的56.8%，超额完成了省级下达的12亿美元的目标任务。</w:t>
      </w:r>
    </w:p>
    <w:p>
      <w:pPr>
        <w:jc w:val="both"/>
        <w:rPr>
          <w:rFonts w:ascii="仿宋" w:hAnsi="仿宋" w:eastAsia="仿宋" w:cs="仿宋"/>
          <w:b/>
          <w:color w:val="0000FF"/>
          <w:spacing w:val="20"/>
          <w:sz w:val="32"/>
          <w:szCs w:val="30"/>
          <w:shd w:val="clear" w:color="auto" w:fill="FFFFFF"/>
        </w:rPr>
      </w:pPr>
      <w:r>
        <w:rPr>
          <w:rFonts w:hint="eastAsia" w:ascii="仿宋" w:hAnsi="仿宋" w:eastAsia="仿宋" w:cs="仿宋"/>
          <w:b/>
          <w:color w:val="0000FF"/>
          <w:spacing w:val="20"/>
          <w:sz w:val="32"/>
          <w:szCs w:val="30"/>
          <w:shd w:val="clear" w:color="auto" w:fill="FFFFFF"/>
        </w:rPr>
        <w:t xml:space="preserve">   </w:t>
      </w:r>
      <w:r>
        <w:rPr>
          <w:rFonts w:hint="eastAsia" w:ascii="仿宋" w:hAnsi="仿宋" w:eastAsia="仿宋" w:cs="仿宋"/>
          <w:b/>
          <w:spacing w:val="20"/>
          <w:sz w:val="32"/>
          <w:szCs w:val="30"/>
          <w:shd w:val="clear" w:color="auto" w:fill="FFFFFF"/>
        </w:rPr>
        <w:t>（二）总部经济</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目前海口市认定总部企业31家，其中2020年新落户总部企业7家，现有总部企业24家,占海南省认定企业数量的70.45%（海南省认定总部企业共计44家）。总部企业类型包括综合型（区域型）总部企业22家，高成长型总部企业9家。</w:t>
      </w:r>
    </w:p>
    <w:p>
      <w:pPr>
        <w:ind w:firstLine="680" w:firstLineChars="200"/>
        <w:jc w:val="both"/>
        <w:rPr>
          <w:rFonts w:ascii="仿宋" w:hAnsi="仿宋" w:eastAsia="仿宋" w:cs="仿宋"/>
          <w:sz w:val="32"/>
          <w:szCs w:val="32"/>
        </w:rPr>
      </w:pPr>
      <w:r>
        <w:rPr>
          <w:rFonts w:hint="eastAsia" w:ascii="仿宋" w:hAnsi="仿宋" w:eastAsia="仿宋" w:cs="仿宋"/>
          <w:spacing w:val="20"/>
          <w:sz w:val="30"/>
          <w:szCs w:val="30"/>
          <w:shd w:val="clear" w:color="auto" w:fill="FFFFFF"/>
        </w:rPr>
        <w:t>2020年海口市全年新增市场主体12.1万户，比上年增长26.58%，占全省的37.40%。截止2020年12月底，全海口市市场主体48.5万户，占全省的40.69%。</w:t>
      </w:r>
    </w:p>
    <w:p>
      <w:pPr>
        <w:jc w:val="both"/>
        <w:rPr>
          <w:rFonts w:ascii="仿宋" w:hAnsi="仿宋" w:eastAsia="仿宋" w:cs="仿宋"/>
          <w:b/>
          <w:color w:val="FF0000"/>
          <w:spacing w:val="20"/>
          <w:sz w:val="32"/>
          <w:szCs w:val="32"/>
        </w:rPr>
      </w:pPr>
      <w:r>
        <w:rPr>
          <w:rFonts w:hint="eastAsia" w:ascii="仿宋" w:hAnsi="仿宋" w:eastAsia="仿宋" w:cs="仿宋"/>
          <w:b/>
          <w:color w:val="0000FF"/>
          <w:spacing w:val="20"/>
          <w:sz w:val="32"/>
          <w:szCs w:val="32"/>
          <w:shd w:val="clear" w:color="auto" w:fill="FFFFFF"/>
        </w:rPr>
        <w:t xml:space="preserve">   </w:t>
      </w:r>
      <w:r>
        <w:rPr>
          <w:rFonts w:hint="eastAsia" w:ascii="仿宋" w:hAnsi="仿宋" w:eastAsia="仿宋" w:cs="仿宋"/>
          <w:b/>
          <w:spacing w:val="20"/>
          <w:sz w:val="32"/>
          <w:szCs w:val="32"/>
          <w:shd w:val="clear" w:color="auto" w:fill="FFFFFF"/>
        </w:rPr>
        <w:t>五、科技、文化和体育</w:t>
      </w:r>
    </w:p>
    <w:p>
      <w:pPr>
        <w:jc w:val="both"/>
        <w:rPr>
          <w:rFonts w:ascii="仿宋" w:hAnsi="仿宋" w:eastAsia="仿宋" w:cs="仿宋"/>
          <w:b/>
          <w:color w:val="0000FF"/>
          <w:spacing w:val="20"/>
          <w:sz w:val="32"/>
          <w:szCs w:val="32"/>
          <w:shd w:val="clear" w:color="auto" w:fill="FFFFFF"/>
        </w:rPr>
      </w:pPr>
      <w:r>
        <w:rPr>
          <w:rFonts w:hint="eastAsia" w:ascii="仿宋" w:hAnsi="仿宋" w:eastAsia="仿宋" w:cs="仿宋"/>
          <w:b/>
          <w:color w:val="FF0000"/>
          <w:spacing w:val="20"/>
          <w:sz w:val="32"/>
          <w:szCs w:val="32"/>
          <w:shd w:val="clear" w:color="auto" w:fill="FFFFFF"/>
        </w:rPr>
        <w:t xml:space="preserve">  </w:t>
      </w:r>
      <w:r>
        <w:rPr>
          <w:rFonts w:hint="eastAsia" w:ascii="仿宋" w:hAnsi="仿宋" w:eastAsia="仿宋" w:cs="仿宋"/>
          <w:b/>
          <w:spacing w:val="20"/>
          <w:sz w:val="32"/>
          <w:szCs w:val="32"/>
          <w:shd w:val="clear" w:color="auto" w:fill="FFFFFF"/>
        </w:rPr>
        <w:t>（一）科技</w:t>
      </w:r>
    </w:p>
    <w:p>
      <w:pPr>
        <w:ind w:firstLine="680" w:firstLineChars="200"/>
        <w:jc w:val="both"/>
        <w:rPr>
          <w:rFonts w:ascii="仿宋" w:hAnsi="仿宋" w:eastAsia="仿宋" w:cs="仿宋"/>
          <w:b/>
          <w:spacing w:val="20"/>
          <w:sz w:val="30"/>
          <w:szCs w:val="30"/>
          <w:shd w:val="clear" w:color="auto" w:fill="FFFFFF"/>
        </w:rPr>
      </w:pPr>
      <w:r>
        <w:rPr>
          <w:rFonts w:hint="eastAsia" w:ascii="仿宋" w:hAnsi="仿宋" w:eastAsia="仿宋" w:cs="仿宋"/>
          <w:spacing w:val="20"/>
          <w:sz w:val="30"/>
          <w:szCs w:val="30"/>
          <w:shd w:val="clear" w:color="auto" w:fill="FFFFFF"/>
        </w:rPr>
        <w:t>2020年，全市专利申请量和授权量同比增长50％和90％，均占全省60％以上；截止2020年末，全市万人有效发明专利拥有量达12件。</w:t>
      </w:r>
      <w:r>
        <w:rPr>
          <w:rFonts w:hint="eastAsia" w:ascii="仿宋" w:hAnsi="仿宋" w:eastAsia="仿宋" w:cs="仿宋"/>
          <w:spacing w:val="20"/>
          <w:sz w:val="30"/>
          <w:szCs w:val="30"/>
        </w:rPr>
        <w:t>2020年，全市新增（含引进）高新技术企业274家，总数达688家。</w:t>
      </w:r>
      <w:r>
        <w:rPr>
          <w:rFonts w:hint="eastAsia" w:ascii="仿宋" w:hAnsi="仿宋" w:eastAsia="仿宋" w:cs="仿宋"/>
          <w:bCs/>
          <w:spacing w:val="20"/>
          <w:sz w:val="30"/>
          <w:szCs w:val="30"/>
        </w:rPr>
        <w:t>支持企业提升自主创新能力。</w:t>
      </w:r>
      <w:r>
        <w:rPr>
          <w:rFonts w:hint="eastAsia" w:ascii="仿宋" w:hAnsi="仿宋" w:eastAsia="仿宋" w:cs="仿宋"/>
          <w:spacing w:val="20"/>
          <w:sz w:val="30"/>
          <w:szCs w:val="30"/>
        </w:rPr>
        <w:t>支持61个科研计划项目5200多万，引导社会科技创新资金近2亿元。28个科技项目获得国家科技部“科技助力经济2020”专项项目立项，获批资金1750万元，占全省56%。目前，我市拥有市级以上重点实验室96家（国家级1家，省部级60家），工程研究中心31家（其中国家级2家、部省联合2家）、工程技术研究中心65家（其中国家级1家）、企业技术中心12家（其中国家级3家）；院士工作站已达到51家，在建45家院士工作站。</w:t>
      </w:r>
      <w:r>
        <w:rPr>
          <w:rStyle w:val="29"/>
          <w:rFonts w:hint="eastAsia" w:ascii="仿宋" w:hAnsi="仿宋" w:eastAsia="仿宋" w:cs="仿宋"/>
          <w:bCs/>
          <w:spacing w:val="20"/>
          <w:sz w:val="30"/>
          <w:szCs w:val="30"/>
        </w:rPr>
        <w:t>引导5G应用服务民生。</w:t>
      </w:r>
      <w:r>
        <w:rPr>
          <w:rFonts w:hint="eastAsia" w:ascii="仿宋" w:hAnsi="仿宋" w:eastAsia="仿宋" w:cs="仿宋"/>
          <w:spacing w:val="20"/>
          <w:sz w:val="30"/>
          <w:szCs w:val="30"/>
        </w:rPr>
        <w:t>全年建成5G基站2356个，</w:t>
      </w:r>
      <w:r>
        <w:rPr>
          <w:rStyle w:val="29"/>
          <w:rFonts w:hint="eastAsia" w:ascii="仿宋" w:hAnsi="仿宋" w:eastAsia="仿宋" w:cs="仿宋"/>
          <w:spacing w:val="20"/>
          <w:sz w:val="30"/>
          <w:szCs w:val="30"/>
        </w:rPr>
        <w:t>基本覆盖党政机关、景区和产业园区等重点区域。</w:t>
      </w:r>
      <w:r>
        <w:rPr>
          <w:rFonts w:hint="eastAsia" w:ascii="仿宋" w:hAnsi="仿宋" w:eastAsia="仿宋" w:cs="仿宋"/>
          <w:spacing w:val="20"/>
          <w:sz w:val="30"/>
          <w:szCs w:val="30"/>
        </w:rPr>
        <w:t>积极策划5G应用项目8个，目前综合保税区文化馆5G创新智能签名、海航航空技术有限公司5G+AR辅助机务维护项目（获得工信部主办的第三届“绽放杯”5G应用征集大赛专题赛一等奖）、喜盈门5G智慧商场已投入使用，海口金盘科技5G数字工厂已完成主架构封顶。</w:t>
      </w:r>
      <w:r>
        <w:rPr>
          <w:rFonts w:hint="eastAsia" w:ascii="仿宋" w:hAnsi="仿宋" w:eastAsia="仿宋" w:cs="仿宋"/>
          <w:bCs/>
          <w:spacing w:val="20"/>
          <w:sz w:val="30"/>
          <w:szCs w:val="30"/>
          <w:lang w:val="zh-CN"/>
        </w:rPr>
        <w:t>以城</w:t>
      </w:r>
      <w:r>
        <w:rPr>
          <w:rStyle w:val="29"/>
          <w:rFonts w:hint="eastAsia" w:ascii="仿宋" w:hAnsi="仿宋" w:eastAsia="仿宋" w:cs="仿宋"/>
          <w:bCs/>
          <w:spacing w:val="20"/>
          <w:sz w:val="30"/>
          <w:szCs w:val="30"/>
          <w:lang w:val="zh-CN"/>
        </w:rPr>
        <w:t>市大脑、雪亮工程二期等一批重点信息化项目建设为载体，</w:t>
      </w:r>
      <w:r>
        <w:rPr>
          <w:rStyle w:val="29"/>
          <w:rFonts w:hint="eastAsia" w:ascii="仿宋" w:hAnsi="仿宋" w:eastAsia="仿宋" w:cs="仿宋"/>
          <w:bCs/>
          <w:spacing w:val="20"/>
          <w:sz w:val="30"/>
          <w:szCs w:val="30"/>
        </w:rPr>
        <w:t>推进智慧海口建设</w:t>
      </w:r>
      <w:r>
        <w:rPr>
          <w:rStyle w:val="29"/>
          <w:rFonts w:hint="eastAsia" w:ascii="仿宋" w:hAnsi="仿宋" w:eastAsia="仿宋" w:cs="仿宋"/>
          <w:bCs/>
          <w:spacing w:val="20"/>
          <w:sz w:val="30"/>
          <w:szCs w:val="30"/>
          <w:lang w:val="zh-CN"/>
        </w:rPr>
        <w:t>。</w:t>
      </w:r>
      <w:r>
        <w:rPr>
          <w:rStyle w:val="29"/>
          <w:rFonts w:hint="eastAsia" w:ascii="仿宋" w:hAnsi="仿宋" w:eastAsia="仿宋" w:cs="仿宋"/>
          <w:spacing w:val="20"/>
          <w:sz w:val="30"/>
          <w:szCs w:val="30"/>
          <w:lang w:val="zh-CN"/>
        </w:rPr>
        <w:t>目前</w:t>
      </w:r>
      <w:r>
        <w:rPr>
          <w:rFonts w:hint="eastAsia" w:ascii="仿宋" w:hAnsi="仿宋" w:eastAsia="仿宋" w:cs="仿宋"/>
          <w:spacing w:val="20"/>
          <w:sz w:val="30"/>
          <w:szCs w:val="30"/>
        </w:rPr>
        <w:t>城市大脑2018示范项目已构建全市统一的云平台，通过数据融合实现了交通、政务、医疗、文旅、城市治理与服务等5大领域、多个智慧应用场景创新，建立了较为完善的智慧城市治理机制。椰城市民云上线的政企直通、一张蓝图等服务以及推出电子社保卡、医保电子凭证、结婚证等电子证件，逐步满足企业和居民差异化需求。</w:t>
      </w:r>
      <w:r>
        <w:rPr>
          <w:rFonts w:hint="eastAsia" w:ascii="仿宋" w:hAnsi="仿宋" w:eastAsia="仿宋" w:cs="仿宋"/>
          <w:bCs/>
          <w:spacing w:val="20"/>
          <w:sz w:val="30"/>
          <w:szCs w:val="30"/>
        </w:rPr>
        <w:t>精准服务全面加强聚才引智</w:t>
      </w:r>
      <w:r>
        <w:rPr>
          <w:rFonts w:hint="eastAsia" w:ascii="仿宋" w:hAnsi="仿宋" w:eastAsia="仿宋" w:cs="仿宋"/>
          <w:spacing w:val="20"/>
          <w:sz w:val="30"/>
          <w:szCs w:val="30"/>
        </w:rPr>
        <w:t>。推动“外国人服务综合窗口”设立，将工作许可、居留许可两证并联</w:t>
      </w:r>
      <w:r>
        <w:rPr>
          <w:rFonts w:hint="eastAsia" w:ascii="仿宋" w:hAnsi="仿宋" w:eastAsia="仿宋" w:cs="仿宋"/>
          <w:spacing w:val="20"/>
          <w:kern w:val="28"/>
          <w:sz w:val="30"/>
          <w:szCs w:val="30"/>
        </w:rPr>
        <w:t>审批，将</w:t>
      </w:r>
      <w:r>
        <w:rPr>
          <w:rFonts w:hint="eastAsia" w:ascii="仿宋" w:hAnsi="仿宋" w:eastAsia="仿宋" w:cs="仿宋"/>
          <w:spacing w:val="20"/>
          <w:sz w:val="30"/>
          <w:szCs w:val="30"/>
        </w:rPr>
        <w:t>审批时间由</w:t>
      </w:r>
      <w:r>
        <w:rPr>
          <w:rStyle w:val="29"/>
          <w:rFonts w:hint="eastAsia" w:ascii="仿宋" w:hAnsi="仿宋" w:eastAsia="仿宋" w:cs="仿宋"/>
          <w:spacing w:val="20"/>
          <w:sz w:val="30"/>
          <w:szCs w:val="30"/>
        </w:rPr>
        <w:t>28天缩短至7-10天，对A类人才实施工作许可一小时极速审批，引才服务效率再度提升，与省委组织部、科技厅、公安厅联合申报的“创建市场导向人才评价引进新机制”12月份入选省第十批制度集成创新案例。</w:t>
      </w:r>
    </w:p>
    <w:p>
      <w:pPr>
        <w:jc w:val="both"/>
        <w:rPr>
          <w:rFonts w:ascii="仿宋" w:hAnsi="仿宋" w:eastAsia="仿宋" w:cs="仿宋"/>
          <w:b/>
          <w:spacing w:val="20"/>
          <w:sz w:val="32"/>
          <w:szCs w:val="30"/>
          <w:shd w:val="clear" w:color="auto" w:fill="FFFFFF"/>
        </w:rPr>
      </w:pPr>
      <w:r>
        <w:rPr>
          <w:rFonts w:hint="eastAsia" w:ascii="仿宋" w:hAnsi="仿宋" w:eastAsia="仿宋" w:cs="仿宋"/>
          <w:b/>
          <w:color w:val="0000FF"/>
          <w:spacing w:val="20"/>
          <w:sz w:val="32"/>
          <w:szCs w:val="30"/>
          <w:shd w:val="clear" w:color="auto" w:fill="FFFFFF"/>
        </w:rPr>
        <w:t xml:space="preserve">   </w:t>
      </w:r>
      <w:r>
        <w:rPr>
          <w:rFonts w:hint="eastAsia" w:ascii="仿宋" w:hAnsi="仿宋" w:eastAsia="仿宋" w:cs="仿宋"/>
          <w:b/>
          <w:spacing w:val="20"/>
          <w:sz w:val="32"/>
          <w:szCs w:val="30"/>
          <w:shd w:val="clear" w:color="auto" w:fill="FFFFFF"/>
        </w:rPr>
        <w:t>（二）文化</w:t>
      </w:r>
    </w:p>
    <w:p>
      <w:pPr>
        <w:pStyle w:val="12"/>
        <w:spacing w:after="0"/>
        <w:ind w:firstLine="680" w:firstLineChars="200"/>
        <w:jc w:val="both"/>
        <w:rPr>
          <w:rFonts w:ascii="仿宋" w:hAnsi="仿宋" w:eastAsia="仿宋" w:cs="仿宋"/>
          <w:spacing w:val="20"/>
          <w:sz w:val="30"/>
          <w:szCs w:val="30"/>
        </w:rPr>
      </w:pPr>
      <w:r>
        <w:rPr>
          <w:rFonts w:hint="eastAsia" w:ascii="仿宋" w:hAnsi="仿宋" w:eastAsia="仿宋" w:cs="仿宋"/>
          <w:spacing w:val="20"/>
          <w:sz w:val="30"/>
          <w:szCs w:val="30"/>
          <w:shd w:val="clear" w:color="auto" w:fill="FFFFFF"/>
        </w:rPr>
        <w:t>2020年，举办了</w:t>
      </w:r>
      <w:r>
        <w:rPr>
          <w:rFonts w:hint="eastAsia" w:ascii="仿宋" w:hAnsi="仿宋" w:eastAsia="仿宋" w:cs="仿宋"/>
          <w:bCs/>
          <w:spacing w:val="20"/>
          <w:sz w:val="30"/>
          <w:szCs w:val="30"/>
        </w:rPr>
        <w:t>“跨海·跨年”久久不见海口见 2020-2021海口跨年狂欢季盛大开启。</w:t>
      </w:r>
      <w:r>
        <w:rPr>
          <w:rFonts w:hint="eastAsia" w:ascii="仿宋" w:hAnsi="仿宋" w:eastAsia="仿宋" w:cs="仿宋"/>
          <w:spacing w:val="20"/>
          <w:sz w:val="30"/>
          <w:szCs w:val="30"/>
        </w:rPr>
        <w:t>坚持疫情防控和文旅发展“两手抓”，进一步深化“跨海·跨年 久久不见海口见”品牌IP，策划推</w:t>
      </w:r>
      <w:bookmarkStart w:id="0" w:name="_GoBack"/>
      <w:bookmarkEnd w:id="0"/>
      <w:r>
        <w:rPr>
          <w:rFonts w:hint="eastAsia" w:ascii="仿宋" w:hAnsi="仿宋" w:eastAsia="仿宋" w:cs="仿宋"/>
          <w:spacing w:val="20"/>
          <w:sz w:val="30"/>
          <w:szCs w:val="30"/>
        </w:rPr>
        <w:t>出顶流趴、演艺趴、免税Shopping趴等九大Party板块，火力全开打造海口跨年之城。演出</w:t>
      </w:r>
      <w:r>
        <w:rPr>
          <w:rFonts w:hint="eastAsia" w:ascii="仿宋" w:hAnsi="仿宋" w:eastAsia="仿宋" w:cs="仿宋"/>
          <w:spacing w:val="20"/>
          <w:sz w:val="30"/>
          <w:szCs w:val="30"/>
          <w:lang w:val="zh-CN"/>
        </w:rPr>
        <w:t>《卡门</w:t>
      </w:r>
      <w:r>
        <w:rPr>
          <w:rFonts w:hint="eastAsia" w:ascii="仿宋" w:hAnsi="仿宋" w:eastAsia="仿宋" w:cs="仿宋"/>
          <w:spacing w:val="20"/>
          <w:sz w:val="30"/>
          <w:szCs w:val="30"/>
        </w:rPr>
        <w:t>》《白雪公主和七个小矮人》等精品剧目12场；成功举办</w:t>
      </w:r>
      <w:r>
        <w:rPr>
          <w:rFonts w:hint="eastAsia" w:ascii="仿宋" w:hAnsi="仿宋" w:eastAsia="仿宋" w:cs="仿宋"/>
          <w:spacing w:val="20"/>
          <w:sz w:val="30"/>
          <w:szCs w:val="30"/>
          <w:lang w:val="zh-CN"/>
        </w:rPr>
        <w:t>“1864熊猫巡展海口站”活动，组织</w:t>
      </w:r>
      <w:r>
        <w:rPr>
          <w:rFonts w:hint="eastAsia" w:ascii="仿宋" w:hAnsi="仿宋" w:eastAsia="仿宋" w:cs="仿宋"/>
          <w:spacing w:val="20"/>
          <w:sz w:val="30"/>
          <w:szCs w:val="30"/>
        </w:rPr>
        <w:t>2020白鹿仓杯深圳卫视《勇士的荣耀》海口站等文化活动和体育赛事</w:t>
      </w:r>
      <w:r>
        <w:rPr>
          <w:rFonts w:hint="eastAsia" w:ascii="仿宋" w:hAnsi="仿宋" w:eastAsia="仿宋" w:cs="仿宋"/>
          <w:spacing w:val="20"/>
          <w:sz w:val="30"/>
          <w:szCs w:val="30"/>
          <w:lang w:val="zh-CN"/>
        </w:rPr>
        <w:t>。</w:t>
      </w:r>
      <w:r>
        <w:rPr>
          <w:rFonts w:hint="eastAsia" w:ascii="仿宋" w:hAnsi="仿宋" w:eastAsia="仿宋" w:cs="仿宋"/>
          <w:spacing w:val="20"/>
          <w:sz w:val="30"/>
          <w:szCs w:val="30"/>
        </w:rPr>
        <w:t>组织举办2020年海口市迎双节系列文体活动近50场主题文艺演出，吸引市民游客观众数十万人，以丰富多彩的群众性文化活动，赋予海口新色彩。与国内多家知名文艺团体合作，推出高水准文艺演出，《断金》《雷雨》《雷雨·后》《白鹿原》等精品文艺演出轮番上演，市民游客精神文化生活不断丰富。积极开展2020年海口市文化科技卫生“三下乡”暨文艺进万家活动；指导惠民演出20场次，惠及群众数万人；完成75场送戏下乡琼剧惠民演出。</w:t>
      </w:r>
    </w:p>
    <w:p>
      <w:pPr>
        <w:ind w:firstLine="680" w:firstLineChars="200"/>
        <w:jc w:val="both"/>
        <w:rPr>
          <w:rFonts w:ascii="仿宋" w:hAnsi="仿宋" w:eastAsia="仿宋" w:cs="仿宋"/>
          <w:spacing w:val="20"/>
          <w:sz w:val="30"/>
          <w:szCs w:val="30"/>
        </w:rPr>
      </w:pPr>
      <w:r>
        <w:rPr>
          <w:rFonts w:hint="eastAsia" w:ascii="仿宋" w:hAnsi="仿宋" w:eastAsia="仿宋" w:cs="仿宋"/>
          <w:spacing w:val="20"/>
          <w:sz w:val="30"/>
          <w:szCs w:val="30"/>
        </w:rPr>
        <w:t>全市共有艺术表演团体32个，艺术表演场馆11个，博物馆6个，群众艺术馆2个、文化馆4个，文化站43个，公共图书馆6个。全年数字电视实际用户34.21万户，电视人口综合覆盖率达到99.1%。公共图书馆藏书量70万册。</w:t>
      </w:r>
    </w:p>
    <w:p>
      <w:pPr>
        <w:jc w:val="both"/>
        <w:rPr>
          <w:rFonts w:ascii="仿宋" w:hAnsi="仿宋" w:eastAsia="仿宋" w:cs="仿宋"/>
          <w:b/>
          <w:spacing w:val="20"/>
          <w:sz w:val="32"/>
          <w:szCs w:val="30"/>
          <w:shd w:val="clear" w:color="auto" w:fill="FFFFFF"/>
        </w:rPr>
      </w:pPr>
      <w:r>
        <w:rPr>
          <w:rFonts w:hint="eastAsia" w:ascii="仿宋" w:hAnsi="仿宋" w:eastAsia="仿宋" w:cs="仿宋"/>
          <w:spacing w:val="20"/>
          <w:sz w:val="30"/>
          <w:szCs w:val="30"/>
        </w:rPr>
        <w:t xml:space="preserve">  </w:t>
      </w:r>
      <w:r>
        <w:rPr>
          <w:rFonts w:hint="eastAsia" w:ascii="仿宋" w:hAnsi="仿宋" w:eastAsia="仿宋" w:cs="仿宋"/>
          <w:b/>
          <w:bCs/>
          <w:spacing w:val="20"/>
          <w:sz w:val="30"/>
          <w:szCs w:val="30"/>
        </w:rPr>
        <w:t>（</w:t>
      </w:r>
      <w:r>
        <w:rPr>
          <w:rFonts w:hint="eastAsia" w:ascii="仿宋" w:hAnsi="仿宋" w:eastAsia="仿宋" w:cs="仿宋"/>
          <w:b/>
          <w:bCs/>
          <w:spacing w:val="20"/>
          <w:sz w:val="32"/>
          <w:szCs w:val="30"/>
          <w:shd w:val="clear" w:color="auto" w:fill="FFFFFF"/>
        </w:rPr>
        <w:t>三）</w:t>
      </w:r>
      <w:r>
        <w:rPr>
          <w:rFonts w:hint="eastAsia" w:ascii="仿宋" w:hAnsi="仿宋" w:eastAsia="仿宋" w:cs="仿宋"/>
          <w:b/>
          <w:spacing w:val="20"/>
          <w:sz w:val="32"/>
          <w:szCs w:val="30"/>
          <w:shd w:val="clear" w:color="auto" w:fill="FFFFFF"/>
        </w:rPr>
        <w:t>体育</w:t>
      </w:r>
    </w:p>
    <w:p>
      <w:pPr>
        <w:ind w:firstLine="482" w:firstLineChars="200"/>
        <w:jc w:val="both"/>
        <w:rPr>
          <w:rFonts w:ascii="仿宋" w:hAnsi="仿宋" w:eastAsia="仿宋" w:cs="仿宋"/>
          <w:spacing w:val="20"/>
          <w:sz w:val="30"/>
          <w:szCs w:val="30"/>
        </w:rPr>
      </w:pPr>
      <w:r>
        <w:rPr>
          <w:rFonts w:hint="eastAsia" w:ascii="仿宋" w:hAnsi="仿宋" w:eastAsia="仿宋" w:cs="仿宋"/>
          <w:b/>
          <w:bCs/>
        </w:rPr>
        <w:t xml:space="preserve">   </w:t>
      </w:r>
      <w:r>
        <w:rPr>
          <w:rFonts w:hint="eastAsia" w:ascii="仿宋" w:hAnsi="仿宋" w:eastAsia="仿宋" w:cs="仿宋"/>
          <w:spacing w:val="20"/>
          <w:sz w:val="30"/>
          <w:szCs w:val="30"/>
        </w:rPr>
        <w:t>2020年国家体育训练南方基地—海南海口·帆船帆板挂牌成立，海口在推进国家体育旅游示范区建设上取得阶段性成果。群众健身设施不断完善，投入186万元在社区、村镇等场所新增全民健身路径34套340件；建成32个社会足球场；积极筹备建设全市首个智慧体育公园和海口市全民健身中心。</w:t>
      </w:r>
    </w:p>
    <w:p>
      <w:pPr>
        <w:ind w:firstLine="680" w:firstLineChars="200"/>
        <w:jc w:val="both"/>
        <w:rPr>
          <w:rFonts w:ascii="仿宋" w:hAnsi="仿宋" w:eastAsia="仿宋" w:cs="仿宋"/>
          <w:color w:val="0000FF"/>
          <w:spacing w:val="20"/>
          <w:sz w:val="30"/>
          <w:szCs w:val="30"/>
        </w:rPr>
      </w:pPr>
      <w:r>
        <w:rPr>
          <w:rFonts w:hint="eastAsia" w:ascii="仿宋" w:hAnsi="仿宋" w:eastAsia="仿宋" w:cs="仿宋"/>
          <w:spacing w:val="20"/>
          <w:sz w:val="30"/>
          <w:szCs w:val="30"/>
        </w:rPr>
        <w:t>2020第十一届环海南岛国际大帆船赛获得突出贡献奖；2020海南沙滩运动嘉年华获得优秀组织奖；2020海南亲水运动季获得最佳组织奖；2020海南自由贸易港青少年沙滩足球节获得突出贡献奖。2020年共派出349名运动员参加田径、游泳、篮球、举重、沙排、排球、足球、羽毛球、乒乓球9个项目省锦标赛，共获得金牌126枚、银牌70枚、铜牌55枚。其中，游泳队成绩突出，获得金牌44枚。田径队、羽毛球队、举重队、乒乓球队都获得大会道德风尚奖，沙滩排球队参加第十届全国运动会选拔赛，男子一队取得第四名，取得全运会资格。2020年共派出17名运动员参加海南省少年举重锦标赛，共获金牌28枚、银牌11枚、铜牌1枚。2020年海口帆船帆板队共参加三场比赛，获得5金3银4铜。</w:t>
      </w:r>
    </w:p>
    <w:p>
      <w:pPr>
        <w:jc w:val="both"/>
        <w:rPr>
          <w:rFonts w:ascii="仿宋" w:hAnsi="仿宋" w:eastAsia="仿宋" w:cs="仿宋"/>
          <w:b/>
          <w:color w:val="0000FF"/>
          <w:spacing w:val="20"/>
          <w:sz w:val="32"/>
          <w:szCs w:val="30"/>
          <w:shd w:val="clear" w:color="auto" w:fill="FFFFFF"/>
        </w:rPr>
      </w:pPr>
      <w:r>
        <w:rPr>
          <w:rFonts w:hint="eastAsia" w:ascii="仿宋" w:hAnsi="仿宋" w:eastAsia="仿宋" w:cs="仿宋"/>
          <w:b/>
          <w:color w:val="0000FF"/>
          <w:spacing w:val="20"/>
          <w:sz w:val="32"/>
          <w:szCs w:val="30"/>
          <w:shd w:val="clear" w:color="auto" w:fill="FFFFFF"/>
        </w:rPr>
        <w:t xml:space="preserve">  </w:t>
      </w:r>
      <w:r>
        <w:rPr>
          <w:rFonts w:hint="eastAsia" w:ascii="仿宋" w:hAnsi="仿宋" w:eastAsia="仿宋" w:cs="仿宋"/>
          <w:b/>
          <w:spacing w:val="20"/>
          <w:sz w:val="32"/>
          <w:szCs w:val="30"/>
          <w:shd w:val="clear" w:color="auto" w:fill="FFFFFF"/>
        </w:rPr>
        <w:t xml:space="preserve"> 六、环境保护</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2020年，我市空气质量在全国168个重点城市名列第一，环境空气质量优良率达98.6%，一级优天数为278天，二级良天数为83天，PM</w:t>
      </w:r>
      <w:r>
        <w:rPr>
          <w:rFonts w:hint="eastAsia" w:ascii="仿宋" w:hAnsi="仿宋" w:eastAsia="仿宋" w:cs="仿宋"/>
          <w:spacing w:val="23"/>
          <w:sz w:val="30"/>
          <w:szCs w:val="30"/>
          <w:shd w:val="clear" w:color="auto" w:fill="FFFFFF"/>
          <w:vertAlign w:val="subscript"/>
        </w:rPr>
        <w:t>2.5</w:t>
      </w:r>
      <w:r>
        <w:rPr>
          <w:rFonts w:hint="eastAsia" w:ascii="仿宋" w:hAnsi="仿宋" w:eastAsia="仿宋" w:cs="仿宋"/>
          <w:spacing w:val="20"/>
          <w:sz w:val="30"/>
          <w:szCs w:val="30"/>
          <w:shd w:val="clear" w:color="auto" w:fill="FFFFFF"/>
        </w:rPr>
        <w:t>、PM</w:t>
      </w:r>
      <w:r>
        <w:rPr>
          <w:rFonts w:hint="eastAsia" w:ascii="仿宋" w:hAnsi="仿宋" w:eastAsia="仿宋" w:cs="仿宋"/>
          <w:spacing w:val="23"/>
          <w:sz w:val="30"/>
          <w:szCs w:val="30"/>
          <w:shd w:val="clear" w:color="auto" w:fill="FFFFFF"/>
          <w:vertAlign w:val="subscript"/>
        </w:rPr>
        <w:t>10</w:t>
      </w:r>
      <w:r>
        <w:rPr>
          <w:rFonts w:hint="eastAsia" w:ascii="仿宋" w:hAnsi="仿宋" w:eastAsia="仿宋" w:cs="仿宋"/>
          <w:spacing w:val="20"/>
          <w:sz w:val="30"/>
          <w:szCs w:val="30"/>
          <w:shd w:val="clear" w:color="auto" w:fill="FFFFFF"/>
        </w:rPr>
        <w:t>浓度分别为14微克/立方米、29微克/立方米，比2019年分别下降了 17.6%、9.4%，实现自2012年环境空气质量新标准实施以来PM</w:t>
      </w:r>
      <w:r>
        <w:rPr>
          <w:rFonts w:hint="eastAsia" w:ascii="仿宋" w:hAnsi="仿宋" w:eastAsia="仿宋" w:cs="仿宋"/>
          <w:spacing w:val="23"/>
          <w:sz w:val="30"/>
          <w:szCs w:val="30"/>
          <w:shd w:val="clear" w:color="auto" w:fill="FFFFFF"/>
          <w:vertAlign w:val="subscript"/>
        </w:rPr>
        <w:t>2.5</w:t>
      </w:r>
      <w:r>
        <w:rPr>
          <w:rFonts w:hint="eastAsia" w:ascii="仿宋" w:hAnsi="仿宋" w:eastAsia="仿宋" w:cs="仿宋"/>
          <w:spacing w:val="20"/>
          <w:sz w:val="30"/>
          <w:szCs w:val="30"/>
          <w:shd w:val="clear" w:color="auto" w:fill="FFFFFF"/>
        </w:rPr>
        <w:t>浓度首次达到一级标准。水环境质量总体良好，南渡江龙塘段、永庄水库两个城市集中式饮用水源地水质达标率100%；地表水国控断面水质达标率100%；省级近岸海域海水水质达标率100%。四类噪声功能区昼间等效声级均达到相应指标要求。</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2020年，我市新建1座污水处理设施，新增日污水处理能力3万吨。集中转运生活垃圾共计120.84万吨，垃圾焚烧量85.06万吨，填埋垃圾量35.78万吨，发电量3.55亿千瓦，飞灰处理量2.35万吨，渗滤液处理量52.58万吨。</w:t>
      </w:r>
    </w:p>
    <w:p>
      <w:pPr>
        <w:jc w:val="both"/>
        <w:rPr>
          <w:rFonts w:ascii="仿宋" w:hAnsi="仿宋" w:eastAsia="仿宋" w:cs="仿宋"/>
          <w:spacing w:val="20"/>
          <w:sz w:val="30"/>
          <w:szCs w:val="30"/>
          <w:shd w:val="clear" w:color="auto" w:fill="FFFFFF"/>
        </w:rPr>
      </w:pPr>
      <w:r>
        <w:rPr>
          <w:rFonts w:hint="eastAsia" w:ascii="仿宋" w:hAnsi="仿宋" w:eastAsia="仿宋" w:cs="仿宋"/>
          <w:b/>
          <w:color w:val="0000FF"/>
          <w:spacing w:val="20"/>
          <w:sz w:val="32"/>
          <w:szCs w:val="30"/>
        </w:rPr>
        <w:t xml:space="preserve">   </w:t>
      </w:r>
      <w:r>
        <w:rPr>
          <w:rFonts w:hint="eastAsia" w:ascii="仿宋" w:hAnsi="仿宋" w:eastAsia="仿宋" w:cs="仿宋"/>
          <w:spacing w:val="20"/>
          <w:sz w:val="30"/>
          <w:szCs w:val="30"/>
          <w:lang w:val="en"/>
        </w:rPr>
        <w:t> </w:t>
      </w:r>
      <w:r>
        <w:rPr>
          <w:rFonts w:hint="eastAsia" w:ascii="仿宋" w:hAnsi="仿宋" w:eastAsia="仿宋" w:cs="仿宋"/>
          <w:spacing w:val="20"/>
          <w:sz w:val="30"/>
          <w:szCs w:val="30"/>
          <w:shd w:val="clear" w:color="auto" w:fill="FFFFFF"/>
        </w:rPr>
        <w:t>注释：</w:t>
      </w:r>
    </w:p>
    <w:p>
      <w:pPr>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　　1.本公报部分数据为初步统计数，部分数据为预计数，最终核实数以中国统计出版社出版的《海口统计年鉴－2021》公布的数据为准；</w:t>
      </w:r>
    </w:p>
    <w:p>
      <w:pPr>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　　2.地区生产总值和各产业增加值绝对数按现行价格计算，增长速度按可比价格计算。根据《国民经济行业分类》（GB/T4754-2011）对三次产业进行划分；</w:t>
      </w:r>
    </w:p>
    <w:p>
      <w:pPr>
        <w:ind w:firstLine="680" w:firstLineChars="200"/>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3.本公报中部分指标合计数与分项数有出入主要是由于四舍五入的原因，均未作机械调整。</w:t>
      </w:r>
    </w:p>
    <w:p>
      <w:pPr>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 xml:space="preserve">   4.2020年是全国第七次人口普查，人口数据目前处于审核比对阶段，国家尚未反馈数据。</w:t>
      </w:r>
    </w:p>
    <w:p>
      <w:pPr>
        <w:jc w:val="both"/>
        <w:rPr>
          <w:rFonts w:ascii="仿宋" w:hAnsi="仿宋" w:eastAsia="仿宋" w:cs="仿宋"/>
          <w:spacing w:val="20"/>
          <w:sz w:val="30"/>
          <w:szCs w:val="30"/>
          <w:shd w:val="clear" w:color="auto" w:fill="FFFFFF"/>
        </w:rPr>
      </w:pPr>
      <w:r>
        <w:rPr>
          <w:rFonts w:hint="eastAsia" w:ascii="仿宋" w:hAnsi="仿宋" w:eastAsia="仿宋" w:cs="仿宋"/>
          <w:spacing w:val="20"/>
          <w:sz w:val="30"/>
          <w:szCs w:val="30"/>
          <w:shd w:val="clear" w:color="auto" w:fill="FFFFFF"/>
        </w:rPr>
        <w:t xml:space="preserve">   资料来源：</w:t>
      </w:r>
    </w:p>
    <w:p>
      <w:pPr>
        <w:jc w:val="both"/>
        <w:rPr>
          <w:rFonts w:ascii="仿宋" w:hAnsi="仿宋" w:eastAsia="仿宋" w:cs="仿宋"/>
          <w:spacing w:val="20"/>
          <w:sz w:val="30"/>
          <w:szCs w:val="30"/>
        </w:rPr>
      </w:pPr>
      <w:r>
        <w:rPr>
          <w:rFonts w:hint="eastAsia" w:ascii="仿宋" w:hAnsi="仿宋" w:eastAsia="仿宋" w:cs="仿宋"/>
          <w:spacing w:val="20"/>
          <w:sz w:val="30"/>
          <w:szCs w:val="30"/>
          <w:shd w:val="clear" w:color="auto" w:fill="FFFFFF"/>
        </w:rPr>
        <w:t xml:space="preserve">   本公报中财政数据来自市财政局，江东新区规划建设数据来自市江东新区管理局，价格和居民收入数据来自国家统计局海口调查队，招商引资、对外经济和会展数据来自市商务局，进出口数据来自海口海关，货物、旅客运输及周转量、港口吞吐量数据来自市交通港航局、粤海铁公司、南航海南公司、海航公司，邮电通信数据来自市邮政管理局、移动海南公司、电信海南公司、联通海南公司，旅游、文化和体育数据来自市旅文局，社会保险和就业数据来自市人社局，医疗保险数据来自市医疗保障局，教育数据来自市教育局，医疗卫生数据来自市卫健委，扶贫数据来自市扶贫办，科技数据来自市市场监督管理局和市科工信局，环境保护数据来自市生态环境局、市水务局和市园林环卫局，安全生产数据来自市应急管理局，金融机构数据来自中国人民银行海口中心支行，保险保费收入数据来自中国银行保险监督管理委员会海南监管局，证券交易金额数据来自中国证券监督管理委员会海南监管局，其他数据均来自市统计局。</w:t>
      </w:r>
    </w:p>
    <w:p>
      <w:pPr>
        <w:jc w:val="both"/>
        <w:rPr>
          <w:rFonts w:ascii="仿宋" w:hAnsi="仿宋" w:eastAsia="仿宋" w:cs="仿宋"/>
          <w:color w:val="545454"/>
          <w:spacing w:val="20"/>
          <w:sz w:val="30"/>
          <w:szCs w:val="30"/>
          <w:lang w:val="en"/>
        </w:rPr>
      </w:pPr>
      <w:r>
        <w:rPr>
          <w:rFonts w:hint="eastAsia" w:ascii="仿宋" w:hAnsi="仿宋" w:eastAsia="仿宋" w:cs="仿宋"/>
          <w:color w:val="545454"/>
          <w:spacing w:val="20"/>
          <w:sz w:val="30"/>
          <w:szCs w:val="30"/>
          <w:lang w:val="en"/>
        </w:rPr>
        <w:t> </w:t>
      </w:r>
      <w:r>
        <w:rPr>
          <w:rFonts w:hint="eastAsia" w:ascii="仿宋" w:hAnsi="仿宋" w:eastAsia="仿宋" w:cs="仿宋"/>
          <w:b/>
          <w:bCs/>
          <w:color w:val="545454"/>
          <w:spacing w:val="20"/>
          <w:sz w:val="30"/>
          <w:szCs w:val="30"/>
          <w:lang w:val="en"/>
        </w:rPr>
        <w:t xml:space="preserve">                                            </w:t>
      </w:r>
    </w:p>
    <w:p>
      <w:pPr>
        <w:spacing w:line="276" w:lineRule="auto"/>
        <w:jc w:val="both"/>
        <w:rPr>
          <w:rFonts w:ascii="仿宋" w:hAnsi="仿宋" w:eastAsia="仿宋" w:cs="仿宋"/>
          <w:color w:val="545454"/>
          <w:spacing w:val="20"/>
          <w:sz w:val="30"/>
          <w:szCs w:val="30"/>
          <w:lang w:val="e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43305762"/>
                          </w:sdtPr>
                          <w:sdtContent>
                            <w:p>
                              <w:pPr>
                                <w:pStyle w:val="15"/>
                                <w:jc w:val="center"/>
                              </w:pPr>
                              <w:r>
                                <w:fldChar w:fldCharType="begin"/>
                              </w:r>
                              <w:r>
                                <w:instrText xml:space="preserve">PAGE   \* MERGEFORMAT</w:instrText>
                              </w:r>
                              <w:r>
                                <w:fldChar w:fldCharType="separate"/>
                              </w:r>
                              <w:r>
                                <w:rPr>
                                  <w:lang w:val="zh-CN"/>
                                </w:rPr>
                                <w:t>-</w:t>
                              </w:r>
                              <w:r>
                                <w:t xml:space="preserve"> 6 -</w:t>
                              </w:r>
                              <w: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q+O8FQIAABkEAAAOAAAAAAAAAAEAIAAAADUBAABkcnMvZTJvRG9jLnhtbFBLBQYAAAAABgAG&#10;AFkBAAC8BQAAAAA=&#10;">
              <v:fill on="f" focussize="0,0"/>
              <v:stroke on="f" weight="0.5pt"/>
              <v:imagedata o:title=""/>
              <o:lock v:ext="edit" aspectratio="f"/>
              <v:textbox inset="0mm,0mm,0mm,0mm" style="mso-fit-shape-to-text:t;">
                <w:txbxContent>
                  <w:sdt>
                    <w:sdtPr>
                      <w:id w:val="243305762"/>
                    </w:sdtPr>
                    <w:sdtContent>
                      <w:p>
                        <w:pPr>
                          <w:pStyle w:val="15"/>
                          <w:jc w:val="center"/>
                        </w:pPr>
                        <w:r>
                          <w:fldChar w:fldCharType="begin"/>
                        </w:r>
                        <w:r>
                          <w:instrText xml:space="preserve">PAGE   \* MERGEFORMAT</w:instrText>
                        </w:r>
                        <w:r>
                          <w:fldChar w:fldCharType="separate"/>
                        </w:r>
                        <w:r>
                          <w:rPr>
                            <w:lang w:val="zh-CN"/>
                          </w:rPr>
                          <w:t>-</w:t>
                        </w:r>
                        <w:r>
                          <w:t xml:space="preserve"> 6 -</w:t>
                        </w:r>
                        <w:r>
                          <w:fldChar w:fldCharType="end"/>
                        </w:r>
                      </w:p>
                    </w:sdtContent>
                  </w:sdt>
                  <w:p/>
                </w:txbxContent>
              </v:textbox>
            </v:shape>
          </w:pict>
        </mc:Fallback>
      </mc:AlternateContent>
    </w:r>
  </w:p>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F07257"/>
    <w:rsid w:val="00035EEB"/>
    <w:rsid w:val="00055E0E"/>
    <w:rsid w:val="0008182A"/>
    <w:rsid w:val="000B5553"/>
    <w:rsid w:val="00142238"/>
    <w:rsid w:val="0018081C"/>
    <w:rsid w:val="001A25D1"/>
    <w:rsid w:val="001F3907"/>
    <w:rsid w:val="002102A3"/>
    <w:rsid w:val="00211CB6"/>
    <w:rsid w:val="00212C5E"/>
    <w:rsid w:val="002467AE"/>
    <w:rsid w:val="00254D8A"/>
    <w:rsid w:val="002819F5"/>
    <w:rsid w:val="002B23E4"/>
    <w:rsid w:val="002E3723"/>
    <w:rsid w:val="00300C05"/>
    <w:rsid w:val="0031448E"/>
    <w:rsid w:val="00344C52"/>
    <w:rsid w:val="003461F2"/>
    <w:rsid w:val="0035329C"/>
    <w:rsid w:val="0038779B"/>
    <w:rsid w:val="003933CA"/>
    <w:rsid w:val="00393DE1"/>
    <w:rsid w:val="003D24A7"/>
    <w:rsid w:val="003E0675"/>
    <w:rsid w:val="003E104B"/>
    <w:rsid w:val="0040361E"/>
    <w:rsid w:val="004152AD"/>
    <w:rsid w:val="00426ACA"/>
    <w:rsid w:val="00451B2D"/>
    <w:rsid w:val="00473F04"/>
    <w:rsid w:val="0048591E"/>
    <w:rsid w:val="004A0BDB"/>
    <w:rsid w:val="004A5B24"/>
    <w:rsid w:val="004C5505"/>
    <w:rsid w:val="004E6ED3"/>
    <w:rsid w:val="004F73E5"/>
    <w:rsid w:val="005101A9"/>
    <w:rsid w:val="005203CE"/>
    <w:rsid w:val="00532CBD"/>
    <w:rsid w:val="00551405"/>
    <w:rsid w:val="00573DF8"/>
    <w:rsid w:val="005E6077"/>
    <w:rsid w:val="005E6BA1"/>
    <w:rsid w:val="006201A4"/>
    <w:rsid w:val="006244EC"/>
    <w:rsid w:val="0063068F"/>
    <w:rsid w:val="007441A7"/>
    <w:rsid w:val="00777802"/>
    <w:rsid w:val="007918A8"/>
    <w:rsid w:val="008001EA"/>
    <w:rsid w:val="00837C7A"/>
    <w:rsid w:val="00875CA1"/>
    <w:rsid w:val="008A68EB"/>
    <w:rsid w:val="008C5146"/>
    <w:rsid w:val="00917C17"/>
    <w:rsid w:val="00971B56"/>
    <w:rsid w:val="009A7BC7"/>
    <w:rsid w:val="009B2F60"/>
    <w:rsid w:val="009C192C"/>
    <w:rsid w:val="009F41C8"/>
    <w:rsid w:val="009F6E65"/>
    <w:rsid w:val="00AA0242"/>
    <w:rsid w:val="00AB1AC5"/>
    <w:rsid w:val="00AB2529"/>
    <w:rsid w:val="00AB288F"/>
    <w:rsid w:val="00AB6370"/>
    <w:rsid w:val="00AE599C"/>
    <w:rsid w:val="00AF7F7B"/>
    <w:rsid w:val="00B04469"/>
    <w:rsid w:val="00B36070"/>
    <w:rsid w:val="00B57DAD"/>
    <w:rsid w:val="00B73EEE"/>
    <w:rsid w:val="00B76D62"/>
    <w:rsid w:val="00BA42EA"/>
    <w:rsid w:val="00BB24CA"/>
    <w:rsid w:val="00BC264D"/>
    <w:rsid w:val="00BC62F1"/>
    <w:rsid w:val="00BD248A"/>
    <w:rsid w:val="00BE7675"/>
    <w:rsid w:val="00C00267"/>
    <w:rsid w:val="00C571DD"/>
    <w:rsid w:val="00C812C2"/>
    <w:rsid w:val="00C83370"/>
    <w:rsid w:val="00CB31F2"/>
    <w:rsid w:val="00CD5495"/>
    <w:rsid w:val="00CE0AE2"/>
    <w:rsid w:val="00CF6F64"/>
    <w:rsid w:val="00D21A2A"/>
    <w:rsid w:val="00D5649C"/>
    <w:rsid w:val="00D578ED"/>
    <w:rsid w:val="00D629DF"/>
    <w:rsid w:val="00D80281"/>
    <w:rsid w:val="00D81C2A"/>
    <w:rsid w:val="00D879ED"/>
    <w:rsid w:val="00D93C92"/>
    <w:rsid w:val="00DA2BBD"/>
    <w:rsid w:val="00DB06DF"/>
    <w:rsid w:val="00E05930"/>
    <w:rsid w:val="00E152B0"/>
    <w:rsid w:val="00E163C4"/>
    <w:rsid w:val="00E24E2C"/>
    <w:rsid w:val="00E2646D"/>
    <w:rsid w:val="00E76B3B"/>
    <w:rsid w:val="00EB3F89"/>
    <w:rsid w:val="00EB7EB7"/>
    <w:rsid w:val="00EC3A6F"/>
    <w:rsid w:val="00EC6C3B"/>
    <w:rsid w:val="00EF112B"/>
    <w:rsid w:val="00EF2F15"/>
    <w:rsid w:val="00F175C6"/>
    <w:rsid w:val="00F4731D"/>
    <w:rsid w:val="00FB50E5"/>
    <w:rsid w:val="00FC0400"/>
    <w:rsid w:val="00FC5A80"/>
    <w:rsid w:val="00FC687D"/>
    <w:rsid w:val="00FD5833"/>
    <w:rsid w:val="00FE0A01"/>
    <w:rsid w:val="02714B77"/>
    <w:rsid w:val="03E6737E"/>
    <w:rsid w:val="04765A9B"/>
    <w:rsid w:val="04C51326"/>
    <w:rsid w:val="05527B8C"/>
    <w:rsid w:val="0560013E"/>
    <w:rsid w:val="07D957A7"/>
    <w:rsid w:val="087D4A68"/>
    <w:rsid w:val="08B32A38"/>
    <w:rsid w:val="0B6D02B9"/>
    <w:rsid w:val="0C0109D6"/>
    <w:rsid w:val="0E4670B5"/>
    <w:rsid w:val="0E9029FF"/>
    <w:rsid w:val="10F07257"/>
    <w:rsid w:val="12101C50"/>
    <w:rsid w:val="13C57CB5"/>
    <w:rsid w:val="148610B9"/>
    <w:rsid w:val="14BB60DE"/>
    <w:rsid w:val="1558353C"/>
    <w:rsid w:val="17896EDE"/>
    <w:rsid w:val="18154982"/>
    <w:rsid w:val="1D036FD3"/>
    <w:rsid w:val="1D9850AD"/>
    <w:rsid w:val="1DB74C09"/>
    <w:rsid w:val="1E2732BF"/>
    <w:rsid w:val="204C2FC9"/>
    <w:rsid w:val="21AB58D2"/>
    <w:rsid w:val="23231D96"/>
    <w:rsid w:val="23264B0A"/>
    <w:rsid w:val="24044E64"/>
    <w:rsid w:val="27C40A90"/>
    <w:rsid w:val="27D40A78"/>
    <w:rsid w:val="2A022B07"/>
    <w:rsid w:val="2DC80565"/>
    <w:rsid w:val="2E453928"/>
    <w:rsid w:val="2E4A1F09"/>
    <w:rsid w:val="2EC314DF"/>
    <w:rsid w:val="2FBC5E66"/>
    <w:rsid w:val="30B54863"/>
    <w:rsid w:val="314A4D76"/>
    <w:rsid w:val="32FF058F"/>
    <w:rsid w:val="3409609A"/>
    <w:rsid w:val="35236B0D"/>
    <w:rsid w:val="35CC3100"/>
    <w:rsid w:val="365009E6"/>
    <w:rsid w:val="36931FC8"/>
    <w:rsid w:val="3A6B6AE2"/>
    <w:rsid w:val="3AF258BC"/>
    <w:rsid w:val="3BAD35A1"/>
    <w:rsid w:val="3BE15213"/>
    <w:rsid w:val="3C1F51CF"/>
    <w:rsid w:val="3C951173"/>
    <w:rsid w:val="3E17216F"/>
    <w:rsid w:val="3EF22775"/>
    <w:rsid w:val="40282AF1"/>
    <w:rsid w:val="40B06D2F"/>
    <w:rsid w:val="410517F8"/>
    <w:rsid w:val="44606D4A"/>
    <w:rsid w:val="461521C5"/>
    <w:rsid w:val="46DB1C83"/>
    <w:rsid w:val="47687935"/>
    <w:rsid w:val="47A70BB9"/>
    <w:rsid w:val="489E6FA2"/>
    <w:rsid w:val="4B5F6F8A"/>
    <w:rsid w:val="4BA54AD2"/>
    <w:rsid w:val="4C101878"/>
    <w:rsid w:val="4D4F0EAB"/>
    <w:rsid w:val="4E5C6E1D"/>
    <w:rsid w:val="4E754565"/>
    <w:rsid w:val="4F515061"/>
    <w:rsid w:val="5018136F"/>
    <w:rsid w:val="502E3BAF"/>
    <w:rsid w:val="54606F27"/>
    <w:rsid w:val="57867C67"/>
    <w:rsid w:val="59292BED"/>
    <w:rsid w:val="59330D43"/>
    <w:rsid w:val="59E978EB"/>
    <w:rsid w:val="5C3F5C88"/>
    <w:rsid w:val="5C6B281F"/>
    <w:rsid w:val="5CE62698"/>
    <w:rsid w:val="5D6E7274"/>
    <w:rsid w:val="5DEC316C"/>
    <w:rsid w:val="5E0B6F62"/>
    <w:rsid w:val="5EB02E17"/>
    <w:rsid w:val="5FDFA8FC"/>
    <w:rsid w:val="62C65B17"/>
    <w:rsid w:val="636E2941"/>
    <w:rsid w:val="639F01D8"/>
    <w:rsid w:val="64BE18B7"/>
    <w:rsid w:val="65E80EF3"/>
    <w:rsid w:val="68706833"/>
    <w:rsid w:val="69ED0EAF"/>
    <w:rsid w:val="6ACF745E"/>
    <w:rsid w:val="6B33053A"/>
    <w:rsid w:val="6B7D4766"/>
    <w:rsid w:val="6BF54915"/>
    <w:rsid w:val="71313241"/>
    <w:rsid w:val="71895888"/>
    <w:rsid w:val="718E3C2E"/>
    <w:rsid w:val="71921E37"/>
    <w:rsid w:val="71A1480F"/>
    <w:rsid w:val="728E2F07"/>
    <w:rsid w:val="73BC4AE7"/>
    <w:rsid w:val="744A4EE4"/>
    <w:rsid w:val="77522D09"/>
    <w:rsid w:val="77773DC7"/>
    <w:rsid w:val="79056ACF"/>
    <w:rsid w:val="795B5FC5"/>
    <w:rsid w:val="7CFB3C43"/>
    <w:rsid w:val="7DEA7452"/>
    <w:rsid w:val="7EB36BB4"/>
    <w:rsid w:val="7F5A1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basedOn w:val="1"/>
    <w:next w:val="1"/>
    <w:link w:val="34"/>
    <w:qFormat/>
    <w:uiPriority w:val="9"/>
    <w:pPr>
      <w:keepNext/>
      <w:spacing w:before="240" w:after="60"/>
      <w:outlineLvl w:val="0"/>
    </w:pPr>
    <w:rPr>
      <w:rFonts w:cs="Times New Roman" w:asciiTheme="majorHAnsi" w:hAnsiTheme="majorHAnsi" w:eastAsiaTheme="majorEastAsia"/>
      <w:b/>
      <w:bCs/>
      <w:kern w:val="32"/>
      <w:sz w:val="32"/>
      <w:szCs w:val="32"/>
    </w:rPr>
  </w:style>
  <w:style w:type="paragraph" w:styleId="3">
    <w:name w:val="heading 2"/>
    <w:basedOn w:val="1"/>
    <w:next w:val="1"/>
    <w:link w:val="35"/>
    <w:unhideWhenUsed/>
    <w:qFormat/>
    <w:uiPriority w:val="9"/>
    <w:pPr>
      <w:keepNext/>
      <w:spacing w:before="240" w:after="60"/>
      <w:outlineLvl w:val="1"/>
    </w:pPr>
    <w:rPr>
      <w:rFonts w:cs="Times New Roman" w:asciiTheme="majorHAnsi" w:hAnsiTheme="majorHAnsi" w:eastAsiaTheme="majorEastAsia"/>
      <w:b/>
      <w:bCs/>
      <w:i/>
      <w:iCs/>
      <w:sz w:val="28"/>
      <w:szCs w:val="28"/>
    </w:rPr>
  </w:style>
  <w:style w:type="paragraph" w:styleId="4">
    <w:name w:val="heading 3"/>
    <w:basedOn w:val="1"/>
    <w:next w:val="1"/>
    <w:link w:val="36"/>
    <w:unhideWhenUsed/>
    <w:qFormat/>
    <w:uiPriority w:val="9"/>
    <w:pPr>
      <w:keepNext/>
      <w:spacing w:before="240" w:after="60"/>
      <w:outlineLvl w:val="2"/>
    </w:pPr>
    <w:rPr>
      <w:rFonts w:cs="Times New Roman" w:asciiTheme="majorHAnsi" w:hAnsiTheme="majorHAnsi" w:eastAsiaTheme="majorEastAsia"/>
      <w:b/>
      <w:bCs/>
      <w:sz w:val="26"/>
      <w:szCs w:val="26"/>
    </w:rPr>
  </w:style>
  <w:style w:type="paragraph" w:styleId="5">
    <w:name w:val="heading 4"/>
    <w:basedOn w:val="1"/>
    <w:next w:val="1"/>
    <w:link w:val="37"/>
    <w:unhideWhenUsed/>
    <w:qFormat/>
    <w:uiPriority w:val="9"/>
    <w:pPr>
      <w:keepNext/>
      <w:spacing w:before="240" w:after="60"/>
      <w:outlineLvl w:val="3"/>
    </w:pPr>
    <w:rPr>
      <w:rFonts w:cs="Times New Roman"/>
      <w:b/>
      <w:bCs/>
      <w:sz w:val="28"/>
      <w:szCs w:val="28"/>
    </w:rPr>
  </w:style>
  <w:style w:type="paragraph" w:styleId="6">
    <w:name w:val="heading 5"/>
    <w:basedOn w:val="1"/>
    <w:next w:val="1"/>
    <w:link w:val="38"/>
    <w:unhideWhenUsed/>
    <w:qFormat/>
    <w:uiPriority w:val="9"/>
    <w:pPr>
      <w:spacing w:before="240" w:after="60"/>
      <w:outlineLvl w:val="4"/>
    </w:pPr>
    <w:rPr>
      <w:rFonts w:cs="Times New Roman"/>
      <w:b/>
      <w:bCs/>
      <w:i/>
      <w:iCs/>
      <w:sz w:val="26"/>
      <w:szCs w:val="26"/>
    </w:rPr>
  </w:style>
  <w:style w:type="paragraph" w:styleId="7">
    <w:name w:val="heading 6"/>
    <w:basedOn w:val="1"/>
    <w:next w:val="1"/>
    <w:link w:val="39"/>
    <w:unhideWhenUsed/>
    <w:qFormat/>
    <w:uiPriority w:val="9"/>
    <w:pPr>
      <w:spacing w:before="240" w:after="60"/>
      <w:outlineLvl w:val="5"/>
    </w:pPr>
    <w:rPr>
      <w:rFonts w:cs="Times New Roman"/>
      <w:b/>
      <w:bCs/>
      <w:sz w:val="22"/>
      <w:szCs w:val="22"/>
    </w:rPr>
  </w:style>
  <w:style w:type="paragraph" w:styleId="8">
    <w:name w:val="heading 7"/>
    <w:basedOn w:val="1"/>
    <w:next w:val="1"/>
    <w:link w:val="40"/>
    <w:unhideWhenUsed/>
    <w:qFormat/>
    <w:uiPriority w:val="9"/>
    <w:pPr>
      <w:spacing w:before="240" w:after="60"/>
      <w:outlineLvl w:val="6"/>
    </w:pPr>
    <w:rPr>
      <w:rFonts w:cs="Times New Roman"/>
    </w:rPr>
  </w:style>
  <w:style w:type="paragraph" w:styleId="9">
    <w:name w:val="heading 8"/>
    <w:basedOn w:val="1"/>
    <w:next w:val="1"/>
    <w:link w:val="41"/>
    <w:unhideWhenUsed/>
    <w:qFormat/>
    <w:uiPriority w:val="9"/>
    <w:pPr>
      <w:spacing w:before="240" w:after="60"/>
      <w:outlineLvl w:val="7"/>
    </w:pPr>
    <w:rPr>
      <w:rFonts w:cs="Times New Roman"/>
      <w:i/>
      <w:iCs/>
    </w:rPr>
  </w:style>
  <w:style w:type="paragraph" w:styleId="10">
    <w:name w:val="heading 9"/>
    <w:basedOn w:val="1"/>
    <w:next w:val="1"/>
    <w:link w:val="42"/>
    <w:unhideWhenUsed/>
    <w:qFormat/>
    <w:uiPriority w:val="9"/>
    <w:pPr>
      <w:spacing w:before="240" w:after="60"/>
      <w:outlineLvl w:val="8"/>
    </w:pPr>
    <w:rPr>
      <w:rFonts w:cs="Times New Roman" w:asciiTheme="majorHAnsi" w:hAnsiTheme="majorHAnsi" w:eastAsiaTheme="majorEastAsia"/>
      <w:sz w:val="22"/>
      <w:szCs w:val="2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qFormat/>
    <w:uiPriority w:val="0"/>
  </w:style>
  <w:style w:type="paragraph" w:styleId="12">
    <w:name w:val="Body Text"/>
    <w:basedOn w:val="1"/>
    <w:link w:val="32"/>
    <w:qFormat/>
    <w:uiPriority w:val="0"/>
    <w:pPr>
      <w:spacing w:after="120"/>
    </w:pPr>
    <w:rPr>
      <w:rFonts w:ascii="Times New Roman" w:hAnsi="Times New Roman" w:eastAsia="宋体" w:cs="Times New Roman"/>
    </w:rPr>
  </w:style>
  <w:style w:type="paragraph" w:styleId="13">
    <w:name w:val="Body Text Indent 2"/>
    <w:basedOn w:val="1"/>
    <w:link w:val="28"/>
    <w:qFormat/>
    <w:uiPriority w:val="0"/>
    <w:pPr>
      <w:ind w:firstLine="750"/>
    </w:pPr>
    <w:rPr>
      <w:rFonts w:ascii="宋体" w:hAnsi="宋体" w:eastAsia="宋体" w:cs="Times New Roman"/>
      <w:sz w:val="32"/>
      <w:szCs w:val="20"/>
    </w:rPr>
  </w:style>
  <w:style w:type="paragraph" w:styleId="14">
    <w:name w:val="Balloon Text"/>
    <w:basedOn w:val="1"/>
    <w:link w:val="56"/>
    <w:qFormat/>
    <w:uiPriority w:val="0"/>
    <w:rPr>
      <w:sz w:val="18"/>
      <w:szCs w:val="18"/>
    </w:rPr>
  </w:style>
  <w:style w:type="paragraph" w:styleId="15">
    <w:name w:val="footer"/>
    <w:basedOn w:val="1"/>
    <w:link w:val="26"/>
    <w:qFormat/>
    <w:uiPriority w:val="99"/>
    <w:pPr>
      <w:tabs>
        <w:tab w:val="center" w:pos="4153"/>
        <w:tab w:val="right" w:pos="8306"/>
      </w:tabs>
      <w:snapToGrid w:val="0"/>
    </w:pPr>
    <w:rPr>
      <w:sz w:val="18"/>
      <w:szCs w:val="18"/>
    </w:rPr>
  </w:style>
  <w:style w:type="paragraph" w:styleId="16">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44"/>
    <w:qFormat/>
    <w:uiPriority w:val="11"/>
    <w:pPr>
      <w:spacing w:after="60"/>
      <w:jc w:val="center"/>
      <w:outlineLvl w:val="1"/>
    </w:pPr>
    <w:rPr>
      <w:rFonts w:cs="Times New Roman" w:asciiTheme="majorHAnsi" w:hAnsiTheme="majorHAnsi" w:eastAsiaTheme="majorEastAsia"/>
    </w:rPr>
  </w:style>
  <w:style w:type="paragraph" w:styleId="18">
    <w:name w:val="Normal (Web)"/>
    <w:basedOn w:val="1"/>
    <w:qFormat/>
    <w:uiPriority w:val="0"/>
    <w:rPr>
      <w:rFonts w:ascii="Calibri" w:hAnsi="Calibri" w:eastAsia="宋体" w:cs="Times New Roman"/>
      <w:color w:val="FF9900"/>
    </w:rPr>
  </w:style>
  <w:style w:type="paragraph" w:styleId="19">
    <w:name w:val="Title"/>
    <w:basedOn w:val="1"/>
    <w:next w:val="1"/>
    <w:link w:val="43"/>
    <w:qFormat/>
    <w:uiPriority w:val="10"/>
    <w:pPr>
      <w:spacing w:before="240" w:after="60"/>
      <w:jc w:val="center"/>
      <w:outlineLvl w:val="0"/>
    </w:pPr>
    <w:rPr>
      <w:rFonts w:cs="Times New Roman" w:asciiTheme="majorHAnsi" w:hAnsiTheme="majorHAnsi" w:eastAsiaTheme="majorEastAsia"/>
      <w:b/>
      <w:bCs/>
      <w:kern w:val="28"/>
      <w:sz w:val="32"/>
      <w:szCs w:val="32"/>
    </w:rPr>
  </w:style>
  <w:style w:type="character" w:styleId="22">
    <w:name w:val="Strong"/>
    <w:basedOn w:val="21"/>
    <w:qFormat/>
    <w:uiPriority w:val="22"/>
    <w:rPr>
      <w:b/>
      <w:bCs/>
    </w:rPr>
  </w:style>
  <w:style w:type="character" w:styleId="23">
    <w:name w:val="Emphasis"/>
    <w:basedOn w:val="21"/>
    <w:qFormat/>
    <w:uiPriority w:val="20"/>
    <w:rPr>
      <w:rFonts w:asciiTheme="minorHAnsi" w:hAnsiTheme="minorHAnsi"/>
      <w:b/>
      <w:i/>
      <w:iCs/>
    </w:rPr>
  </w:style>
  <w:style w:type="character" w:styleId="24">
    <w:name w:val="annotation reference"/>
    <w:basedOn w:val="21"/>
    <w:qFormat/>
    <w:uiPriority w:val="0"/>
    <w:rPr>
      <w:sz w:val="21"/>
      <w:szCs w:val="21"/>
    </w:rPr>
  </w:style>
  <w:style w:type="character" w:customStyle="1" w:styleId="25">
    <w:name w:val="页眉 Char"/>
    <w:basedOn w:val="21"/>
    <w:link w:val="16"/>
    <w:qFormat/>
    <w:uiPriority w:val="0"/>
    <w:rPr>
      <w:rFonts w:asciiTheme="minorHAnsi" w:hAnsiTheme="minorHAnsi" w:eastAsiaTheme="minorEastAsia" w:cstheme="minorBidi"/>
      <w:kern w:val="2"/>
      <w:sz w:val="18"/>
      <w:szCs w:val="18"/>
    </w:rPr>
  </w:style>
  <w:style w:type="character" w:customStyle="1" w:styleId="26">
    <w:name w:val="页脚 Char"/>
    <w:basedOn w:val="21"/>
    <w:link w:val="15"/>
    <w:qFormat/>
    <w:uiPriority w:val="99"/>
    <w:rPr>
      <w:rFonts w:asciiTheme="minorHAnsi" w:hAnsiTheme="minorHAnsi" w:eastAsiaTheme="minorEastAsia" w:cstheme="minorBidi"/>
      <w:kern w:val="2"/>
      <w:sz w:val="18"/>
      <w:szCs w:val="18"/>
    </w:rPr>
  </w:style>
  <w:style w:type="paragraph" w:customStyle="1" w:styleId="27">
    <w:name w:val="列出段落1"/>
    <w:basedOn w:val="1"/>
    <w:qFormat/>
    <w:uiPriority w:val="34"/>
    <w:pPr>
      <w:ind w:left="720"/>
      <w:contextualSpacing/>
    </w:pPr>
  </w:style>
  <w:style w:type="character" w:customStyle="1" w:styleId="28">
    <w:name w:val="正文文本缩进 2 Char"/>
    <w:basedOn w:val="21"/>
    <w:link w:val="13"/>
    <w:qFormat/>
    <w:uiPriority w:val="0"/>
    <w:rPr>
      <w:rFonts w:ascii="宋体" w:hAnsi="宋体"/>
      <w:kern w:val="2"/>
      <w:sz w:val="32"/>
    </w:rPr>
  </w:style>
  <w:style w:type="character" w:customStyle="1" w:styleId="29">
    <w:name w:val="NormalCharacter"/>
    <w:qFormat/>
    <w:uiPriority w:val="0"/>
    <w:rPr>
      <w:rFonts w:ascii="Calibri" w:hAnsi="Calibri" w:eastAsia="宋体" w:cs="宋体"/>
      <w:kern w:val="2"/>
      <w:sz w:val="21"/>
      <w:szCs w:val="22"/>
      <w:lang w:val="en-US" w:eastAsia="zh-CN" w:bidi="ar-SA"/>
    </w:rPr>
  </w:style>
  <w:style w:type="paragraph" w:customStyle="1" w:styleId="30">
    <w:name w:val="Char Char Char Char"/>
    <w:basedOn w:val="1"/>
    <w:qFormat/>
    <w:uiPriority w:val="0"/>
    <w:rPr>
      <w:rFonts w:ascii="Times New Roman" w:hAnsi="Times New Roman" w:eastAsia="宋体" w:cs="Times New Roman"/>
    </w:rPr>
  </w:style>
  <w:style w:type="paragraph" w:customStyle="1" w:styleId="31">
    <w:name w:val="列出段落2"/>
    <w:basedOn w:val="1"/>
    <w:unhideWhenUsed/>
    <w:qFormat/>
    <w:uiPriority w:val="99"/>
    <w:pPr>
      <w:ind w:firstLine="420" w:firstLineChars="200"/>
    </w:pPr>
    <w:rPr>
      <w:rFonts w:ascii="Calibri" w:hAnsi="Calibri" w:eastAsia="宋体" w:cs="Times New Roman"/>
    </w:rPr>
  </w:style>
  <w:style w:type="character" w:customStyle="1" w:styleId="32">
    <w:name w:val="正文文本 Char"/>
    <w:basedOn w:val="21"/>
    <w:link w:val="12"/>
    <w:qFormat/>
    <w:uiPriority w:val="0"/>
    <w:rPr>
      <w:rFonts w:ascii="Times New Roman" w:hAnsi="Times New Roman"/>
      <w:kern w:val="2"/>
      <w:sz w:val="21"/>
      <w:szCs w:val="24"/>
    </w:rPr>
  </w:style>
  <w:style w:type="paragraph" w:customStyle="1" w:styleId="33">
    <w:name w:val="BodyText1I2"/>
    <w:basedOn w:val="1"/>
    <w:qFormat/>
    <w:uiPriority w:val="0"/>
    <w:pPr>
      <w:spacing w:after="120"/>
      <w:ind w:left="420" w:leftChars="200" w:firstLine="420" w:firstLineChars="200"/>
      <w:textAlignment w:val="baseline"/>
    </w:pPr>
    <w:rPr>
      <w:rFonts w:ascii="Calibri" w:hAnsi="Calibri" w:eastAsia="宋体" w:cs="Times New Roman"/>
    </w:rPr>
  </w:style>
  <w:style w:type="character" w:customStyle="1" w:styleId="34">
    <w:name w:val="标题 1 Char"/>
    <w:basedOn w:val="21"/>
    <w:link w:val="2"/>
    <w:qFormat/>
    <w:uiPriority w:val="9"/>
    <w:rPr>
      <w:rFonts w:asciiTheme="majorHAnsi" w:hAnsiTheme="majorHAnsi" w:eastAsiaTheme="majorEastAsia"/>
      <w:b/>
      <w:bCs/>
      <w:kern w:val="32"/>
      <w:sz w:val="32"/>
      <w:szCs w:val="32"/>
    </w:rPr>
  </w:style>
  <w:style w:type="character" w:customStyle="1" w:styleId="35">
    <w:name w:val="标题 2 Char"/>
    <w:basedOn w:val="21"/>
    <w:link w:val="3"/>
    <w:semiHidden/>
    <w:qFormat/>
    <w:uiPriority w:val="9"/>
    <w:rPr>
      <w:rFonts w:asciiTheme="majorHAnsi" w:hAnsiTheme="majorHAnsi" w:eastAsiaTheme="majorEastAsia"/>
      <w:b/>
      <w:bCs/>
      <w:i/>
      <w:iCs/>
      <w:sz w:val="28"/>
      <w:szCs w:val="28"/>
    </w:rPr>
  </w:style>
  <w:style w:type="character" w:customStyle="1" w:styleId="36">
    <w:name w:val="标题 3 Char"/>
    <w:basedOn w:val="21"/>
    <w:link w:val="4"/>
    <w:semiHidden/>
    <w:qFormat/>
    <w:uiPriority w:val="9"/>
    <w:rPr>
      <w:rFonts w:asciiTheme="majorHAnsi" w:hAnsiTheme="majorHAnsi" w:eastAsiaTheme="majorEastAsia"/>
      <w:b/>
      <w:bCs/>
      <w:sz w:val="26"/>
      <w:szCs w:val="26"/>
    </w:rPr>
  </w:style>
  <w:style w:type="character" w:customStyle="1" w:styleId="37">
    <w:name w:val="标题 4 Char"/>
    <w:basedOn w:val="21"/>
    <w:link w:val="5"/>
    <w:semiHidden/>
    <w:qFormat/>
    <w:uiPriority w:val="9"/>
    <w:rPr>
      <w:b/>
      <w:bCs/>
      <w:sz w:val="28"/>
      <w:szCs w:val="28"/>
    </w:rPr>
  </w:style>
  <w:style w:type="character" w:customStyle="1" w:styleId="38">
    <w:name w:val="标题 5 Char"/>
    <w:basedOn w:val="21"/>
    <w:link w:val="6"/>
    <w:semiHidden/>
    <w:qFormat/>
    <w:uiPriority w:val="9"/>
    <w:rPr>
      <w:b/>
      <w:bCs/>
      <w:i/>
      <w:iCs/>
      <w:sz w:val="26"/>
      <w:szCs w:val="26"/>
    </w:rPr>
  </w:style>
  <w:style w:type="character" w:customStyle="1" w:styleId="39">
    <w:name w:val="标题 6 Char"/>
    <w:basedOn w:val="21"/>
    <w:link w:val="7"/>
    <w:semiHidden/>
    <w:qFormat/>
    <w:uiPriority w:val="9"/>
    <w:rPr>
      <w:b/>
      <w:bCs/>
    </w:rPr>
  </w:style>
  <w:style w:type="character" w:customStyle="1" w:styleId="40">
    <w:name w:val="标题 7 Char"/>
    <w:basedOn w:val="21"/>
    <w:link w:val="8"/>
    <w:semiHidden/>
    <w:qFormat/>
    <w:uiPriority w:val="9"/>
    <w:rPr>
      <w:sz w:val="24"/>
      <w:szCs w:val="24"/>
    </w:rPr>
  </w:style>
  <w:style w:type="character" w:customStyle="1" w:styleId="41">
    <w:name w:val="标题 8 Char"/>
    <w:basedOn w:val="21"/>
    <w:link w:val="9"/>
    <w:semiHidden/>
    <w:qFormat/>
    <w:uiPriority w:val="9"/>
    <w:rPr>
      <w:i/>
      <w:iCs/>
      <w:sz w:val="24"/>
      <w:szCs w:val="24"/>
    </w:rPr>
  </w:style>
  <w:style w:type="character" w:customStyle="1" w:styleId="42">
    <w:name w:val="标题 9 Char"/>
    <w:basedOn w:val="21"/>
    <w:link w:val="10"/>
    <w:semiHidden/>
    <w:qFormat/>
    <w:uiPriority w:val="9"/>
    <w:rPr>
      <w:rFonts w:asciiTheme="majorHAnsi" w:hAnsiTheme="majorHAnsi" w:eastAsiaTheme="majorEastAsia"/>
    </w:rPr>
  </w:style>
  <w:style w:type="character" w:customStyle="1" w:styleId="43">
    <w:name w:val="标题 Char"/>
    <w:basedOn w:val="21"/>
    <w:link w:val="19"/>
    <w:qFormat/>
    <w:uiPriority w:val="10"/>
    <w:rPr>
      <w:rFonts w:asciiTheme="majorHAnsi" w:hAnsiTheme="majorHAnsi" w:eastAsiaTheme="majorEastAsia"/>
      <w:b/>
      <w:bCs/>
      <w:kern w:val="28"/>
      <w:sz w:val="32"/>
      <w:szCs w:val="32"/>
    </w:rPr>
  </w:style>
  <w:style w:type="character" w:customStyle="1" w:styleId="44">
    <w:name w:val="副标题 Char"/>
    <w:basedOn w:val="21"/>
    <w:link w:val="17"/>
    <w:qFormat/>
    <w:uiPriority w:val="11"/>
    <w:rPr>
      <w:rFonts w:asciiTheme="majorHAnsi" w:hAnsiTheme="majorHAnsi" w:eastAsiaTheme="majorEastAsia"/>
      <w:sz w:val="24"/>
      <w:szCs w:val="24"/>
    </w:rPr>
  </w:style>
  <w:style w:type="paragraph" w:customStyle="1" w:styleId="45">
    <w:name w:val="无间隔1"/>
    <w:basedOn w:val="1"/>
    <w:qFormat/>
    <w:uiPriority w:val="1"/>
    <w:rPr>
      <w:rFonts w:cs="Times New Roman"/>
      <w:szCs w:val="32"/>
    </w:rPr>
  </w:style>
  <w:style w:type="paragraph" w:customStyle="1" w:styleId="46">
    <w:name w:val="引用1"/>
    <w:basedOn w:val="1"/>
    <w:next w:val="1"/>
    <w:link w:val="47"/>
    <w:qFormat/>
    <w:uiPriority w:val="29"/>
    <w:rPr>
      <w:rFonts w:cs="Times New Roman"/>
      <w:i/>
    </w:rPr>
  </w:style>
  <w:style w:type="character" w:customStyle="1" w:styleId="47">
    <w:name w:val="引用 Char"/>
    <w:basedOn w:val="21"/>
    <w:link w:val="46"/>
    <w:qFormat/>
    <w:uiPriority w:val="29"/>
    <w:rPr>
      <w:i/>
      <w:sz w:val="24"/>
      <w:szCs w:val="24"/>
    </w:rPr>
  </w:style>
  <w:style w:type="paragraph" w:customStyle="1" w:styleId="48">
    <w:name w:val="明显引用1"/>
    <w:basedOn w:val="1"/>
    <w:next w:val="1"/>
    <w:link w:val="49"/>
    <w:qFormat/>
    <w:uiPriority w:val="30"/>
    <w:pPr>
      <w:ind w:left="720" w:right="720"/>
    </w:pPr>
    <w:rPr>
      <w:rFonts w:cs="Times New Roman"/>
      <w:b/>
      <w:i/>
      <w:szCs w:val="22"/>
    </w:rPr>
  </w:style>
  <w:style w:type="character" w:customStyle="1" w:styleId="49">
    <w:name w:val="明显引用 Char"/>
    <w:basedOn w:val="21"/>
    <w:link w:val="48"/>
    <w:qFormat/>
    <w:uiPriority w:val="30"/>
    <w:rPr>
      <w:b/>
      <w:i/>
      <w:sz w:val="24"/>
    </w:rPr>
  </w:style>
  <w:style w:type="character" w:customStyle="1" w:styleId="50">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51">
    <w:name w:val="明显强调1"/>
    <w:basedOn w:val="21"/>
    <w:qFormat/>
    <w:uiPriority w:val="21"/>
    <w:rPr>
      <w:b/>
      <w:i/>
      <w:sz w:val="24"/>
      <w:szCs w:val="24"/>
      <w:u w:val="single"/>
    </w:rPr>
  </w:style>
  <w:style w:type="character" w:customStyle="1" w:styleId="52">
    <w:name w:val="不明显参考1"/>
    <w:basedOn w:val="21"/>
    <w:qFormat/>
    <w:uiPriority w:val="31"/>
    <w:rPr>
      <w:sz w:val="24"/>
      <w:szCs w:val="24"/>
      <w:u w:val="single"/>
    </w:rPr>
  </w:style>
  <w:style w:type="character" w:customStyle="1" w:styleId="53">
    <w:name w:val="明显参考1"/>
    <w:basedOn w:val="21"/>
    <w:qFormat/>
    <w:uiPriority w:val="32"/>
    <w:rPr>
      <w:b/>
      <w:sz w:val="24"/>
      <w:u w:val="single"/>
    </w:rPr>
  </w:style>
  <w:style w:type="character" w:customStyle="1" w:styleId="54">
    <w:name w:val="书籍标题1"/>
    <w:basedOn w:val="21"/>
    <w:qFormat/>
    <w:uiPriority w:val="33"/>
    <w:rPr>
      <w:rFonts w:asciiTheme="majorHAnsi" w:hAnsiTheme="majorHAnsi" w:eastAsiaTheme="majorEastAsia"/>
      <w:b/>
      <w:i/>
      <w:sz w:val="24"/>
      <w:szCs w:val="24"/>
    </w:rPr>
  </w:style>
  <w:style w:type="paragraph" w:customStyle="1" w:styleId="55">
    <w:name w:val="TOC 标题1"/>
    <w:basedOn w:val="2"/>
    <w:next w:val="1"/>
    <w:unhideWhenUsed/>
    <w:qFormat/>
    <w:uiPriority w:val="39"/>
    <w:pPr>
      <w:outlineLvl w:val="9"/>
    </w:pPr>
  </w:style>
  <w:style w:type="character" w:customStyle="1" w:styleId="56">
    <w:name w:val="批注框文本 Char"/>
    <w:basedOn w:val="21"/>
    <w:link w:val="14"/>
    <w:qFormat/>
    <w:uiPriority w:val="0"/>
    <w:rPr>
      <w:rFonts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chart" Target="charts/chart9.xml"/><Relationship Id="rId12" Type="http://schemas.openxmlformats.org/officeDocument/2006/relationships/chart" Target="charts/chart8.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2021&#24180;&#24037;&#20316;\2020&#24180;&#32479;&#35745;&#20844;&#25253;\2020&#24180;&#32479;&#35745;&#20844;&#25253;&#22270;&#34920;&#38598;&#2463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21&#24180;&#24037;&#20316;\2020&#24180;&#32479;&#35745;&#20844;&#25253;\2020&#24180;&#32479;&#35745;&#20844;&#25253;&#22270;&#34920;&#38598;&#24635;(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HKTJJ\Desktop\2020&#24180;&#32479;&#35745;&#20844;&#25253;&#22270;&#34920;&#38598;&#2463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21&#24180;&#24037;&#20316;\2020&#24180;&#32479;&#35745;&#20844;&#25253;\2020&#24180;&#32479;&#35745;&#20844;&#25253;&#22270;&#34920;&#38598;&#2463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ocuments\WeChat%20Files\wxid_ky9732udji6m22\FileStorage\File\2021-01\2020&#24180;&#32479;&#35745;&#20844;&#25253;&#22270;&#34920;&#38598;&#24635;.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021&#24180;&#24037;&#20316;\2020&#24180;&#32479;&#35745;&#20844;&#25253;\2020&#24180;&#32479;&#35745;&#20844;&#25253;&#22270;&#34920;&#38598;&#24635;.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2021&#24180;&#24037;&#20316;\2020&#24180;&#32479;&#35745;&#20844;&#25253;\2020&#24180;&#32479;&#35745;&#20844;&#25253;&#22270;&#34920;&#38598;&#24635;.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ocuments\WeChat%20Files\wxid_ky9732udji6m22\FileStorage\File\2021-01\2020&#24180;&#32479;&#35745;&#20844;&#25253;&#22270;&#34920;&#38598;&#2463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HKTJJ\Desktop\2020&#24180;&#32479;&#35745;&#20844;&#25253;&#22270;&#34920;&#38598;&#2463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200" b="0" i="0" u="none" strike="noStrike" kern="1200" spc="0" baseline="0">
                <a:solidFill>
                  <a:schemeClr val="tx1">
                    <a:lumMod val="65000"/>
                    <a:lumOff val="35000"/>
                  </a:schemeClr>
                </a:solidFill>
                <a:latin typeface="+mn-lt"/>
                <a:ea typeface="+mn-ea"/>
                <a:cs typeface="+mn-cs"/>
              </a:defRPr>
            </a:pPr>
            <a:r>
              <a:rPr lang="zh-CN" altLang="en-US" sz="1200" b="1">
                <a:latin typeface="+mj-ea"/>
                <a:ea typeface="+mj-ea"/>
                <a:cs typeface="+mj-ea"/>
              </a:rPr>
              <a:t>图</a:t>
            </a:r>
            <a:r>
              <a:rPr lang="en-US" altLang="zh-CN" sz="1200" b="1">
                <a:latin typeface="+mj-ea"/>
                <a:ea typeface="+mj-ea"/>
                <a:cs typeface="+mj-ea"/>
              </a:rPr>
              <a:t>1  2015-2020</a:t>
            </a:r>
            <a:r>
              <a:rPr lang="zh-CN" altLang="en-US" sz="1200" b="1">
                <a:latin typeface="+mj-ea"/>
                <a:ea typeface="+mj-ea"/>
                <a:cs typeface="+mj-ea"/>
              </a:rPr>
              <a:t>年地区生产总值增长速度</a:t>
            </a:r>
            <a:endParaRPr lang="zh-CN" altLang="en-US" sz="1200" b="1">
              <a:latin typeface="+mj-ea"/>
              <a:ea typeface="+mj-ea"/>
              <a:cs typeface="+mj-ea"/>
            </a:endParaRPr>
          </a:p>
        </c:rich>
      </c:tx>
      <c:layout>
        <c:manualLayout>
          <c:xMode val="edge"/>
          <c:yMode val="edge"/>
          <c:x val="0.225555555555556"/>
          <c:y val="0.00664599025254763"/>
        </c:manualLayout>
      </c:layout>
      <c:overlay val="false"/>
      <c:spPr>
        <a:noFill/>
        <a:ln>
          <a:noFill/>
        </a:ln>
        <a:effectLst/>
      </c:spPr>
    </c:title>
    <c:autoTitleDeleted val="false"/>
    <c:plotArea>
      <c:layout>
        <c:manualLayout>
          <c:layoutTarget val="inner"/>
          <c:xMode val="edge"/>
          <c:yMode val="edge"/>
          <c:x val="0.0698055555555556"/>
          <c:y val="0.205513950073421"/>
          <c:w val="0.901027777777778"/>
          <c:h val="0.711666666666667"/>
        </c:manualLayout>
      </c:layout>
      <c:lineChart>
        <c:grouping val="standard"/>
        <c:varyColors val="false"/>
        <c:ser>
          <c:idx val="0"/>
          <c:order val="0"/>
          <c:tx>
            <c:strRef>
              <c:f>[2020年统计公报图表集总.xlsx]gdp增速!$B$2</c:f>
              <c:strCache>
                <c:ptCount val="1"/>
                <c:pt idx="0">
                  <c:v>比上年增长</c:v>
                </c:pt>
              </c:strCache>
            </c:strRef>
          </c:tx>
          <c:spPr>
            <a:ln w="28575" cap="rnd">
              <a:solidFill>
                <a:schemeClr val="accent1"/>
              </a:solidFill>
              <a:round/>
            </a:ln>
            <a:effectLst/>
          </c:spPr>
          <c:marker>
            <c:symbol val="circle"/>
            <c:size val="5"/>
            <c:spPr>
              <a:solidFill>
                <a:sysClr val="window" lastClr="FFFFFF"/>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[2020年统计公报图表集总.xlsx]gdp增速!$A$3:$A$8</c:f>
              <c:strCache>
                <c:ptCount val="6"/>
                <c:pt idx="0">
                  <c:v>2015年</c:v>
                </c:pt>
                <c:pt idx="1">
                  <c:v>2016年</c:v>
                </c:pt>
                <c:pt idx="2">
                  <c:v>2017年</c:v>
                </c:pt>
                <c:pt idx="3">
                  <c:v>2018年</c:v>
                </c:pt>
                <c:pt idx="4">
                  <c:v>2019年</c:v>
                </c:pt>
                <c:pt idx="5">
                  <c:v>2020年</c:v>
                </c:pt>
              </c:strCache>
            </c:strRef>
          </c:cat>
          <c:val>
            <c:numRef>
              <c:f>[2020年统计公报图表集总.xlsx]gdp增速!$B$3:$B$8</c:f>
              <c:numCache>
                <c:formatCode>0.0_ </c:formatCode>
                <c:ptCount val="6"/>
                <c:pt idx="0">
                  <c:v>7.5</c:v>
                </c:pt>
                <c:pt idx="1">
                  <c:v>7.7</c:v>
                </c:pt>
                <c:pt idx="2">
                  <c:v>7.5</c:v>
                </c:pt>
                <c:pt idx="3">
                  <c:v>7.6</c:v>
                </c:pt>
                <c:pt idx="4">
                  <c:v>7.5</c:v>
                </c:pt>
                <c:pt idx="5">
                  <c:v>5.3</c:v>
                </c:pt>
              </c:numCache>
            </c:numRef>
          </c:val>
          <c:smooth val="false"/>
        </c:ser>
        <c:dLbls>
          <c:showLegendKey val="false"/>
          <c:showVal val="false"/>
          <c:showCatName val="false"/>
          <c:showSerName val="false"/>
          <c:showPercent val="false"/>
          <c:showBubbleSize val="false"/>
        </c:dLbls>
        <c:marker val="true"/>
        <c:smooth val="false"/>
        <c:axId val="292963568"/>
        <c:axId val="292961216"/>
      </c:lineChart>
      <c:catAx>
        <c:axId val="292963568"/>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92961216"/>
        <c:crosses val="autoZero"/>
        <c:auto val="true"/>
        <c:lblAlgn val="ctr"/>
        <c:lblOffset val="100"/>
        <c:noMultiLvlLbl val="false"/>
      </c:catAx>
      <c:valAx>
        <c:axId val="292961216"/>
        <c:scaling>
          <c:orientation val="minMax"/>
          <c:max val="10"/>
          <c:min val="5"/>
        </c:scaling>
        <c:delete val="false"/>
        <c:axPos val="l"/>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true"/>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a:t>
                </a:r>
                <a:endParaRPr lang="en-US" altLang="zh-CN"/>
              </a:p>
            </c:rich>
          </c:tx>
          <c:layout>
            <c:manualLayout>
              <c:xMode val="edge"/>
              <c:yMode val="edge"/>
              <c:x val="0.0313492063492063"/>
              <c:y val="0.106905916729705"/>
            </c:manualLayout>
          </c:layout>
          <c:overlay val="false"/>
          <c:spPr>
            <a:noFill/>
            <a:ln>
              <a:noFill/>
            </a:ln>
            <a:effectLst/>
          </c:spPr>
        </c:title>
        <c:numFmt formatCode="General" sourceLinked="fals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92963568"/>
        <c:crosses val="autoZero"/>
        <c:crossBetween val="between"/>
        <c:majorUnit val="1"/>
      </c:valAx>
      <c:spPr>
        <a:noFill/>
        <a:ln>
          <a:noFill/>
        </a:ln>
        <a:effectLst/>
      </c:spPr>
    </c:plotArea>
    <c:legend>
      <c:legendPos val="t"/>
      <c:layout>
        <c:manualLayout>
          <c:xMode val="edge"/>
          <c:yMode val="edge"/>
          <c:x val="0.393363095238095"/>
          <c:y val="0.0882734070428156"/>
        </c:manualLayout>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lgn="ctr">
              <a:defRPr lang="zh-CN" sz="1400" b="0" i="0" u="none" strike="noStrike" kern="1200" baseline="0">
                <a:solidFill>
                  <a:srgbClr val="000000"/>
                </a:solidFill>
                <a:latin typeface="宋体" charset="-122"/>
                <a:ea typeface="宋体" charset="-122"/>
                <a:cs typeface="宋体" charset="-122"/>
              </a:defRPr>
            </a:pPr>
            <a:r>
              <a:rPr lang="zh-CN" altLang="zh-CN" sz="1200"/>
              <a:t>图</a:t>
            </a:r>
            <a:r>
              <a:rPr lang="en-US" altLang="zh-CN" sz="1200"/>
              <a:t>2  </a:t>
            </a:r>
            <a:r>
              <a:rPr lang="zh-CN" altLang="zh-CN" sz="1200"/>
              <a:t>2015-2020年度地方一般公共预算收入及其增长速度</a:t>
            </a:r>
            <a:endParaRPr lang="zh-CN" altLang="zh-CN" sz="1200"/>
          </a:p>
        </c:rich>
      </c:tx>
      <c:layout/>
      <c:overlay val="false"/>
      <c:spPr>
        <a:noFill/>
        <a:ln>
          <a:noFill/>
        </a:ln>
      </c:spPr>
    </c:title>
    <c:autoTitleDeleted val="false"/>
    <c:plotArea>
      <c:layout>
        <c:manualLayout>
          <c:layoutTarget val="inner"/>
          <c:xMode val="edge"/>
          <c:yMode val="edge"/>
          <c:x val="0.105891181988743"/>
          <c:y val="0.197743861977439"/>
          <c:w val="0.81661038148843"/>
          <c:h val="0.697312541473125"/>
        </c:manualLayout>
      </c:layout>
      <c:barChart>
        <c:barDir val="col"/>
        <c:grouping val="clustered"/>
        <c:varyColors val="false"/>
        <c:ser>
          <c:idx val="0"/>
          <c:order val="0"/>
          <c:tx>
            <c:strRef>
              <c:f>'[2020年统计公报图表集总(1).xlsx]财政总收入及其增长速度'!$B$1</c:f>
              <c:strCache>
                <c:ptCount val="1"/>
                <c:pt idx="0">
                  <c:v>地方一般公共预算收入</c:v>
                </c:pt>
              </c:strCache>
            </c:strRef>
          </c:tx>
          <c:spPr>
            <a:solidFill>
              <a:srgbClr val="4F81BD"/>
            </a:solidFill>
            <a:ln>
              <a:noFill/>
            </a:ln>
          </c:spPr>
          <c:invertIfNegative val="false"/>
          <c:dPt>
            <c:idx val="0"/>
            <c:invertIfNegative val="false"/>
            <c:bubble3D val="false"/>
          </c:dPt>
          <c:dPt>
            <c:idx val="1"/>
            <c:invertIfNegative val="false"/>
            <c:bubble3D val="false"/>
          </c:dPt>
          <c:dPt>
            <c:idx val="2"/>
            <c:invertIfNegative val="false"/>
            <c:bubble3D val="false"/>
          </c:dPt>
          <c:dPt>
            <c:idx val="3"/>
            <c:invertIfNegative val="false"/>
            <c:bubble3D val="false"/>
          </c:dPt>
          <c:dPt>
            <c:idx val="4"/>
            <c:invertIfNegative val="false"/>
            <c:bubble3D val="false"/>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宋体" charset="-122"/>
                    <a:ea typeface="宋体" charset="-122"/>
                    <a:cs typeface="宋体"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'[2020年统计公报图表集总(1).xlsx]财政总收入及其增长速度'!$A$2:$A$7</c:f>
              <c:strCache>
                <c:ptCount val="6"/>
                <c:pt idx="0">
                  <c:v>2015年</c:v>
                </c:pt>
                <c:pt idx="1">
                  <c:v>2016年</c:v>
                </c:pt>
                <c:pt idx="2">
                  <c:v>2017年</c:v>
                </c:pt>
                <c:pt idx="3">
                  <c:v>2018年</c:v>
                </c:pt>
                <c:pt idx="4">
                  <c:v>2019年</c:v>
                </c:pt>
                <c:pt idx="5">
                  <c:v>2020年</c:v>
                </c:pt>
              </c:strCache>
            </c:strRef>
          </c:cat>
          <c:val>
            <c:numRef>
              <c:f>'[2020年统计公报图表集总(1).xlsx]财政总收入及其增长速度'!$B$2:$B$7</c:f>
              <c:numCache>
                <c:formatCode>0.00_ </c:formatCode>
                <c:ptCount val="6"/>
                <c:pt idx="0">
                  <c:v>111.5042</c:v>
                </c:pt>
                <c:pt idx="1">
                  <c:v>115.5064</c:v>
                </c:pt>
                <c:pt idx="2">
                  <c:v>125.3645</c:v>
                </c:pt>
                <c:pt idx="3">
                  <c:v>169.8793</c:v>
                </c:pt>
                <c:pt idx="4">
                  <c:v>185.3425</c:v>
                </c:pt>
                <c:pt idx="5">
                  <c:v>186.1</c:v>
                </c:pt>
              </c:numCache>
            </c:numRef>
          </c:val>
        </c:ser>
        <c:dLbls>
          <c:showLegendKey val="false"/>
          <c:showVal val="false"/>
          <c:showCatName val="false"/>
          <c:showSerName val="false"/>
          <c:showPercent val="false"/>
          <c:showBubbleSize val="false"/>
        </c:dLbls>
        <c:gapWidth val="219"/>
        <c:overlap val="-27"/>
        <c:axId val="296760552"/>
        <c:axId val="296761728"/>
      </c:barChart>
      <c:lineChart>
        <c:grouping val="standard"/>
        <c:varyColors val="false"/>
        <c:ser>
          <c:idx val="1"/>
          <c:order val="1"/>
          <c:tx>
            <c:strRef>
              <c:f>'[2020年统计公报图表集总(1).xlsx]财政总收入及其增长速度'!$C$1</c:f>
              <c:strCache>
                <c:ptCount val="1"/>
                <c:pt idx="0">
                  <c:v>增速</c:v>
                </c:pt>
              </c:strCache>
            </c:strRef>
          </c:tx>
          <c:spPr>
            <a:ln w="25400" cap="rnd" cmpd="sng" algn="ctr">
              <a:solidFill>
                <a:srgbClr val="C0504D"/>
              </a:solidFill>
              <a:prstDash val="solid"/>
              <a:round/>
            </a:ln>
          </c:spPr>
          <c:marker>
            <c:symbol val="circle"/>
            <c:size val="5"/>
            <c:spPr>
              <a:solidFill>
                <a:srgbClr val="FFFFFF"/>
              </a:solidFill>
              <a:ln w="9525" cap="flat" cmpd="sng" algn="ctr">
                <a:solidFill>
                  <a:srgbClr val="C0504D"/>
                </a:solidFill>
                <a:prstDash val="solid"/>
                <a:round/>
              </a:ln>
            </c:spPr>
          </c:marker>
          <c:dLbls>
            <c:dLbl>
              <c:idx val="0"/>
              <c:layout>
                <c:manualLayout>
                  <c:x val="0.00762537326797819"/>
                  <c:y val="0.0118394772154476"/>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702347256991355"/>
                  <c:y val="0.0183454427797413"/>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0761109791722634"/>
                  <c:y val="0.0175216486308589"/>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宋体" charset="-122"/>
                    <a:ea typeface="宋体" charset="-122"/>
                    <a:cs typeface="宋体" charset="-122"/>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'[2020年统计公报图表集总(1).xlsx]财政总收入及其增长速度'!$A$2:$A$7</c:f>
              <c:strCache>
                <c:ptCount val="6"/>
                <c:pt idx="0">
                  <c:v>2015年</c:v>
                </c:pt>
                <c:pt idx="1">
                  <c:v>2016年</c:v>
                </c:pt>
                <c:pt idx="2">
                  <c:v>2017年</c:v>
                </c:pt>
                <c:pt idx="3">
                  <c:v>2018年</c:v>
                </c:pt>
                <c:pt idx="4">
                  <c:v>2019年</c:v>
                </c:pt>
                <c:pt idx="5">
                  <c:v>2020年</c:v>
                </c:pt>
              </c:strCache>
            </c:strRef>
          </c:cat>
          <c:val>
            <c:numRef>
              <c:f>'[2020年统计公报图表集总(1).xlsx]财政总收入及其增长速度'!$C$2:$C$7</c:f>
              <c:numCache>
                <c:formatCode>General</c:formatCode>
                <c:ptCount val="6"/>
                <c:pt idx="0">
                  <c:v>9.4</c:v>
                </c:pt>
                <c:pt idx="1">
                  <c:v>11.2</c:v>
                </c:pt>
                <c:pt idx="2">
                  <c:v>12.8</c:v>
                </c:pt>
                <c:pt idx="3" c:formatCode="0.0_ ">
                  <c:v>13.9</c:v>
                </c:pt>
                <c:pt idx="4" c:formatCode="0.0_ ">
                  <c:v>9.1</c:v>
                </c:pt>
                <c:pt idx="5">
                  <c:v>0.4</c:v>
                </c:pt>
              </c:numCache>
            </c:numRef>
          </c:val>
          <c:smooth val="false"/>
        </c:ser>
        <c:dLbls>
          <c:showLegendKey val="false"/>
          <c:showVal val="false"/>
          <c:showCatName val="false"/>
          <c:showSerName val="false"/>
          <c:showPercent val="false"/>
          <c:showBubbleSize val="false"/>
        </c:dLbls>
        <c:marker val="true"/>
        <c:smooth val="false"/>
        <c:axId val="296761336"/>
        <c:axId val="296760944"/>
      </c:lineChart>
      <c:catAx>
        <c:axId val="296760552"/>
        <c:scaling>
          <c:orientation val="minMax"/>
        </c:scaling>
        <c:delete val="false"/>
        <c:axPos val="b"/>
        <c:title>
          <c:tx>
            <c:rich>
              <a:bodyPr rot="0" spcFirstLastPara="0" vertOverflow="ellipsis" vert="horz" wrap="square" anchor="ctr" anchorCtr="true"/>
              <a:lstStyle/>
              <a:p>
                <a:pPr defTabSz="914400">
                  <a:defRPr lang="zh-CN" sz="1000" b="0" i="0" u="none" strike="noStrike" kern="1200" baseline="0">
                    <a:solidFill>
                      <a:srgbClr val="000000"/>
                    </a:solidFill>
                    <a:latin typeface="宋体" charset="-122"/>
                    <a:ea typeface="宋体" charset="-122"/>
                    <a:cs typeface="宋体" charset="-122"/>
                  </a:defRPr>
                </a:pPr>
                <a:r>
                  <a:rPr lang="zh-CN" altLang="en-US"/>
                  <a:t>亿元</a:t>
                </a:r>
                <a:endParaRPr lang="zh-CN" altLang="en-US"/>
              </a:p>
            </c:rich>
          </c:tx>
          <c:layout>
            <c:manualLayout>
              <c:xMode val="edge"/>
              <c:yMode val="edge"/>
              <c:x val="0.0416116283588332"/>
              <c:y val="0.109155237922617"/>
            </c:manualLayout>
          </c:layout>
          <c:overlay val="false"/>
        </c:title>
        <c:numFmt formatCode="General" sourceLinked="false"/>
        <c:majorTickMark val="none"/>
        <c:minorTickMark val="none"/>
        <c:tickLblPos val="nextTo"/>
        <c:spPr>
          <a:ln w="3175" cap="flat" cmpd="sng" algn="ctr">
            <a:solidFill>
              <a:srgbClr val="000000"/>
            </a:solidFill>
            <a:prstDash val="solid"/>
            <a:round/>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crossAx val="296761728"/>
        <c:crosses val="autoZero"/>
        <c:auto val="false"/>
        <c:lblAlgn val="ctr"/>
        <c:lblOffset val="100"/>
        <c:tickLblSkip val="1"/>
        <c:noMultiLvlLbl val="false"/>
      </c:catAx>
      <c:valAx>
        <c:axId val="296761728"/>
        <c:scaling>
          <c:orientation val="minMax"/>
        </c:scaling>
        <c:delete val="false"/>
        <c:axPos val="l"/>
        <c:majorGridlines>
          <c:spPr>
            <a:ln w="15875" cap="flat" cmpd="sng" algn="ctr">
              <a:solidFill>
                <a:schemeClr val="bg1">
                  <a:lumMod val="95000"/>
                </a:schemeClr>
              </a:solidFill>
              <a:prstDash val="solid"/>
              <a:round/>
            </a:ln>
          </c:spPr>
        </c:majorGridlines>
        <c:numFmt formatCode="0_);[Red]\(0\)" sourceLinked="false"/>
        <c:majorTickMark val="none"/>
        <c:minorTickMark val="none"/>
        <c:tickLblPos val="nextTo"/>
        <c:spPr>
          <a:ln w="9525" cap="flat" cmpd="sng" algn="ctr">
            <a:noFill/>
            <a:prstDash val="solid"/>
            <a:round/>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crossAx val="296760552"/>
        <c:crosses val="autoZero"/>
        <c:crossBetween val="between"/>
        <c:majorUnit val="50"/>
      </c:valAx>
      <c:catAx>
        <c:axId val="296761336"/>
        <c:scaling>
          <c:orientation val="minMax"/>
        </c:scaling>
        <c:delete val="true"/>
        <c:axPos val="b"/>
        <c:title>
          <c:tx>
            <c:rich>
              <a:bodyPr rot="0" spcFirstLastPara="0" vertOverflow="ellipsis" vert="horz" wrap="square" anchor="ctr" anchorCtr="true"/>
              <a:lstStyle/>
              <a:p>
                <a:pPr defTabSz="914400">
                  <a:defRPr lang="zh-CN" sz="1000" b="0" i="0" u="none" strike="noStrike" kern="1200" baseline="0">
                    <a:solidFill>
                      <a:srgbClr val="000000"/>
                    </a:solidFill>
                    <a:latin typeface="宋体" charset="-122"/>
                    <a:ea typeface="宋体" charset="-122"/>
                    <a:cs typeface="宋体" charset="-122"/>
                  </a:defRPr>
                </a:pPr>
                <a:r>
                  <a:rPr lang="en-US" altLang="zh-CN"/>
                  <a:t>%</a:t>
                </a:r>
                <a:endParaRPr lang="en-US" altLang="zh-CN"/>
              </a:p>
            </c:rich>
          </c:tx>
          <c:layout>
            <c:manualLayout>
              <c:xMode val="edge"/>
              <c:yMode val="edge"/>
              <c:x val="0.939651605169898"/>
              <c:y val="0.114473284877291"/>
            </c:manualLayout>
          </c:layout>
          <c:overlay val="false"/>
        </c:title>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rgbClr val="000000"/>
                </a:solidFill>
                <a:latin typeface="宋体" charset="-122"/>
                <a:ea typeface="宋体" charset="-122"/>
                <a:cs typeface="宋体" charset="-122"/>
              </a:defRPr>
            </a:pPr>
          </a:p>
        </c:txPr>
        <c:crossAx val="296760944"/>
        <c:crosses val="autoZero"/>
        <c:auto val="false"/>
        <c:lblAlgn val="ctr"/>
        <c:lblOffset val="100"/>
        <c:tickLblSkip val="1"/>
        <c:noMultiLvlLbl val="false"/>
      </c:catAx>
      <c:valAx>
        <c:axId val="296760944"/>
        <c:scaling>
          <c:orientation val="minMax"/>
          <c:max val="20"/>
        </c:scaling>
        <c:delete val="false"/>
        <c:axPos val="r"/>
        <c:numFmt formatCode="General" sourceLinked="true"/>
        <c:majorTickMark val="none"/>
        <c:minorTickMark val="none"/>
        <c:tickLblPos val="nextTo"/>
        <c:spPr>
          <a:ln w="9525" cap="flat" cmpd="sng" algn="ctr">
            <a:noFill/>
            <a:prstDash val="solid"/>
            <a:round/>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crossAx val="296761336"/>
        <c:crosses val="max"/>
        <c:crossBetween val="between"/>
        <c:majorUnit val="5"/>
      </c:valAx>
      <c:spPr>
        <a:noFill/>
        <a:ln>
          <a:noFill/>
        </a:ln>
      </c:spPr>
    </c:plotArea>
    <c:legend>
      <c:legendPos val="t"/>
      <c:layout/>
      <c:overlay val="false"/>
      <c:txPr>
        <a:bodyPr rot="0" spcFirstLastPara="0" vertOverflow="ellipsis" vert="horz" wrap="square" anchor="ctr" anchorCtr="true"/>
        <a:lstStyle/>
        <a:p>
          <a:pPr>
            <a:defRPr lang="zh-CN" sz="1000" b="0" i="0" u="none" strike="noStrike" kern="1200" baseline="0">
              <a:solidFill>
                <a:srgbClr val="000000"/>
              </a:solidFill>
              <a:latin typeface="宋体" charset="-122"/>
              <a:ea typeface="宋体" charset="-122"/>
              <a:cs typeface="宋体" charset="-122"/>
            </a:defRPr>
          </a:pPr>
        </a:p>
      </c:txPr>
    </c:legend>
    <c:plotVisOnly val="true"/>
    <c:dispBlanksAs val="gap"/>
    <c:showDLblsOverMax val="false"/>
  </c:chart>
  <c:spPr>
    <a:solidFill>
      <a:srgbClr val="FFFFFF"/>
    </a:solidFill>
    <a:ln w="3175" cap="flat" cmpd="sng" algn="ctr">
      <a:noFill/>
      <a:prstDash val="solid"/>
      <a:round/>
    </a:ln>
  </c:spPr>
  <c:txPr>
    <a:bodyPr/>
    <a:lstStyle/>
    <a:p>
      <a:pPr>
        <a:defRPr lang="zh-CN" sz="1000"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200" b="1">
                <a:latin typeface="+mj-ea"/>
                <a:ea typeface="+mj-ea"/>
                <a:cs typeface="+mj-ea"/>
              </a:rPr>
              <a:t>图</a:t>
            </a:r>
            <a:r>
              <a:rPr lang="en-US" altLang="zh-CN" sz="1200" b="1">
                <a:latin typeface="+mj-ea"/>
                <a:ea typeface="+mj-ea"/>
                <a:cs typeface="+mj-ea"/>
              </a:rPr>
              <a:t>3  2015-2020</a:t>
            </a:r>
            <a:r>
              <a:rPr lang="zh-CN" altLang="en-US" sz="1200" b="1">
                <a:latin typeface="+mj-ea"/>
                <a:ea typeface="+mj-ea"/>
                <a:cs typeface="+mj-ea"/>
              </a:rPr>
              <a:t>年固定资产投资增长速度</a:t>
            </a:r>
            <a:endParaRPr lang="zh-CN" altLang="en-US" sz="1200" b="1">
              <a:latin typeface="+mj-ea"/>
              <a:ea typeface="+mj-ea"/>
              <a:cs typeface="+mj-ea"/>
            </a:endParaRPr>
          </a:p>
        </c:rich>
      </c:tx>
      <c:layout>
        <c:manualLayout>
          <c:xMode val="edge"/>
          <c:yMode val="edge"/>
          <c:x val="0.194722222222222"/>
          <c:y val="0.00993377483443709"/>
        </c:manualLayout>
      </c:layout>
      <c:overlay val="false"/>
      <c:spPr>
        <a:noFill/>
        <a:ln>
          <a:noFill/>
        </a:ln>
        <a:effectLst/>
      </c:spPr>
    </c:title>
    <c:autoTitleDeleted val="false"/>
    <c:plotArea>
      <c:layout>
        <c:manualLayout>
          <c:layoutTarget val="inner"/>
          <c:xMode val="edge"/>
          <c:yMode val="edge"/>
          <c:x val="0.0754999999999997"/>
          <c:y val="0.218852097130243"/>
          <c:w val="0.88075"/>
          <c:h val="0.683222958057395"/>
        </c:manualLayout>
      </c:layout>
      <c:lineChart>
        <c:grouping val="standard"/>
        <c:varyColors val="false"/>
        <c:ser>
          <c:idx val="0"/>
          <c:order val="0"/>
          <c:tx>
            <c:strRef>
              <c:f>[2020年统计公报图表集总.xlsx]固定资产投资!$B$2</c:f>
              <c:strCache>
                <c:ptCount val="1"/>
                <c:pt idx="0">
                  <c:v>比上年增长</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strRef>
              <c:f>[2020年统计公报图表集总.xlsx]固定资产投资!$A$3:$A$8</c:f>
              <c:strCache>
                <c:ptCount val="6"/>
                <c:pt idx="0">
                  <c:v>2015年</c:v>
                </c:pt>
                <c:pt idx="1">
                  <c:v>2016年</c:v>
                </c:pt>
                <c:pt idx="2">
                  <c:v>2017年</c:v>
                </c:pt>
                <c:pt idx="3">
                  <c:v>2018年</c:v>
                </c:pt>
                <c:pt idx="4">
                  <c:v>2019年</c:v>
                </c:pt>
                <c:pt idx="5">
                  <c:v>2020年</c:v>
                </c:pt>
              </c:strCache>
            </c:strRef>
          </c:cat>
          <c:val>
            <c:numRef>
              <c:f>[2020年统计公报图表集总.xlsx]固定资产投资!$B$3:$B$8</c:f>
              <c:numCache>
                <c:formatCode>0.0_ </c:formatCode>
                <c:ptCount val="6"/>
                <c:pt idx="0">
                  <c:v>23.1903577934726</c:v>
                </c:pt>
                <c:pt idx="1">
                  <c:v>25.7</c:v>
                </c:pt>
                <c:pt idx="2">
                  <c:v>11.3054083477723</c:v>
                </c:pt>
                <c:pt idx="3">
                  <c:v>-6.2</c:v>
                </c:pt>
                <c:pt idx="4">
                  <c:v>-15.4</c:v>
                </c:pt>
                <c:pt idx="5">
                  <c:v>9.9</c:v>
                </c:pt>
              </c:numCache>
            </c:numRef>
          </c:val>
          <c:smooth val="false"/>
        </c:ser>
        <c:dLbls>
          <c:showLegendKey val="false"/>
          <c:showVal val="true"/>
          <c:showCatName val="false"/>
          <c:showSerName val="false"/>
          <c:showPercent val="false"/>
          <c:showBubbleSize val="false"/>
        </c:dLbls>
        <c:marker val="true"/>
        <c:smooth val="false"/>
        <c:axId val="296759768"/>
        <c:axId val="296762120"/>
      </c:lineChart>
      <c:catAx>
        <c:axId val="296759768"/>
        <c:scaling>
          <c:orientation val="minMax"/>
        </c:scaling>
        <c:delete val="false"/>
        <c:axPos val="b"/>
        <c:title>
          <c:tx>
            <c:rich>
              <a:bodyPr rot="0" spcFirstLastPara="0" vertOverflow="ellipsis" vert="horz" wrap="square" anchor="ctr" anchorCtr="true"/>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a:t>
                </a:r>
                <a:endParaRPr lang="en-US" altLang="zh-CN"/>
              </a:p>
            </c:rich>
          </c:tx>
          <c:layout>
            <c:manualLayout>
              <c:xMode val="edge"/>
              <c:yMode val="edge"/>
              <c:x val="0.0301111111111111"/>
              <c:y val="0.132891832229581"/>
            </c:manualLayout>
          </c:layout>
          <c:overlay val="false"/>
          <c:spPr>
            <a:noFill/>
            <a:ln>
              <a:noFill/>
            </a:ln>
            <a:effectLst/>
          </c:spPr>
        </c:title>
        <c:numFmt formatCode="General" sourceLinked="false"/>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96762120"/>
        <c:crosses val="autoZero"/>
        <c:auto val="true"/>
        <c:lblAlgn val="ctr"/>
        <c:lblOffset val="100"/>
        <c:noMultiLvlLbl val="false"/>
      </c:catAx>
      <c:valAx>
        <c:axId val="296762120"/>
        <c:scaling>
          <c:orientation val="minMax"/>
        </c:scaling>
        <c:delete val="false"/>
        <c:axPos val="l"/>
        <c:majorGridlines>
          <c:spPr>
            <a:ln w="9525" cap="flat" cmpd="sng" algn="ctr">
              <a:solidFill>
                <a:schemeClr val="tx1">
                  <a:lumMod val="15000"/>
                  <a:lumOff val="85000"/>
                </a:schemeClr>
              </a:solidFill>
              <a:round/>
            </a:ln>
            <a:effectLst/>
          </c:spPr>
        </c:majorGridlines>
        <c:numFmt formatCode="0.0_ "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96759768"/>
        <c:crosses val="autoZero"/>
        <c:crossBetween val="between"/>
      </c:valAx>
      <c:spPr>
        <a:noFill/>
        <a:ln>
          <a:noFill/>
        </a:ln>
        <a:effectLst/>
      </c:spPr>
    </c:plotArea>
    <c:legend>
      <c:legendPos val="t"/>
      <c:layout>
        <c:manualLayout>
          <c:xMode val="edge"/>
          <c:yMode val="edge"/>
          <c:x val="0.409930555555555"/>
          <c:y val="0.0997792494481236"/>
        </c:manualLayout>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lgn="ctr">
              <a:defRPr lang="zh-CN" sz="1400" b="0" i="0" u="none" strike="noStrike" kern="1200" baseline="0">
                <a:solidFill>
                  <a:srgbClr val="000000"/>
                </a:solidFill>
                <a:latin typeface="宋体" charset="-122"/>
                <a:ea typeface="宋体" charset="-122"/>
                <a:cs typeface="宋体" charset="-122"/>
              </a:defRPr>
            </a:pPr>
            <a:r>
              <a:rPr lang="zh-CN" altLang="zh-CN" sz="1200"/>
              <a:t>图</a:t>
            </a:r>
            <a:r>
              <a:rPr lang="en-US" altLang="zh-CN" sz="1200"/>
              <a:t>4  </a:t>
            </a:r>
            <a:r>
              <a:rPr lang="zh-CN" altLang="zh-CN" sz="1200"/>
              <a:t>2015-20</a:t>
            </a:r>
            <a:r>
              <a:rPr lang="en-US" altLang="zh-CN" sz="1200"/>
              <a:t>20</a:t>
            </a:r>
            <a:r>
              <a:rPr lang="zh-CN" altLang="zh-CN" sz="1200"/>
              <a:t>年城镇居民人均可支配收入及其增长速度
</a:t>
            </a:r>
            <a:r>
              <a:rPr lang="zh-CN" altLang="zh-CN"/>
              <a:t>
</a:t>
            </a:r>
            <a:endParaRPr lang="zh-CN" altLang="zh-CN"/>
          </a:p>
        </c:rich>
      </c:tx>
      <c:layout>
        <c:manualLayout>
          <c:xMode val="edge"/>
          <c:yMode val="edge"/>
          <c:x val="0.132888888888889"/>
          <c:y val="0.0129533678756477"/>
        </c:manualLayout>
      </c:layout>
      <c:overlay val="false"/>
      <c:spPr>
        <a:noFill/>
        <a:ln>
          <a:noFill/>
        </a:ln>
      </c:spPr>
    </c:title>
    <c:autoTitleDeleted val="false"/>
    <c:plotArea>
      <c:layout>
        <c:manualLayout>
          <c:layoutTarget val="inner"/>
          <c:xMode val="edge"/>
          <c:yMode val="edge"/>
          <c:x val="0.0889650793650794"/>
          <c:y val="0.280829015544041"/>
          <c:w val="0.852546031746032"/>
          <c:h val="0.599205526770294"/>
        </c:manualLayout>
      </c:layout>
      <c:barChart>
        <c:barDir val="col"/>
        <c:grouping val="clustered"/>
        <c:varyColors val="false"/>
        <c:ser>
          <c:idx val="0"/>
          <c:order val="0"/>
          <c:tx>
            <c:strRef>
              <c:f>[2020年统计公报图表集总.xlsx]城镇居民人均可支配收入及其增长速度!$B$2</c:f>
              <c:strCache>
                <c:ptCount val="1"/>
                <c:pt idx="0">
                  <c:v>城镇居民人均可支配收入</c:v>
                </c:pt>
              </c:strCache>
            </c:strRef>
          </c:tx>
          <c:spPr>
            <a:solidFill>
              <a:srgbClr val="4F81BD"/>
            </a:solidFill>
            <a:ln>
              <a:noFill/>
            </a:ln>
          </c:spPr>
          <c:invertIfNegative val="false"/>
          <c:dPt>
            <c:idx val="0"/>
            <c:invertIfNegative val="false"/>
            <c:bubble3D val="false"/>
          </c:dPt>
          <c:dPt>
            <c:idx val="1"/>
            <c:invertIfNegative val="false"/>
            <c:bubble3D val="false"/>
          </c:dPt>
          <c:dPt>
            <c:idx val="2"/>
            <c:invertIfNegative val="false"/>
            <c:bubble3D val="false"/>
          </c:dPt>
          <c:dPt>
            <c:idx val="3"/>
            <c:invertIfNegative val="false"/>
            <c:bubble3D val="false"/>
          </c:dPt>
          <c:dPt>
            <c:idx val="4"/>
            <c:invertIfNegative val="false"/>
            <c:bubble3D val="false"/>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宋体" charset="-122"/>
                    <a:ea typeface="宋体" charset="-122"/>
                    <a:cs typeface="宋体"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[2020年统计公报图表集总.xlsx]城镇居民人均可支配收入及其增长速度!$A$3:$A$8</c:f>
              <c:strCache>
                <c:ptCount val="6"/>
                <c:pt idx="0">
                  <c:v>2015年</c:v>
                </c:pt>
                <c:pt idx="1">
                  <c:v>2016年</c:v>
                </c:pt>
                <c:pt idx="2">
                  <c:v>2017年</c:v>
                </c:pt>
                <c:pt idx="3">
                  <c:v>2018年</c:v>
                </c:pt>
                <c:pt idx="4">
                  <c:v>2019年</c:v>
                </c:pt>
                <c:pt idx="5">
                  <c:v>2020年</c:v>
                </c:pt>
              </c:strCache>
            </c:strRef>
          </c:cat>
          <c:val>
            <c:numRef>
              <c:f>[2020年统计公报图表集总.xlsx]城镇居民人均可支配收入及其增长速度!$B$3:$B$8</c:f>
              <c:numCache>
                <c:formatCode>0_ </c:formatCode>
                <c:ptCount val="6"/>
                <c:pt idx="0">
                  <c:v>28535</c:v>
                </c:pt>
                <c:pt idx="1">
                  <c:v>30775</c:v>
                </c:pt>
                <c:pt idx="2">
                  <c:v>33320</c:v>
                </c:pt>
                <c:pt idx="3">
                  <c:v>36137</c:v>
                </c:pt>
                <c:pt idx="4">
                  <c:v>38977</c:v>
                </c:pt>
                <c:pt idx="5" c:formatCode="General">
                  <c:v>40049</c:v>
                </c:pt>
              </c:numCache>
            </c:numRef>
          </c:val>
        </c:ser>
        <c:dLbls>
          <c:showLegendKey val="false"/>
          <c:showVal val="false"/>
          <c:showCatName val="false"/>
          <c:showSerName val="false"/>
          <c:showPercent val="false"/>
          <c:showBubbleSize val="false"/>
        </c:dLbls>
        <c:gapWidth val="219"/>
        <c:overlap val="-27"/>
        <c:axId val="291944864"/>
        <c:axId val="300049392"/>
      </c:barChart>
      <c:lineChart>
        <c:grouping val="standard"/>
        <c:varyColors val="false"/>
        <c:ser>
          <c:idx val="1"/>
          <c:order val="1"/>
          <c:tx>
            <c:strRef>
              <c:f>[2020年统计公报图表集总.xlsx]城镇居民人均可支配收入及其增长速度!$C$2</c:f>
              <c:strCache>
                <c:ptCount val="1"/>
                <c:pt idx="0">
                  <c:v>比上年增长</c:v>
                </c:pt>
              </c:strCache>
            </c:strRef>
          </c:tx>
          <c:spPr>
            <a:ln w="25400" cap="rnd" cmpd="sng" algn="ctr">
              <a:solidFill>
                <a:srgbClr val="C0504D"/>
              </a:solidFill>
              <a:prstDash val="solid"/>
              <a:round/>
            </a:ln>
          </c:spPr>
          <c:marker>
            <c:symbol val="circle"/>
            <c:size val="6"/>
            <c:spPr>
              <a:solidFill>
                <a:schemeClr val="bg1"/>
              </a:solidFill>
            </c:spPr>
          </c:marker>
          <c:dLbls>
            <c:dLbl>
              <c:idx val="0"/>
              <c:layout>
                <c:manualLayout>
                  <c:x val="-0.0266666666666667"/>
                  <c:y val="0.0414507772020725"/>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228571428571429"/>
                  <c:y val="0.0336787564766839"/>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266666666666667"/>
                  <c:y val="0.0362694300518135"/>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19047619047619"/>
                  <c:y val="0.038860103626943"/>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宋体" charset="-122"/>
                    <a:ea typeface="宋体" charset="-122"/>
                    <a:cs typeface="宋体" charset="-122"/>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[2020年统计公报图表集总.xlsx]城镇居民人均可支配收入及其增长速度!$A$3:$A$8</c:f>
              <c:strCache>
                <c:ptCount val="6"/>
                <c:pt idx="0">
                  <c:v>2015年</c:v>
                </c:pt>
                <c:pt idx="1">
                  <c:v>2016年</c:v>
                </c:pt>
                <c:pt idx="2">
                  <c:v>2017年</c:v>
                </c:pt>
                <c:pt idx="3">
                  <c:v>2018年</c:v>
                </c:pt>
                <c:pt idx="4">
                  <c:v>2019年</c:v>
                </c:pt>
                <c:pt idx="5">
                  <c:v>2020年</c:v>
                </c:pt>
              </c:strCache>
            </c:strRef>
          </c:cat>
          <c:val>
            <c:numRef>
              <c:f>[2020年统计公报图表集总.xlsx]城镇居民人均可支配收入及其增长速度!$C$3:$C$8</c:f>
              <c:numCache>
                <c:formatCode>General</c:formatCode>
                <c:ptCount val="6"/>
                <c:pt idx="0">
                  <c:v>7.6</c:v>
                </c:pt>
                <c:pt idx="1">
                  <c:v>7.9</c:v>
                </c:pt>
                <c:pt idx="2">
                  <c:v>8.3</c:v>
                </c:pt>
                <c:pt idx="3" c:formatCode="0.0_ ">
                  <c:v>8.5</c:v>
                </c:pt>
                <c:pt idx="4" c:formatCode="0.0_ ">
                  <c:v>7.9</c:v>
                </c:pt>
                <c:pt idx="5">
                  <c:v>2.8</c:v>
                </c:pt>
              </c:numCache>
            </c:numRef>
          </c:val>
          <c:smooth val="false"/>
        </c:ser>
        <c:dLbls>
          <c:showLegendKey val="false"/>
          <c:showVal val="false"/>
          <c:showCatName val="false"/>
          <c:showSerName val="false"/>
          <c:showPercent val="false"/>
          <c:showBubbleSize val="false"/>
        </c:dLbls>
        <c:marker val="true"/>
        <c:smooth val="false"/>
        <c:axId val="300049784"/>
        <c:axId val="300050176"/>
      </c:lineChart>
      <c:catAx>
        <c:axId val="291944864"/>
        <c:scaling>
          <c:orientation val="minMax"/>
        </c:scaling>
        <c:delete val="false"/>
        <c:axPos val="b"/>
        <c:title>
          <c:tx>
            <c:rich>
              <a:bodyPr rot="0" spcFirstLastPara="0" vertOverflow="ellipsis" vert="horz" wrap="square" anchor="ctr" anchorCtr="true"/>
              <a:lstStyle/>
              <a:p>
                <a:pPr defTabSz="914400">
                  <a:defRPr lang="zh-CN" sz="1000" b="0" i="0" u="none" strike="noStrike" kern="1200" baseline="0">
                    <a:solidFill>
                      <a:srgbClr val="000000"/>
                    </a:solidFill>
                    <a:latin typeface="宋体" charset="-122"/>
                    <a:ea typeface="宋体" charset="-122"/>
                    <a:cs typeface="宋体" charset="-122"/>
                  </a:defRPr>
                </a:pPr>
                <a:r>
                  <a:rPr lang="zh-CN" altLang="en-US"/>
                  <a:t>元</a:t>
                </a:r>
                <a:endParaRPr lang="zh-CN" altLang="en-US"/>
              </a:p>
            </c:rich>
          </c:tx>
          <c:layout>
            <c:manualLayout>
              <c:xMode val="edge"/>
              <c:yMode val="edge"/>
              <c:x val="0.023047619047619"/>
              <c:y val="0.197582037996546"/>
            </c:manualLayout>
          </c:layout>
          <c:overlay val="false"/>
        </c:title>
        <c:numFmt formatCode="General" sourceLinked="false"/>
        <c:majorTickMark val="none"/>
        <c:minorTickMark val="none"/>
        <c:tickLblPos val="nextTo"/>
        <c:spPr>
          <a:ln w="3175" cap="flat" cmpd="sng" algn="ctr">
            <a:solidFill>
              <a:srgbClr val="000000"/>
            </a:solidFill>
            <a:prstDash val="solid"/>
            <a:round/>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crossAx val="300049392"/>
        <c:crosses val="autoZero"/>
        <c:auto val="false"/>
        <c:lblAlgn val="ctr"/>
        <c:lblOffset val="100"/>
        <c:tickLblSkip val="1"/>
        <c:noMultiLvlLbl val="false"/>
      </c:catAx>
      <c:valAx>
        <c:axId val="300049392"/>
        <c:scaling>
          <c:orientation val="minMax"/>
          <c:max val="50000"/>
        </c:scaling>
        <c:delete val="false"/>
        <c:axPos val="l"/>
        <c:majorGridlines>
          <c:spPr>
            <a:ln w="15875" cap="flat" cmpd="sng" algn="ctr">
              <a:solidFill>
                <a:schemeClr val="bg1">
                  <a:lumMod val="95000"/>
                </a:schemeClr>
              </a:solidFill>
              <a:prstDash val="solid"/>
              <a:round/>
            </a:ln>
          </c:spPr>
        </c:majorGridlines>
        <c:numFmt formatCode="0_ " sourceLinked="true"/>
        <c:majorTickMark val="none"/>
        <c:minorTickMark val="none"/>
        <c:tickLblPos val="nextTo"/>
        <c:spPr>
          <a:ln w="9525" cap="flat" cmpd="sng" algn="ctr">
            <a:noFill/>
            <a:prstDash val="solid"/>
            <a:round/>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crossAx val="291944864"/>
        <c:crosses val="autoZero"/>
        <c:crossBetween val="between"/>
        <c:majorUnit val="10000"/>
      </c:valAx>
      <c:catAx>
        <c:axId val="300049784"/>
        <c:scaling>
          <c:orientation val="minMax"/>
        </c:scaling>
        <c:delete val="true"/>
        <c:axPos val="b"/>
        <c:title>
          <c:tx>
            <c:rich>
              <a:bodyPr rot="0" spcFirstLastPara="0" vertOverflow="ellipsis" vert="horz" wrap="square" anchor="ctr" anchorCtr="true"/>
              <a:lstStyle/>
              <a:p>
                <a:pPr defTabSz="914400">
                  <a:defRPr lang="zh-CN" sz="1000" b="0" i="0" u="none" strike="noStrike" kern="1200" baseline="0">
                    <a:solidFill>
                      <a:srgbClr val="000000"/>
                    </a:solidFill>
                    <a:latin typeface="宋体" charset="-122"/>
                    <a:ea typeface="宋体" charset="-122"/>
                    <a:cs typeface="宋体" charset="-122"/>
                  </a:defRPr>
                </a:pPr>
                <a:r>
                  <a:rPr lang="en-US" altLang="zh-CN"/>
                  <a:t>%</a:t>
                </a:r>
                <a:endParaRPr lang="en-US" altLang="zh-CN"/>
              </a:p>
            </c:rich>
          </c:tx>
          <c:layout>
            <c:manualLayout>
              <c:xMode val="edge"/>
              <c:yMode val="edge"/>
              <c:x val="0.955111111111111"/>
              <c:y val="0.194991364421416"/>
            </c:manualLayout>
          </c:layout>
          <c:overlay val="false"/>
        </c:title>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rgbClr val="000000"/>
                </a:solidFill>
                <a:latin typeface="宋体" charset="-122"/>
                <a:ea typeface="宋体" charset="-122"/>
                <a:cs typeface="宋体" charset="-122"/>
              </a:defRPr>
            </a:pPr>
          </a:p>
        </c:txPr>
        <c:crossAx val="300050176"/>
        <c:crosses val="autoZero"/>
        <c:auto val="false"/>
        <c:lblAlgn val="ctr"/>
        <c:lblOffset val="100"/>
        <c:tickLblSkip val="1"/>
        <c:noMultiLvlLbl val="false"/>
      </c:catAx>
      <c:valAx>
        <c:axId val="300050176"/>
        <c:scaling>
          <c:orientation val="minMax"/>
          <c:max val="12"/>
          <c:min val="2"/>
        </c:scaling>
        <c:delete val="false"/>
        <c:axPos val="r"/>
        <c:numFmt formatCode="General" sourceLinked="true"/>
        <c:majorTickMark val="none"/>
        <c:minorTickMark val="none"/>
        <c:tickLblPos val="nextTo"/>
        <c:spPr>
          <a:ln w="9525" cap="flat" cmpd="sng" algn="ctr">
            <a:noFill/>
            <a:prstDash val="solid"/>
            <a:round/>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crossAx val="300049784"/>
        <c:crosses val="max"/>
        <c:crossBetween val="between"/>
        <c:majorUnit val="2"/>
        <c:minorUnit val="0.4"/>
      </c:valAx>
      <c:spPr>
        <a:noFill/>
        <a:ln>
          <a:noFill/>
        </a:ln>
      </c:spPr>
    </c:plotArea>
    <c:legend>
      <c:legendPos val="b"/>
      <c:legendEntry>
        <c:idx val="0"/>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legendEntry>
      <c:legendEntry>
        <c:idx val="1"/>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legendEntry>
      <c:layout>
        <c:manualLayout>
          <c:xMode val="edge"/>
          <c:yMode val="edge"/>
          <c:x val="0.278095238095238"/>
          <c:y val="0.103108808290155"/>
        </c:manualLayout>
      </c:layout>
      <c:overlay val="false"/>
      <c:spPr>
        <a:noFill/>
        <a:ln>
          <a:noFill/>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legend>
    <c:plotVisOnly val="true"/>
    <c:dispBlanksAs val="gap"/>
    <c:showDLblsOverMax val="false"/>
  </c:chart>
  <c:spPr>
    <a:solidFill>
      <a:srgbClr val="FFFFFF"/>
    </a:solidFill>
    <a:ln w="3175" cap="flat" cmpd="sng" algn="ctr">
      <a:noFill/>
      <a:prstDash val="solid"/>
      <a:round/>
    </a:ln>
  </c:spPr>
  <c:txPr>
    <a:bodyPr/>
    <a:lstStyle/>
    <a:p>
      <a:pPr>
        <a:defRPr lang="zh-CN" sz="1000"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lgn="ctr">
              <a:defRPr lang="zh-CN" sz="1400" b="0" i="0" u="none" strike="noStrike" kern="1200" baseline="0">
                <a:solidFill>
                  <a:srgbClr val="000000"/>
                </a:solidFill>
                <a:latin typeface="宋体" charset="-122"/>
                <a:ea typeface="宋体" charset="-122"/>
                <a:cs typeface="宋体" charset="-122"/>
              </a:defRPr>
            </a:pPr>
            <a:r>
              <a:rPr lang="zh-CN" altLang="zh-CN" sz="1200"/>
              <a:t>图</a:t>
            </a:r>
            <a:r>
              <a:rPr lang="en-US" altLang="zh-CN" sz="1200"/>
              <a:t>5  </a:t>
            </a:r>
            <a:r>
              <a:rPr lang="zh-CN" altLang="zh-CN" sz="1200"/>
              <a:t>2015-20</a:t>
            </a:r>
            <a:r>
              <a:rPr lang="en-US" altLang="zh-CN" sz="1200"/>
              <a:t>20</a:t>
            </a:r>
            <a:r>
              <a:rPr lang="zh-CN" altLang="zh-CN" sz="1200"/>
              <a:t>年农村居民人均可支配收入及其增长速度</a:t>
            </a:r>
            <a:r>
              <a:rPr lang="zh-CN" altLang="zh-CN"/>
              <a:t>
</a:t>
            </a:r>
            <a:endParaRPr lang="zh-CN" altLang="zh-CN"/>
          </a:p>
        </c:rich>
      </c:tx>
      <c:layout/>
      <c:overlay val="false"/>
      <c:spPr>
        <a:noFill/>
        <a:ln>
          <a:noFill/>
        </a:ln>
      </c:spPr>
    </c:title>
    <c:autoTitleDeleted val="false"/>
    <c:plotArea>
      <c:layout>
        <c:manualLayout>
          <c:layoutTarget val="inner"/>
          <c:xMode val="edge"/>
          <c:yMode val="edge"/>
          <c:x val="0.0950535441101479"/>
          <c:y val="0.337091988130564"/>
          <c:w val="0.829015808261091"/>
          <c:h val="0.531434223541049"/>
        </c:manualLayout>
      </c:layout>
      <c:barChart>
        <c:barDir val="col"/>
        <c:grouping val="clustered"/>
        <c:varyColors val="false"/>
        <c:ser>
          <c:idx val="0"/>
          <c:order val="0"/>
          <c:tx>
            <c:strRef>
              <c:f>[2020年统计公报图表集总.xlsx]农村居民人均可支配收入及其增长速度!$B$2</c:f>
              <c:strCache>
                <c:ptCount val="1"/>
                <c:pt idx="0">
                  <c:v>农村居民人均可支配收入</c:v>
                </c:pt>
              </c:strCache>
            </c:strRef>
          </c:tx>
          <c:spPr>
            <a:solidFill>
              <a:srgbClr val="4F81BD"/>
            </a:solidFill>
            <a:ln>
              <a:noFill/>
            </a:ln>
          </c:spPr>
          <c:invertIfNegative val="false"/>
          <c:dPt>
            <c:idx val="0"/>
            <c:invertIfNegative val="false"/>
            <c:bubble3D val="false"/>
          </c:dPt>
          <c:dPt>
            <c:idx val="1"/>
            <c:invertIfNegative val="false"/>
            <c:bubble3D val="false"/>
          </c:dPt>
          <c:dPt>
            <c:idx val="2"/>
            <c:invertIfNegative val="false"/>
            <c:bubble3D val="false"/>
          </c:dPt>
          <c:dPt>
            <c:idx val="3"/>
            <c:invertIfNegative val="false"/>
            <c:bubble3D val="false"/>
          </c:dPt>
          <c:dPt>
            <c:idx val="4"/>
            <c:invertIfNegative val="false"/>
            <c:bubble3D val="false"/>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宋体" charset="-122"/>
                    <a:ea typeface="宋体" charset="-122"/>
                    <a:cs typeface="宋体"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[2020年统计公报图表集总.xlsx]农村居民人均可支配收入及其增长速度!$A$3:$A$8</c:f>
              <c:strCache>
                <c:ptCount val="6"/>
                <c:pt idx="0">
                  <c:v>2015年</c:v>
                </c:pt>
                <c:pt idx="1">
                  <c:v>2016年</c:v>
                </c:pt>
                <c:pt idx="2">
                  <c:v>2017年</c:v>
                </c:pt>
                <c:pt idx="3">
                  <c:v>2018年</c:v>
                </c:pt>
                <c:pt idx="4">
                  <c:v>2019年</c:v>
                </c:pt>
                <c:pt idx="5">
                  <c:v>2020年</c:v>
                </c:pt>
              </c:strCache>
            </c:strRef>
          </c:cat>
          <c:val>
            <c:numRef>
              <c:f>[2020年统计公报图表集总.xlsx]农村居民人均可支配收入及其增长速度!$B$3:$B$8</c:f>
              <c:numCache>
                <c:formatCode>General</c:formatCode>
                <c:ptCount val="6"/>
                <c:pt idx="0">
                  <c:v>11635</c:v>
                </c:pt>
                <c:pt idx="1">
                  <c:v>12679</c:v>
                </c:pt>
                <c:pt idx="2">
                  <c:v>13763</c:v>
                </c:pt>
                <c:pt idx="3">
                  <c:v>14886</c:v>
                </c:pt>
                <c:pt idx="4">
                  <c:v>16116</c:v>
                </c:pt>
                <c:pt idx="5">
                  <c:v>17405</c:v>
                </c:pt>
              </c:numCache>
            </c:numRef>
          </c:val>
        </c:ser>
        <c:dLbls>
          <c:showLegendKey val="false"/>
          <c:showVal val="false"/>
          <c:showCatName val="false"/>
          <c:showSerName val="false"/>
          <c:showPercent val="false"/>
          <c:showBubbleSize val="false"/>
        </c:dLbls>
        <c:gapWidth val="128"/>
        <c:overlap val="-22"/>
        <c:axId val="300050960"/>
        <c:axId val="300051352"/>
      </c:barChart>
      <c:lineChart>
        <c:grouping val="standard"/>
        <c:varyColors val="false"/>
        <c:ser>
          <c:idx val="1"/>
          <c:order val="1"/>
          <c:tx>
            <c:strRef>
              <c:f>[2020年统计公报图表集总.xlsx]农村居民人均可支配收入及其增长速度!$C$2</c:f>
              <c:strCache>
                <c:ptCount val="1"/>
                <c:pt idx="0">
                  <c:v>比上年增长</c:v>
                </c:pt>
              </c:strCache>
            </c:strRef>
          </c:tx>
          <c:spPr>
            <a:ln w="25400" cap="rnd" cmpd="sng" algn="ctr">
              <a:solidFill>
                <a:srgbClr val="C0504D"/>
              </a:solidFill>
              <a:prstDash val="solid"/>
              <a:round/>
            </a:ln>
          </c:spPr>
          <c:marker>
            <c:symbol val="circle"/>
            <c:size val="5"/>
            <c:spPr>
              <a:solidFill>
                <a:srgbClr val="FFFFFF"/>
              </a:solidFill>
              <a:ln w="9525" cap="flat" cmpd="sng" algn="ctr">
                <a:solidFill>
                  <a:srgbClr val="C0504D"/>
                </a:solidFill>
                <a:prstDash val="solid"/>
                <a:round/>
              </a:ln>
            </c:spPr>
          </c:marker>
          <c:dLbls>
            <c:dLbl>
              <c:idx val="3"/>
              <c:layout>
                <c:manualLayout>
                  <c:x val="-0.0286843447220806"/>
                  <c:y val="0.029673590504451"/>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267720550739419"/>
                  <c:y val="0.0326409495548961"/>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5"/>
              <c:layout>
                <c:manualLayout>
                  <c:x val="-0.0210351861295258"/>
                  <c:y val="0.0267062314540059"/>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宋体" charset="-122"/>
                    <a:ea typeface="宋体" charset="-122"/>
                    <a:cs typeface="宋体" charset="-122"/>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[2020年统计公报图表集总.xlsx]农村居民人均可支配收入及其增长速度!$A$3:$A$8</c:f>
              <c:strCache>
                <c:ptCount val="6"/>
                <c:pt idx="0">
                  <c:v>2015年</c:v>
                </c:pt>
                <c:pt idx="1">
                  <c:v>2016年</c:v>
                </c:pt>
                <c:pt idx="2">
                  <c:v>2017年</c:v>
                </c:pt>
                <c:pt idx="3">
                  <c:v>2018年</c:v>
                </c:pt>
                <c:pt idx="4">
                  <c:v>2019年</c:v>
                </c:pt>
                <c:pt idx="5">
                  <c:v>2020年</c:v>
                </c:pt>
              </c:strCache>
            </c:strRef>
          </c:cat>
          <c:val>
            <c:numRef>
              <c:f>[2020年统计公报图表集总.xlsx]农村居民人均可支配收入及其增长速度!$C$3:$C$8</c:f>
              <c:numCache>
                <c:formatCode>0.0_ </c:formatCode>
                <c:ptCount val="6"/>
                <c:pt idx="0">
                  <c:v>9.5</c:v>
                </c:pt>
                <c:pt idx="1">
                  <c:v>9</c:v>
                </c:pt>
                <c:pt idx="2">
                  <c:v>8.6</c:v>
                </c:pt>
                <c:pt idx="3">
                  <c:v>8.2</c:v>
                </c:pt>
                <c:pt idx="4">
                  <c:v>8.3</c:v>
                </c:pt>
                <c:pt idx="5">
                  <c:v>8</c:v>
                </c:pt>
              </c:numCache>
            </c:numRef>
          </c:val>
          <c:smooth val="false"/>
        </c:ser>
        <c:dLbls>
          <c:showLegendKey val="false"/>
          <c:showVal val="false"/>
          <c:showCatName val="false"/>
          <c:showSerName val="false"/>
          <c:showPercent val="false"/>
          <c:showBubbleSize val="false"/>
        </c:dLbls>
        <c:marker val="true"/>
        <c:smooth val="false"/>
        <c:axId val="300051744"/>
        <c:axId val="300052136"/>
      </c:lineChart>
      <c:catAx>
        <c:axId val="300050960"/>
        <c:scaling>
          <c:orientation val="minMax"/>
        </c:scaling>
        <c:delete val="false"/>
        <c:axPos val="b"/>
        <c:title>
          <c:tx>
            <c:rich>
              <a:bodyPr rot="0" spcFirstLastPara="0" vertOverflow="ellipsis" vert="horz" wrap="square" anchor="ctr" anchorCtr="true"/>
              <a:lstStyle/>
              <a:p>
                <a:pPr defTabSz="914400">
                  <a:defRPr lang="zh-CN" sz="1000" b="0" i="0" u="none" strike="noStrike" kern="1200" baseline="0">
                    <a:solidFill>
                      <a:srgbClr val="000000"/>
                    </a:solidFill>
                    <a:latin typeface="宋体" charset="-122"/>
                    <a:ea typeface="宋体" charset="-122"/>
                    <a:cs typeface="宋体" charset="-122"/>
                  </a:defRPr>
                </a:pPr>
                <a:r>
                  <a:rPr lang="zh-CN" altLang="en-US"/>
                  <a:t>元</a:t>
                </a:r>
                <a:endParaRPr lang="zh-CN" altLang="en-US"/>
              </a:p>
            </c:rich>
          </c:tx>
          <c:layout>
            <c:manualLayout>
              <c:xMode val="edge"/>
              <c:yMode val="edge"/>
              <c:x val="0.0307241203467619"/>
              <c:y val="0.241147378832839"/>
            </c:manualLayout>
          </c:layout>
          <c:overlay val="false"/>
        </c:title>
        <c:numFmt formatCode="General" sourceLinked="false"/>
        <c:majorTickMark val="none"/>
        <c:minorTickMark val="none"/>
        <c:tickLblPos val="nextTo"/>
        <c:spPr>
          <a:ln w="3175" cap="flat" cmpd="sng" algn="ctr">
            <a:solidFill>
              <a:srgbClr val="000000"/>
            </a:solidFill>
            <a:prstDash val="solid"/>
            <a:round/>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crossAx val="300051352"/>
        <c:crosses val="autoZero"/>
        <c:auto val="false"/>
        <c:lblAlgn val="ctr"/>
        <c:lblOffset val="100"/>
        <c:tickLblSkip val="1"/>
        <c:noMultiLvlLbl val="false"/>
      </c:catAx>
      <c:valAx>
        <c:axId val="300051352"/>
        <c:scaling>
          <c:orientation val="minMax"/>
          <c:max val="20000"/>
          <c:min val="5000"/>
        </c:scaling>
        <c:delete val="false"/>
        <c:axPos val="l"/>
        <c:majorGridlines>
          <c:spPr>
            <a:ln w="15875" cap="flat" cmpd="sng" algn="ctr">
              <a:solidFill>
                <a:schemeClr val="bg1">
                  <a:lumMod val="95000"/>
                </a:schemeClr>
              </a:solidFill>
              <a:prstDash val="solid"/>
              <a:round/>
            </a:ln>
          </c:spPr>
        </c:majorGridlines>
        <c:numFmt formatCode="General" sourceLinked="true"/>
        <c:majorTickMark val="none"/>
        <c:minorTickMark val="none"/>
        <c:tickLblPos val="nextTo"/>
        <c:spPr>
          <a:ln w="9525" cap="flat" cmpd="sng" algn="ctr">
            <a:noFill/>
            <a:prstDash val="solid"/>
            <a:round/>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crossAx val="300050960"/>
        <c:crosses val="autoZero"/>
        <c:crossBetween val="between"/>
        <c:majorUnit val="5000"/>
      </c:valAx>
      <c:catAx>
        <c:axId val="300051744"/>
        <c:scaling>
          <c:orientation val="minMax"/>
        </c:scaling>
        <c:delete val="true"/>
        <c:axPos val="b"/>
        <c:title>
          <c:tx>
            <c:rich>
              <a:bodyPr rot="0" spcFirstLastPara="0" vertOverflow="ellipsis" vert="horz" wrap="square" anchor="ctr" anchorCtr="true"/>
              <a:lstStyle/>
              <a:p>
                <a:pPr defTabSz="914400">
                  <a:defRPr lang="zh-CN" sz="1000" b="0" i="0" u="none" strike="noStrike" kern="1200" baseline="0">
                    <a:solidFill>
                      <a:srgbClr val="000000"/>
                    </a:solidFill>
                    <a:latin typeface="宋体" charset="-122"/>
                    <a:ea typeface="宋体" charset="-122"/>
                    <a:cs typeface="宋体" charset="-122"/>
                  </a:defRPr>
                </a:pPr>
                <a:r>
                  <a:rPr lang="en-US" altLang="zh-CN"/>
                  <a:t>%</a:t>
                </a:r>
                <a:endParaRPr lang="en-US" altLang="zh-CN"/>
              </a:p>
            </c:rich>
          </c:tx>
          <c:layout>
            <c:manualLayout>
              <c:xMode val="edge"/>
              <c:yMode val="edge"/>
              <c:x val="0.95308516063233"/>
              <c:y val="0.238180019782394"/>
            </c:manualLayout>
          </c:layout>
          <c:overlay val="false"/>
        </c:title>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rgbClr val="000000"/>
                </a:solidFill>
                <a:latin typeface="宋体" charset="-122"/>
                <a:ea typeface="宋体" charset="-122"/>
                <a:cs typeface="宋体" charset="-122"/>
              </a:defRPr>
            </a:pPr>
          </a:p>
        </c:txPr>
        <c:crossAx val="300052136"/>
        <c:crosses val="autoZero"/>
        <c:auto val="false"/>
        <c:lblAlgn val="ctr"/>
        <c:lblOffset val="100"/>
        <c:tickLblSkip val="1"/>
        <c:noMultiLvlLbl val="false"/>
      </c:catAx>
      <c:valAx>
        <c:axId val="300052136"/>
        <c:scaling>
          <c:orientation val="minMax"/>
          <c:min val="7"/>
        </c:scaling>
        <c:delete val="false"/>
        <c:axPos val="r"/>
        <c:numFmt formatCode="0.0_ " sourceLinked="true"/>
        <c:majorTickMark val="none"/>
        <c:minorTickMark val="none"/>
        <c:tickLblPos val="nextTo"/>
        <c:spPr>
          <a:ln w="9525" cap="flat" cmpd="sng" algn="ctr">
            <a:noFill/>
            <a:prstDash val="solid"/>
            <a:round/>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crossAx val="300051744"/>
        <c:crosses val="max"/>
        <c:crossBetween val="between"/>
      </c:valAx>
      <c:spPr>
        <a:noFill/>
        <a:ln>
          <a:noFill/>
        </a:ln>
      </c:spPr>
    </c:plotArea>
    <c:legend>
      <c:legendPos val="b"/>
      <c:legendEntry>
        <c:idx val="0"/>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legendEntry>
      <c:legendEntry>
        <c:idx val="1"/>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legendEntry>
      <c:layout>
        <c:manualLayout>
          <c:xMode val="edge"/>
          <c:yMode val="edge"/>
          <c:x val="0.258095359510454"/>
          <c:y val="0.129970326409496"/>
        </c:manualLayout>
      </c:layout>
      <c:overlay val="false"/>
      <c:spPr>
        <a:noFill/>
        <a:ln>
          <a:noFill/>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legend>
    <c:plotVisOnly val="true"/>
    <c:dispBlanksAs val="gap"/>
    <c:showDLblsOverMax val="false"/>
  </c:chart>
  <c:spPr>
    <a:solidFill>
      <a:srgbClr val="FFFFFF"/>
    </a:solidFill>
    <a:ln w="3175" cap="flat" cmpd="sng" algn="ctr">
      <a:noFill/>
      <a:prstDash val="solid"/>
      <a:round/>
    </a:ln>
  </c:spPr>
  <c:txPr>
    <a:bodyPr/>
    <a:lstStyle/>
    <a:p>
      <a:pPr>
        <a:defRPr lang="zh-CN" sz="1000"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200" b="0" i="0" u="none" strike="noStrike" kern="1200" spc="0" baseline="0">
                <a:solidFill>
                  <a:schemeClr val="tx1">
                    <a:lumMod val="65000"/>
                    <a:lumOff val="35000"/>
                  </a:schemeClr>
                </a:solidFill>
                <a:latin typeface="+mj-ea"/>
                <a:ea typeface="+mj-ea"/>
                <a:cs typeface="+mj-ea"/>
                <a:sym typeface="+mj-ea"/>
              </a:defRPr>
            </a:pPr>
            <a:r>
              <a:rPr lang="zh-CN" altLang="en-US" sz="1200" b="1">
                <a:latin typeface="+mj-ea"/>
                <a:ea typeface="+mj-ea"/>
                <a:cs typeface="+mj-ea"/>
                <a:sym typeface="+mj-ea"/>
              </a:rPr>
              <a:t>图</a:t>
            </a:r>
            <a:r>
              <a:rPr lang="en-US" altLang="zh-CN" sz="1200" b="1">
                <a:latin typeface="+mj-ea"/>
                <a:ea typeface="+mj-ea"/>
                <a:cs typeface="+mj-ea"/>
                <a:sym typeface="+mj-ea"/>
              </a:rPr>
              <a:t>6  2015-2020</a:t>
            </a:r>
            <a:r>
              <a:rPr lang="zh-CN" altLang="en-US" sz="1200" b="1">
                <a:latin typeface="+mj-ea"/>
                <a:ea typeface="+mj-ea"/>
                <a:cs typeface="+mj-ea"/>
                <a:sym typeface="+mj-ea"/>
              </a:rPr>
              <a:t>年粮食产量</a:t>
            </a:r>
            <a:endParaRPr lang="zh-CN" altLang="en-US" sz="1200" b="1">
              <a:latin typeface="+mj-ea"/>
              <a:ea typeface="+mj-ea"/>
              <a:cs typeface="+mj-ea"/>
              <a:sym typeface="+mj-ea"/>
            </a:endParaRPr>
          </a:p>
        </c:rich>
      </c:tx>
      <c:layout>
        <c:manualLayout>
          <c:xMode val="edge"/>
          <c:yMode val="edge"/>
          <c:x val="0.292222222222222"/>
          <c:y val="0.0138888888888889"/>
        </c:manualLayout>
      </c:layout>
      <c:overlay val="false"/>
      <c:spPr>
        <a:noFill/>
        <a:ln>
          <a:noFill/>
        </a:ln>
        <a:effectLst/>
      </c:spPr>
    </c:title>
    <c:autoTitleDeleted val="false"/>
    <c:plotArea>
      <c:layout>
        <c:manualLayout>
          <c:layoutTarget val="inner"/>
          <c:xMode val="edge"/>
          <c:yMode val="edge"/>
          <c:x val="0.127166666666667"/>
          <c:y val="0.179166666666667"/>
          <c:w val="0.800611111111111"/>
          <c:h val="0.722777777777778"/>
        </c:manualLayout>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strRef>
              <c:f>[2020年统计公报图表集总.xlsx]农业粮食产量!$A$2:$A$7</c:f>
              <c:strCache>
                <c:ptCount val="6"/>
                <c:pt idx="0">
                  <c:v>2015年</c:v>
                </c:pt>
                <c:pt idx="1">
                  <c:v>2016年</c:v>
                </c:pt>
                <c:pt idx="2">
                  <c:v>2017年</c:v>
                </c:pt>
                <c:pt idx="3">
                  <c:v>2018年</c:v>
                </c:pt>
                <c:pt idx="4">
                  <c:v>2019年</c:v>
                </c:pt>
                <c:pt idx="5">
                  <c:v>2020年</c:v>
                </c:pt>
              </c:strCache>
            </c:strRef>
          </c:cat>
          <c:val>
            <c:numRef>
              <c:f>[2020年统计公报图表集总.xlsx]农业粮食产量!$B$2:$B$7</c:f>
              <c:numCache>
                <c:formatCode>0.0_ </c:formatCode>
                <c:ptCount val="6"/>
                <c:pt idx="0">
                  <c:v>16.53</c:v>
                </c:pt>
                <c:pt idx="1">
                  <c:v>15.1</c:v>
                </c:pt>
                <c:pt idx="2">
                  <c:v>14.8</c:v>
                </c:pt>
                <c:pt idx="3">
                  <c:v>12.05</c:v>
                </c:pt>
                <c:pt idx="4">
                  <c:v>12.23</c:v>
                </c:pt>
                <c:pt idx="5">
                  <c:v>10.54</c:v>
                </c:pt>
              </c:numCache>
            </c:numRef>
          </c:val>
        </c:ser>
        <c:dLbls>
          <c:showLegendKey val="false"/>
          <c:showVal val="true"/>
          <c:showCatName val="false"/>
          <c:showSerName val="false"/>
          <c:showPercent val="false"/>
          <c:showBubbleSize val="false"/>
        </c:dLbls>
        <c:gapWidth val="150"/>
        <c:axId val="300052920"/>
        <c:axId val="300299024"/>
      </c:barChart>
      <c:catAx>
        <c:axId val="300052920"/>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00299024"/>
        <c:crosses val="autoZero"/>
        <c:auto val="true"/>
        <c:lblAlgn val="ctr"/>
        <c:lblOffset val="100"/>
        <c:noMultiLvlLbl val="false"/>
      </c:catAx>
      <c:valAx>
        <c:axId val="300299024"/>
        <c:scaling>
          <c:orientation val="minMax"/>
          <c:max val="18"/>
          <c:min val="10"/>
        </c:scaling>
        <c:delete val="false"/>
        <c:axPos val="l"/>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true"/>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万吨</a:t>
                </a:r>
                <a:endParaRPr lang="zh-CN" altLang="en-US"/>
              </a:p>
            </c:rich>
          </c:tx>
          <c:layout>
            <c:manualLayout>
              <c:xMode val="edge"/>
              <c:yMode val="edge"/>
              <c:x val="0.0576388888888889"/>
              <c:y val="0.0722685185185185"/>
            </c:manualLayout>
          </c:layout>
          <c:overlay val="false"/>
          <c:spPr>
            <a:noFill/>
            <a:ln>
              <a:noFill/>
            </a:ln>
            <a:effectLst/>
          </c:spPr>
        </c:title>
        <c:numFmt formatCode="General" sourceLinked="fals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00052920"/>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200" b="0" i="0" u="none" strike="noStrike" kern="1200" spc="0" baseline="0">
                <a:solidFill>
                  <a:schemeClr val="tx1">
                    <a:lumMod val="65000"/>
                    <a:lumOff val="35000"/>
                  </a:schemeClr>
                </a:solidFill>
                <a:latin typeface="+mn-lt"/>
                <a:ea typeface="+mn-ea"/>
                <a:cs typeface="+mn-cs"/>
              </a:defRPr>
            </a:pPr>
            <a:r>
              <a:rPr lang="zh-CN" altLang="en-US" sz="1200" b="1">
                <a:latin typeface="+mj-ea"/>
                <a:ea typeface="+mj-ea"/>
                <a:cs typeface="+mj-ea"/>
              </a:rPr>
              <a:t>图</a:t>
            </a:r>
            <a:r>
              <a:rPr lang="en-US" altLang="zh-CN" sz="1200" b="1">
                <a:latin typeface="+mj-ea"/>
                <a:ea typeface="+mj-ea"/>
                <a:cs typeface="+mj-ea"/>
              </a:rPr>
              <a:t>7  2015-2020</a:t>
            </a:r>
            <a:r>
              <a:rPr lang="zh-CN" altLang="en-US" sz="1200" b="1">
                <a:latin typeface="+mj-ea"/>
                <a:ea typeface="+mj-ea"/>
                <a:cs typeface="+mj-ea"/>
              </a:rPr>
              <a:t>年规模以上工业增加值增长速度</a:t>
            </a:r>
            <a:endParaRPr lang="zh-CN" altLang="en-US" sz="1200" b="1">
              <a:latin typeface="+mj-ea"/>
              <a:ea typeface="+mj-ea"/>
              <a:cs typeface="+mj-ea"/>
            </a:endParaRPr>
          </a:p>
        </c:rich>
      </c:tx>
      <c:layout>
        <c:manualLayout>
          <c:xMode val="edge"/>
          <c:yMode val="edge"/>
          <c:x val="0.162222222222222"/>
          <c:y val="0.0065359477124183"/>
        </c:manualLayout>
      </c:layout>
      <c:overlay val="false"/>
      <c:spPr>
        <a:noFill/>
        <a:ln>
          <a:noFill/>
        </a:ln>
        <a:effectLst/>
      </c:spPr>
    </c:title>
    <c:autoTitleDeleted val="false"/>
    <c:plotArea>
      <c:layout>
        <c:manualLayout>
          <c:layoutTarget val="inner"/>
          <c:xMode val="edge"/>
          <c:yMode val="edge"/>
          <c:x val="0.0803300505722651"/>
          <c:y val="0.19495642701525"/>
          <c:w val="0.901027777777778"/>
          <c:h val="0.711666666666667"/>
        </c:manualLayout>
      </c:layout>
      <c:lineChart>
        <c:grouping val="standard"/>
        <c:varyColors val="false"/>
        <c:ser>
          <c:idx val="0"/>
          <c:order val="0"/>
          <c:tx>
            <c:strRef>
              <c:f>[2020年统计公报图表集总.xlsx]规上工业增加值增速!$B$2</c:f>
              <c:strCache>
                <c:ptCount val="1"/>
                <c:pt idx="0">
                  <c:v>比上年增长</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strRef>
              <c:f>[2020年统计公报图表集总.xlsx]规上工业增加值增速!$A$3:$A$8</c:f>
              <c:strCache>
                <c:ptCount val="6"/>
                <c:pt idx="0">
                  <c:v>2015年</c:v>
                </c:pt>
                <c:pt idx="1">
                  <c:v>2016年</c:v>
                </c:pt>
                <c:pt idx="2">
                  <c:v>2017年</c:v>
                </c:pt>
                <c:pt idx="3">
                  <c:v>2018年</c:v>
                </c:pt>
                <c:pt idx="4">
                  <c:v>2019年</c:v>
                </c:pt>
                <c:pt idx="5">
                  <c:v>2020年</c:v>
                </c:pt>
              </c:strCache>
            </c:strRef>
          </c:cat>
          <c:val>
            <c:numRef>
              <c:f>[2020年统计公报图表集总.xlsx]规上工业增加值增速!$B$3:$B$8</c:f>
              <c:numCache>
                <c:formatCode>0.0_ </c:formatCode>
                <c:ptCount val="6"/>
                <c:pt idx="0">
                  <c:v>3.7</c:v>
                </c:pt>
                <c:pt idx="1">
                  <c:v>2.2</c:v>
                </c:pt>
                <c:pt idx="2">
                  <c:v>4.5</c:v>
                </c:pt>
                <c:pt idx="3">
                  <c:v>8</c:v>
                </c:pt>
                <c:pt idx="4">
                  <c:v>3.2</c:v>
                </c:pt>
                <c:pt idx="5">
                  <c:v>-3.3</c:v>
                </c:pt>
              </c:numCache>
            </c:numRef>
          </c:val>
          <c:smooth val="false"/>
        </c:ser>
        <c:dLbls>
          <c:showLegendKey val="false"/>
          <c:showVal val="true"/>
          <c:showCatName val="false"/>
          <c:showSerName val="false"/>
          <c:showPercent val="false"/>
          <c:showBubbleSize val="false"/>
        </c:dLbls>
        <c:marker val="true"/>
        <c:smooth val="false"/>
        <c:axId val="300299808"/>
        <c:axId val="300300200"/>
      </c:lineChart>
      <c:catAx>
        <c:axId val="300299808"/>
        <c:scaling>
          <c:orientation val="minMax"/>
        </c:scaling>
        <c:delete val="false"/>
        <c:axPos val="b"/>
        <c:numFmt formatCode="General" sourceLinked="false"/>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00300200"/>
        <c:crosses val="autoZero"/>
        <c:auto val="true"/>
        <c:lblAlgn val="ctr"/>
        <c:lblOffset val="100"/>
        <c:noMultiLvlLbl val="false"/>
      </c:catAx>
      <c:valAx>
        <c:axId val="300300200"/>
        <c:scaling>
          <c:orientation val="minMax"/>
          <c:min val="-4"/>
        </c:scaling>
        <c:delete val="false"/>
        <c:axPos val="l"/>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true"/>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a:t>
                </a:r>
                <a:endParaRPr lang="en-US" altLang="zh-CN"/>
              </a:p>
            </c:rich>
          </c:tx>
          <c:layout>
            <c:manualLayout>
              <c:xMode val="edge"/>
              <c:yMode val="edge"/>
              <c:x val="0.0359741564849557"/>
              <c:y val="0.0756081979172914"/>
            </c:manualLayout>
          </c:layout>
          <c:overlay val="false"/>
          <c:spPr>
            <a:noFill/>
            <a:ln>
              <a:noFill/>
            </a:ln>
            <a:effectLst/>
          </c:spPr>
        </c:title>
        <c:numFmt formatCode="0_ " sourceLinked="fals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00299808"/>
        <c:crosses val="autoZero"/>
        <c:crossBetween val="between"/>
      </c:valAx>
      <c:spPr>
        <a:noFill/>
        <a:ln>
          <a:noFill/>
        </a:ln>
        <a:effectLst/>
      </c:spPr>
    </c:plotArea>
    <c:legend>
      <c:legendPos val="t"/>
      <c:layout>
        <c:manualLayout>
          <c:xMode val="edge"/>
          <c:yMode val="edge"/>
          <c:x val="0.405763888888889"/>
          <c:y val="0.0859613289760349"/>
        </c:manualLayout>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200" b="1">
                <a:latin typeface="+mj-ea"/>
                <a:ea typeface="+mj-ea"/>
                <a:cs typeface="+mj-ea"/>
              </a:rPr>
              <a:t>图</a:t>
            </a:r>
            <a:r>
              <a:rPr lang="en-US" altLang="zh-CN" sz="1200" b="1">
                <a:latin typeface="+mj-ea"/>
                <a:ea typeface="+mj-ea"/>
                <a:cs typeface="+mj-ea"/>
              </a:rPr>
              <a:t>8  2015-2020</a:t>
            </a:r>
            <a:r>
              <a:rPr lang="zh-CN" altLang="en-US" sz="1200" b="1">
                <a:latin typeface="+mj-ea"/>
                <a:ea typeface="+mj-ea"/>
                <a:cs typeface="+mj-ea"/>
              </a:rPr>
              <a:t>年社会消费品零售总额及其增长速度</a:t>
            </a:r>
            <a:endParaRPr lang="zh-CN" altLang="en-US" sz="1200" b="1">
              <a:latin typeface="+mj-ea"/>
              <a:ea typeface="+mj-ea"/>
              <a:cs typeface="+mj-ea"/>
            </a:endParaRPr>
          </a:p>
        </c:rich>
      </c:tx>
      <c:layout/>
      <c:overlay val="false"/>
      <c:spPr>
        <a:noFill/>
        <a:ln>
          <a:noFill/>
        </a:ln>
        <a:effectLst/>
      </c:spPr>
    </c:title>
    <c:autoTitleDeleted val="false"/>
    <c:plotArea>
      <c:layout>
        <c:manualLayout>
          <c:layoutTarget val="inner"/>
          <c:xMode val="edge"/>
          <c:yMode val="edge"/>
          <c:x val="0.1105"/>
          <c:y val="0.280092592592593"/>
          <c:w val="0.812611111111111"/>
          <c:h val="0.606805555555556"/>
        </c:manualLayout>
      </c:layout>
      <c:barChart>
        <c:barDir val="col"/>
        <c:grouping val="clustered"/>
        <c:varyColors val="false"/>
        <c:ser>
          <c:idx val="0"/>
          <c:order val="0"/>
          <c:tx>
            <c:strRef>
              <c:f>[2020年统计公报图表集总.xlsx]社会消费品总额及增长!$B$2</c:f>
              <c:strCache>
                <c:ptCount val="1"/>
                <c:pt idx="0">
                  <c:v>社会消费品零售总额</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[2020年统计公报图表集总.xlsx]社会消费品总额及增长!$A$3:$A$8</c:f>
              <c:strCache>
                <c:ptCount val="6"/>
                <c:pt idx="0">
                  <c:v>2015年</c:v>
                </c:pt>
                <c:pt idx="1">
                  <c:v>2016年</c:v>
                </c:pt>
                <c:pt idx="2">
                  <c:v>2017年</c:v>
                </c:pt>
                <c:pt idx="3">
                  <c:v>2018年</c:v>
                </c:pt>
                <c:pt idx="4">
                  <c:v>2019年</c:v>
                </c:pt>
                <c:pt idx="5">
                  <c:v>2020年</c:v>
                </c:pt>
              </c:strCache>
            </c:strRef>
          </c:cat>
          <c:val>
            <c:numRef>
              <c:f>[2020年统计公报图表集总.xlsx]社会消费品总额及增长!$B$3:$B$8</c:f>
              <c:numCache>
                <c:formatCode>0.00_ </c:formatCode>
                <c:ptCount val="6"/>
                <c:pt idx="0">
                  <c:v>613.51</c:v>
                </c:pt>
                <c:pt idx="1">
                  <c:v>673.3</c:v>
                </c:pt>
                <c:pt idx="2">
                  <c:v>742.72</c:v>
                </c:pt>
                <c:pt idx="3">
                  <c:v>787.25</c:v>
                </c:pt>
                <c:pt idx="4">
                  <c:v>823.94</c:v>
                </c:pt>
                <c:pt idx="5">
                  <c:v>835.89</c:v>
                </c:pt>
              </c:numCache>
            </c:numRef>
          </c:val>
        </c:ser>
        <c:dLbls>
          <c:showLegendKey val="false"/>
          <c:showVal val="true"/>
          <c:showCatName val="false"/>
          <c:showSerName val="false"/>
          <c:showPercent val="false"/>
          <c:showBubbleSize val="false"/>
        </c:dLbls>
        <c:gapWidth val="150"/>
        <c:axId val="300300984"/>
        <c:axId val="300301376"/>
      </c:barChart>
      <c:lineChart>
        <c:grouping val="standard"/>
        <c:varyColors val="false"/>
        <c:ser>
          <c:idx val="1"/>
          <c:order val="1"/>
          <c:tx>
            <c:strRef>
              <c:f>[2020年统计公报图表集总.xlsx]社会消费品总额及增长!$C$2</c:f>
              <c:strCache>
                <c:ptCount val="1"/>
                <c:pt idx="0">
                  <c:v>比上年增长</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0.06875"/>
                  <c:y val="-0.0277777777777778"/>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4375"/>
                  <c:y val="-0.0416666666666667"/>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[2020年统计公报图表集总.xlsx]社会消费品总额及增长!$A$3:$A$8</c:f>
              <c:strCache>
                <c:ptCount val="6"/>
                <c:pt idx="0">
                  <c:v>2015年</c:v>
                </c:pt>
                <c:pt idx="1">
                  <c:v>2016年</c:v>
                </c:pt>
                <c:pt idx="2">
                  <c:v>2017年</c:v>
                </c:pt>
                <c:pt idx="3">
                  <c:v>2018年</c:v>
                </c:pt>
                <c:pt idx="4">
                  <c:v>2019年</c:v>
                </c:pt>
                <c:pt idx="5">
                  <c:v>2020年</c:v>
                </c:pt>
              </c:strCache>
            </c:strRef>
          </c:cat>
          <c:val>
            <c:numRef>
              <c:f>[2020年统计公报图表集总.xlsx]社会消费品总额及增长!$C$3:$C$8</c:f>
              <c:numCache>
                <c:formatCode>0.0_ </c:formatCode>
                <c:ptCount val="6"/>
                <c:pt idx="0">
                  <c:v>6.6</c:v>
                </c:pt>
                <c:pt idx="1">
                  <c:v>9.8</c:v>
                </c:pt>
                <c:pt idx="2">
                  <c:v>11.0465322824212</c:v>
                </c:pt>
                <c:pt idx="3">
                  <c:v>5.9</c:v>
                </c:pt>
                <c:pt idx="4">
                  <c:v>4.7</c:v>
                </c:pt>
                <c:pt idx="5">
                  <c:v>1.5</c:v>
                </c:pt>
              </c:numCache>
            </c:numRef>
          </c:val>
          <c:smooth val="false"/>
        </c:ser>
        <c:dLbls>
          <c:showLegendKey val="false"/>
          <c:showVal val="true"/>
          <c:showCatName val="false"/>
          <c:showSerName val="false"/>
          <c:showPercent val="false"/>
          <c:showBubbleSize val="false"/>
        </c:dLbls>
        <c:marker val="true"/>
        <c:smooth val="false"/>
        <c:axId val="300301768"/>
        <c:axId val="300302160"/>
      </c:lineChart>
      <c:catAx>
        <c:axId val="300300984"/>
        <c:scaling>
          <c:orientation val="minMax"/>
        </c:scaling>
        <c:delete val="false"/>
        <c:axPos val="b"/>
        <c:title>
          <c:tx>
            <c:rich>
              <a:bodyPr rot="0" spcFirstLastPara="0" vertOverflow="ellipsis" vert="horz" wrap="square" anchor="ctr" anchorCtr="true"/>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亿元</a:t>
                </a:r>
                <a:endParaRPr lang="zh-CN" altLang="en-US"/>
              </a:p>
            </c:rich>
          </c:tx>
          <c:layout>
            <c:manualLayout>
              <c:xMode val="edge"/>
              <c:yMode val="edge"/>
              <c:x val="0.0166666666666665"/>
              <c:y val="0.157175925925926"/>
            </c:manualLayout>
          </c:layout>
          <c:overlay val="false"/>
          <c:spPr>
            <a:noFill/>
            <a:ln>
              <a:noFill/>
            </a:ln>
            <a:effectLst/>
          </c:spPr>
        </c:title>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00301376"/>
        <c:crosses val="autoZero"/>
        <c:auto val="true"/>
        <c:lblAlgn val="ctr"/>
        <c:lblOffset val="100"/>
        <c:noMultiLvlLbl val="false"/>
      </c:catAx>
      <c:valAx>
        <c:axId val="300301376"/>
        <c:scaling>
          <c:orientation val="minMax"/>
        </c:scaling>
        <c:delete val="false"/>
        <c:axPos val="l"/>
        <c:majorGridlines>
          <c:spPr>
            <a:ln w="9525" cap="flat" cmpd="sng" algn="ctr">
              <a:solidFill>
                <a:schemeClr val="tx1">
                  <a:lumMod val="15000"/>
                  <a:lumOff val="85000"/>
                </a:schemeClr>
              </a:solidFill>
              <a:round/>
            </a:ln>
            <a:effectLst/>
          </c:spPr>
        </c:majorGridlines>
        <c:numFmt formatCode="0.00_ "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00300984"/>
        <c:crosses val="autoZero"/>
        <c:crossBetween val="between"/>
      </c:valAx>
      <c:catAx>
        <c:axId val="300301768"/>
        <c:scaling>
          <c:orientation val="minMax"/>
        </c:scaling>
        <c:delete val="true"/>
        <c:axPos val="b"/>
        <c:title>
          <c:tx>
            <c:rich>
              <a:bodyPr rot="0" spcFirstLastPara="0" vertOverflow="ellipsis" vert="horz" wrap="square" anchor="ctr" anchorCtr="true"/>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a:t>
                </a:r>
                <a:endParaRPr lang="en-US" altLang="zh-CN"/>
              </a:p>
            </c:rich>
          </c:tx>
          <c:layout>
            <c:manualLayout>
              <c:xMode val="edge"/>
              <c:yMode val="edge"/>
              <c:x val="0.936597222222222"/>
              <c:y val="0.163657407407408"/>
            </c:manualLayout>
          </c:layout>
          <c:overlay val="false"/>
          <c:spPr>
            <a:noFill/>
            <a:ln>
              <a:noFill/>
            </a:ln>
            <a:effectLst/>
          </c:spPr>
        </c:title>
        <c:numFmt formatCode="General" sourceLinked="true"/>
        <c:majorTickMark val="out"/>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00302160"/>
        <c:crosses val="autoZero"/>
        <c:auto val="true"/>
        <c:lblAlgn val="ctr"/>
        <c:lblOffset val="100"/>
        <c:noMultiLvlLbl val="false"/>
      </c:catAx>
      <c:valAx>
        <c:axId val="300302160"/>
        <c:scaling>
          <c:orientation val="minMax"/>
        </c:scaling>
        <c:delete val="false"/>
        <c:axPos val="r"/>
        <c:numFmt formatCode="0.0_ " sourceLinked="true"/>
        <c:majorTickMark val="out"/>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00301768"/>
        <c:crosses val="max"/>
        <c:crossBetween val="between"/>
      </c:valAx>
      <c:spPr>
        <a:noFill/>
        <a:ln>
          <a:noFill/>
        </a:ln>
        <a:effectLst/>
      </c:spPr>
    </c:plotArea>
    <c:legend>
      <c:legendPos val="b"/>
      <c:layout>
        <c:manualLayout>
          <c:xMode val="edge"/>
          <c:yMode val="edge"/>
          <c:x val="0.261458333333333"/>
          <c:y val="0.120833333333333"/>
        </c:manualLayout>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lgn="ctr">
              <a:defRPr lang="zh-CN" sz="1400" b="0" i="0" u="none" strike="noStrike" kern="1200" baseline="0">
                <a:solidFill>
                  <a:srgbClr val="000000"/>
                </a:solidFill>
                <a:latin typeface="宋体" charset="-122"/>
                <a:ea typeface="宋体" charset="-122"/>
                <a:cs typeface="宋体" charset="-122"/>
              </a:defRPr>
            </a:pPr>
            <a:r>
              <a:rPr lang="zh-CN" altLang="zh-CN"/>
              <a:t>图</a:t>
            </a:r>
            <a:r>
              <a:rPr lang="en-US" altLang="zh-CN"/>
              <a:t>9  </a:t>
            </a:r>
            <a:r>
              <a:rPr lang="zh-CN" altLang="zh-CN"/>
              <a:t>2015-20</a:t>
            </a:r>
            <a:r>
              <a:rPr lang="en-US" altLang="zh-CN"/>
              <a:t>20</a:t>
            </a:r>
            <a:r>
              <a:rPr lang="zh-CN" altLang="zh-CN"/>
              <a:t>年进出口总额</a:t>
            </a:r>
            <a:endParaRPr lang="zh-CN" altLang="zh-CN"/>
          </a:p>
        </c:rich>
      </c:tx>
      <c:layout>
        <c:manualLayout>
          <c:xMode val="edge"/>
          <c:yMode val="edge"/>
          <c:x val="0.229460965441839"/>
          <c:y val="0.00687285223367698"/>
        </c:manualLayout>
      </c:layout>
      <c:overlay val="false"/>
      <c:spPr>
        <a:noFill/>
        <a:ln>
          <a:noFill/>
        </a:ln>
      </c:spPr>
    </c:title>
    <c:autoTitleDeleted val="false"/>
    <c:plotArea>
      <c:layout>
        <c:manualLayout>
          <c:layoutTarget val="inner"/>
          <c:xMode val="edge"/>
          <c:yMode val="edge"/>
          <c:x val="0.0624301075268817"/>
          <c:y val="0.205227492739593"/>
          <c:w val="0.909075268817204"/>
          <c:h val="0.726266537592772"/>
        </c:manualLayout>
      </c:layout>
      <c:barChart>
        <c:barDir val="col"/>
        <c:grouping val="stacked"/>
        <c:varyColors val="false"/>
        <c:ser>
          <c:idx val="0"/>
          <c:order val="0"/>
          <c:tx>
            <c:strRef>
              <c:f>[2020年统计公报图表集总.xlsx]进出口总额!$B$2</c:f>
              <c:strCache>
                <c:ptCount val="1"/>
                <c:pt idx="0">
                  <c:v>进口总额</c:v>
                </c:pt>
              </c:strCache>
            </c:strRef>
          </c:tx>
          <c:spPr>
            <a:solidFill>
              <a:srgbClr val="4F81BD"/>
            </a:solidFill>
            <a:ln>
              <a:noFill/>
            </a:ln>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宋体" charset="-122"/>
                    <a:ea typeface="宋体" charset="-122"/>
                    <a:cs typeface="宋体" charset="-122"/>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[2020年统计公报图表集总.xlsx]进出口总额!$A$3:$A$8</c:f>
              <c:strCache>
                <c:ptCount val="6"/>
                <c:pt idx="0">
                  <c:v>2015年</c:v>
                </c:pt>
                <c:pt idx="1">
                  <c:v>2016年</c:v>
                </c:pt>
                <c:pt idx="2">
                  <c:v>2017年</c:v>
                </c:pt>
                <c:pt idx="3">
                  <c:v>2018年</c:v>
                </c:pt>
                <c:pt idx="4">
                  <c:v>2019年</c:v>
                </c:pt>
                <c:pt idx="5">
                  <c:v>2020年</c:v>
                </c:pt>
              </c:strCache>
            </c:strRef>
          </c:cat>
          <c:val>
            <c:numRef>
              <c:f>[2020年统计公报图表集总.xlsx]进出口总额!$B$3:$B$8</c:f>
              <c:numCache>
                <c:formatCode>0.0_ </c:formatCode>
                <c:ptCount val="6"/>
                <c:pt idx="0">
                  <c:v>210.7</c:v>
                </c:pt>
                <c:pt idx="1">
                  <c:v>206</c:v>
                </c:pt>
                <c:pt idx="2">
                  <c:v>154.8</c:v>
                </c:pt>
                <c:pt idx="3">
                  <c:v>273.9</c:v>
                </c:pt>
                <c:pt idx="4">
                  <c:v>245</c:v>
                </c:pt>
                <c:pt idx="5">
                  <c:v>258</c:v>
                </c:pt>
              </c:numCache>
            </c:numRef>
          </c:val>
        </c:ser>
        <c:ser>
          <c:idx val="1"/>
          <c:order val="1"/>
          <c:tx>
            <c:strRef>
              <c:f>[2020年统计公报图表集总.xlsx]进出口总额!$C$2</c:f>
              <c:strCache>
                <c:ptCount val="1"/>
                <c:pt idx="0">
                  <c:v>出口总额</c:v>
                </c:pt>
              </c:strCache>
            </c:strRef>
          </c:tx>
          <c:spPr>
            <a:solidFill>
              <a:srgbClr val="C0504D"/>
            </a:solidFill>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宋体" charset="-122"/>
                    <a:ea typeface="宋体" charset="-122"/>
                    <a:cs typeface="宋体" charset="-122"/>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[2020年统计公报图表集总.xlsx]进出口总额!$A$3:$A$8</c:f>
              <c:strCache>
                <c:ptCount val="6"/>
                <c:pt idx="0">
                  <c:v>2015年</c:v>
                </c:pt>
                <c:pt idx="1">
                  <c:v>2016年</c:v>
                </c:pt>
                <c:pt idx="2">
                  <c:v>2017年</c:v>
                </c:pt>
                <c:pt idx="3">
                  <c:v>2018年</c:v>
                </c:pt>
                <c:pt idx="4">
                  <c:v>2019年</c:v>
                </c:pt>
                <c:pt idx="5">
                  <c:v>2020年</c:v>
                </c:pt>
              </c:strCache>
            </c:strRef>
          </c:cat>
          <c:val>
            <c:numRef>
              <c:f>[2020年统计公报图表集总.xlsx]进出口总额!$C$3:$C$8</c:f>
              <c:numCache>
                <c:formatCode>General</c:formatCode>
                <c:ptCount val="6"/>
                <c:pt idx="0">
                  <c:v>59.8</c:v>
                </c:pt>
                <c:pt idx="1">
                  <c:v>52.2</c:v>
                </c:pt>
                <c:pt idx="2">
                  <c:v>55.5</c:v>
                </c:pt>
                <c:pt idx="3" c:formatCode="0.0_ ">
                  <c:v>67.24</c:v>
                </c:pt>
                <c:pt idx="4" c:formatCode="0.0_ ">
                  <c:v>86.3</c:v>
                </c:pt>
                <c:pt idx="5" c:formatCode="0.0_ ">
                  <c:v>110.3</c:v>
                </c:pt>
              </c:numCache>
            </c:numRef>
          </c:val>
        </c:ser>
        <c:dLbls>
          <c:showLegendKey val="false"/>
          <c:showVal val="false"/>
          <c:showCatName val="false"/>
          <c:showSerName val="false"/>
          <c:showPercent val="false"/>
          <c:showBubbleSize val="false"/>
        </c:dLbls>
        <c:gapWidth val="77"/>
        <c:overlap val="100"/>
        <c:axId val="300302944"/>
        <c:axId val="300303336"/>
      </c:barChart>
      <c:catAx>
        <c:axId val="300302944"/>
        <c:scaling>
          <c:orientation val="minMax"/>
        </c:scaling>
        <c:delete val="false"/>
        <c:axPos val="b"/>
        <c:title>
          <c:tx>
            <c:rich>
              <a:bodyPr rot="0" spcFirstLastPara="0" vertOverflow="ellipsis" vert="horz" wrap="square" anchor="ctr" anchorCtr="true"/>
              <a:lstStyle/>
              <a:p>
                <a:pPr defTabSz="914400">
                  <a:defRPr lang="zh-CN" sz="1000" b="0" i="0" u="none" strike="noStrike" kern="1200" baseline="0">
                    <a:solidFill>
                      <a:srgbClr val="000000"/>
                    </a:solidFill>
                    <a:latin typeface="宋体" charset="-122"/>
                    <a:ea typeface="宋体" charset="-122"/>
                    <a:cs typeface="宋体" charset="-122"/>
                  </a:defRPr>
                </a:pPr>
                <a:r>
                  <a:t>亿元</a:t>
                </a:r>
              </a:p>
            </c:rich>
          </c:tx>
          <c:layout>
            <c:manualLayout>
              <c:xMode val="edge"/>
              <c:yMode val="edge"/>
              <c:x val="0.00391338377250196"/>
              <c:y val="0.0617951774386332"/>
            </c:manualLayout>
          </c:layout>
          <c:overlay val="false"/>
        </c:title>
        <c:numFmt formatCode="General" sourceLinked="false"/>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crossAx val="300303336"/>
        <c:crosses val="autoZero"/>
        <c:auto val="false"/>
        <c:lblAlgn val="ctr"/>
        <c:lblOffset val="100"/>
        <c:tickLblSkip val="1"/>
        <c:noMultiLvlLbl val="false"/>
      </c:catAx>
      <c:valAx>
        <c:axId val="300303336"/>
        <c:scaling>
          <c:orientation val="minMax"/>
          <c:max val="400"/>
          <c:min val="0"/>
        </c:scaling>
        <c:delete val="false"/>
        <c:axPos val="l"/>
        <c:majorGridlines>
          <c:spPr>
            <a:ln w="12700" cap="flat" cmpd="sng" algn="ctr">
              <a:solidFill>
                <a:schemeClr val="bg1">
                  <a:lumMod val="95000"/>
                </a:schemeClr>
              </a:solidFill>
              <a:prstDash val="solid"/>
              <a:round/>
            </a:ln>
          </c:spPr>
        </c:majorGridlines>
        <c:numFmt formatCode="0_);[Red]\(0\)" sourceLinked="false"/>
        <c:majorTickMark val="in"/>
        <c:minorTickMark val="none"/>
        <c:tickLblPos val="nextTo"/>
        <c:spPr>
          <a:ln w="9525" cap="flat" cmpd="sng" algn="ctr">
            <a:noFill/>
            <a:prstDash val="solid"/>
            <a:round/>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crossAx val="300302944"/>
        <c:crosses val="autoZero"/>
        <c:crossBetween val="between"/>
        <c:majorUnit val="100"/>
        <c:minorUnit val="50"/>
      </c:valAx>
      <c:spPr>
        <a:noFill/>
        <a:ln>
          <a:noFill/>
        </a:ln>
      </c:spPr>
    </c:plotArea>
    <c:legend>
      <c:legendPos val="b"/>
      <c:legendEntry>
        <c:idx val="0"/>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legendEntry>
      <c:legendEntry>
        <c:idx val="1"/>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legendEntry>
      <c:layout>
        <c:manualLayout>
          <c:xMode val="edge"/>
          <c:yMode val="edge"/>
          <c:x val="0.353329027200776"/>
          <c:y val="0.0836884528763851"/>
        </c:manualLayout>
      </c:layout>
      <c:overlay val="false"/>
      <c:spPr>
        <a:noFill/>
        <a:ln>
          <a:noFill/>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legend>
    <c:plotVisOnly val="true"/>
    <c:dispBlanksAs val="gap"/>
    <c:showDLblsOverMax val="false"/>
  </c:chart>
  <c:spPr>
    <a:solidFill>
      <a:srgbClr val="FFFFFF"/>
    </a:solidFill>
    <a:ln w="3175" cap="flat" cmpd="sng" algn="ctr">
      <a:noFill/>
      <a:prstDash val="solid"/>
      <a:round/>
    </a:ln>
  </c:spPr>
  <c:txPr>
    <a:bodyPr rot="0" anchor="b" anchorCtr="false"/>
    <a:lstStyle/>
    <a:p>
      <a:pPr>
        <a:defRPr lang="zh-CN" sz="1000"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秀英区</Company>
  <Pages>29</Pages>
  <Words>1855</Words>
  <Characters>10574</Characters>
  <Lines>88</Lines>
  <Paragraphs>24</Paragraphs>
  <TotalTime>49</TotalTime>
  <ScaleCrop>false</ScaleCrop>
  <LinksUpToDate>false</LinksUpToDate>
  <CharactersWithSpaces>12405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2021-02-04T09:27:00Z</dcterms:created>
  <dc:creator>HKTJJ</dc:creator>
  <cp:lastModifiedBy>lenovo</cp:lastModifiedBy>
  <cp:lastPrinted>2021-01-27T14:54:00Z</cp:lastPrinted>
  <dcterms:modified xsi:type="dcterms:W3CDTF">2021-10-27T14:59:14Z</dcterms:modified>
  <dc:title>2020年海口市国民经济和社会发展统计公报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