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adjustRightInd w:val="0"/>
        <w:snapToGrid w:val="0"/>
        <w:spacing w:line="360" w:lineRule="auto"/>
        <w:ind w:firstLine="420"/>
        <w:jc w:val="left"/>
        <w:rPr>
          <w:rFonts w:asciiTheme="minorEastAsia" w:hAnsiTheme="minorEastAsia" w:eastAsiaTheme="minorEastAsia" w:cstheme="minorEastAsia"/>
          <w:b/>
          <w:color w:val="000000" w:themeColor="text1"/>
          <w:szCs w:val="21"/>
          <w14:textFill>
            <w14:solidFill>
              <w14:schemeClr w14:val="tx1"/>
            </w14:solidFill>
          </w14:textFill>
        </w:rPr>
      </w:pPr>
      <w:bookmarkStart w:id="327" w:name="_GoBack"/>
      <w:bookmarkEnd w:id="327"/>
    </w:p>
    <w:p>
      <w:pPr>
        <w:pStyle w:val="11"/>
        <w:adjustRightInd w:val="0"/>
        <w:snapToGrid w:val="0"/>
        <w:spacing w:line="360" w:lineRule="auto"/>
        <w:ind w:firstLine="420"/>
        <w:jc w:val="left"/>
        <w:rPr>
          <w:rFonts w:asciiTheme="minorEastAsia" w:hAnsiTheme="minorEastAsia" w:eastAsiaTheme="minorEastAsia" w:cstheme="minorEastAsia"/>
          <w:b/>
          <w:color w:val="000000" w:themeColor="text1"/>
          <w:szCs w:val="21"/>
          <w14:textFill>
            <w14:solidFill>
              <w14:schemeClr w14:val="tx1"/>
            </w14:solidFill>
          </w14:textFill>
        </w:rPr>
      </w:pPr>
      <w:r>
        <w:commentReference w:id="0"/>
      </w:r>
    </w:p>
    <w:p>
      <w:pPr>
        <w:pStyle w:val="11"/>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pStyle w:val="11"/>
        <w:adjustRightInd w:val="0"/>
        <w:snapToGrid w:val="0"/>
        <w:spacing w:line="360" w:lineRule="auto"/>
        <w:rPr>
          <w:rFonts w:asciiTheme="minorEastAsia" w:hAnsiTheme="minorEastAsia" w:eastAsiaTheme="minorEastAsia" w:cstheme="minorEastAsia"/>
          <w:b/>
          <w:color w:val="000000" w:themeColor="text1"/>
          <w:sz w:val="52"/>
          <w:szCs w:val="52"/>
          <w14:textFill>
            <w14:solidFill>
              <w14:schemeClr w14:val="tx1"/>
            </w14:solidFill>
          </w14:textFill>
        </w:rPr>
      </w:pPr>
    </w:p>
    <w:p>
      <w:pPr>
        <w:adjustRightInd w:val="0"/>
        <w:snapToGrid w:val="0"/>
        <w:spacing w:line="500" w:lineRule="exact"/>
        <w:jc w:val="center"/>
        <w:outlineLvl w:val="0"/>
        <w:rPr>
          <w:rFonts w:asciiTheme="minorEastAsia" w:hAnsiTheme="minorEastAsia" w:eastAsiaTheme="minorEastAsia" w:cstheme="minorEastAsia"/>
          <w:b/>
          <w:color w:val="000000" w:themeColor="text1"/>
          <w:sz w:val="52"/>
          <w:szCs w:val="52"/>
          <w14:textFill>
            <w14:solidFill>
              <w14:schemeClr w14:val="tx1"/>
            </w14:solidFill>
          </w14:textFill>
        </w:rPr>
      </w:pPr>
      <w:bookmarkStart w:id="0" w:name="_Toc27697"/>
      <w:bookmarkStart w:id="1" w:name="_Toc30158"/>
      <w:bookmarkStart w:id="2" w:name="_Toc2526"/>
      <w:r>
        <w:rPr>
          <w:rFonts w:hint="eastAsia" w:asciiTheme="minorEastAsia" w:hAnsiTheme="minorEastAsia" w:eastAsiaTheme="minorEastAsia" w:cstheme="minorEastAsia"/>
          <w:b/>
          <w:color w:val="000000" w:themeColor="text1"/>
          <w:sz w:val="52"/>
          <w:szCs w:val="52"/>
          <w14:textFill>
            <w14:solidFill>
              <w14:schemeClr w14:val="tx1"/>
            </w14:solidFill>
          </w14:textFill>
        </w:rPr>
        <w:t>采购比选文件</w:t>
      </w:r>
      <w:bookmarkEnd w:id="0"/>
      <w:bookmarkEnd w:id="1"/>
      <w:bookmarkEnd w:id="2"/>
    </w:p>
    <w:p>
      <w:pPr>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rPr>
          <w:color w:val="000000" w:themeColor="text1"/>
          <w:szCs w:val="21"/>
          <w14:textFill>
            <w14:solidFill>
              <w14:schemeClr w14:val="tx1"/>
            </w14:solidFill>
          </w14:textFill>
        </w:rPr>
      </w:pPr>
    </w:p>
    <w:p>
      <w:pPr>
        <w:pStyle w:val="11"/>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p>
    <w:p>
      <w:pPr>
        <w:pStyle w:val="11"/>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p>
    <w:p>
      <w:pPr>
        <w:pStyle w:val="11"/>
        <w:spacing w:line="360" w:lineRule="auto"/>
        <w:ind w:firstLine="1476" w:firstLineChars="700"/>
        <w:jc w:val="left"/>
        <w:rPr>
          <w:rFonts w:asciiTheme="minorEastAsia" w:hAnsiTheme="minorEastAsia" w:eastAsiaTheme="minorEastAsia" w:cstheme="minorEastAsia"/>
          <w:b/>
          <w:color w:val="000000" w:themeColor="text1"/>
          <w:szCs w:val="21"/>
          <w14:textFill>
            <w14:solidFill>
              <w14:schemeClr w14:val="tx1"/>
            </w14:solidFill>
          </w14:textFill>
        </w:rPr>
      </w:pPr>
    </w:p>
    <w:p>
      <w:pPr>
        <w:pStyle w:val="11"/>
        <w:spacing w:line="360" w:lineRule="auto"/>
        <w:jc w:val="left"/>
        <w:outlineLvl w:val="0"/>
        <w:rPr>
          <w:rFonts w:asciiTheme="minorEastAsia" w:hAnsiTheme="minorEastAsia" w:eastAsiaTheme="minorEastAsia" w:cstheme="minorEastAsia"/>
          <w:b/>
          <w:color w:val="000000" w:themeColor="text1"/>
          <w:sz w:val="28"/>
          <w:szCs w:val="28"/>
          <w14:textFill>
            <w14:solidFill>
              <w14:schemeClr w14:val="tx1"/>
            </w14:solidFill>
          </w14:textFill>
        </w:rPr>
      </w:pPr>
      <w:bookmarkStart w:id="3" w:name="_Toc246826091"/>
      <w:bookmarkStart w:id="4" w:name="_Toc246825786"/>
      <w:bookmarkStart w:id="5" w:name="_Toc24935"/>
      <w:bookmarkStart w:id="6" w:name="_Toc23627"/>
      <w:bookmarkStart w:id="7" w:name="_Toc245888257"/>
      <w:bookmarkStart w:id="8" w:name="_Toc19477"/>
      <w:bookmarkStart w:id="9" w:name="_Toc245887524"/>
      <w:r>
        <w:rPr>
          <w:rFonts w:hint="eastAsia" w:asciiTheme="minorEastAsia" w:hAnsiTheme="minorEastAsia" w:eastAsiaTheme="minorEastAsia" w:cstheme="minorEastAsia"/>
          <w:b/>
          <w:color w:val="000000" w:themeColor="text1"/>
          <w:sz w:val="28"/>
          <w:szCs w:val="28"/>
          <w14:textFill>
            <w14:solidFill>
              <w14:schemeClr w14:val="tx1"/>
            </w14:solidFill>
          </w14:textFill>
        </w:rPr>
        <w:t>项目编号：</w:t>
      </w:r>
      <w:bookmarkEnd w:id="3"/>
      <w:bookmarkEnd w:id="4"/>
      <w:bookmarkEnd w:id="5"/>
      <w:bookmarkEnd w:id="6"/>
      <w:bookmarkEnd w:id="7"/>
      <w:bookmarkEnd w:id="8"/>
      <w:bookmarkEnd w:id="9"/>
      <w:bookmarkStart w:id="10" w:name="_Toc245888258"/>
      <w:bookmarkStart w:id="11" w:name="_Toc245887525"/>
      <w:bookmarkStart w:id="12" w:name="_Toc246826092"/>
      <w:bookmarkStart w:id="13" w:name="_Toc246825787"/>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 </w:t>
      </w:r>
      <w:commentRangeStart w:id="1"/>
      <w:commentRangeStart w:id="2"/>
      <w:r>
        <w:rPr>
          <w:rFonts w:hint="eastAsia" w:asciiTheme="minorEastAsia" w:hAnsiTheme="minorEastAsia" w:eastAsiaTheme="minorEastAsia" w:cstheme="minorEastAsia"/>
          <w:b/>
          <w:color w:val="000000" w:themeColor="text1"/>
          <w:sz w:val="28"/>
          <w:szCs w:val="28"/>
          <w14:textFill>
            <w14:solidFill>
              <w14:schemeClr w14:val="tx1"/>
            </w14:solidFill>
          </w14:textFill>
        </w:rPr>
        <w:t>zfcg-fw-2024</w:t>
      </w:r>
      <w:r>
        <w:rPr>
          <w:rFonts w:hint="eastAsia" w:asciiTheme="minorEastAsia" w:hAnsiTheme="minorEastAsia" w:eastAsiaTheme="minorEastAsia" w:cstheme="minorEastAsia"/>
          <w:b/>
          <w:color w:val="000000" w:themeColor="text1"/>
          <w:sz w:val="28"/>
          <w:szCs w:val="28"/>
          <w:lang w:val="en-US" w:eastAsia="zh-CN"/>
          <w14:textFill>
            <w14:solidFill>
              <w14:schemeClr w14:val="tx1"/>
            </w14:solidFill>
          </w14:textFill>
        </w:rPr>
        <w:t>0506</w:t>
      </w:r>
      <w:r>
        <w:rPr>
          <w:rFonts w:hint="eastAsia" w:asciiTheme="minorEastAsia" w:hAnsiTheme="minorEastAsia" w:eastAsiaTheme="minorEastAsia" w:cstheme="minorEastAsia"/>
          <w:b/>
          <w:color w:val="000000" w:themeColor="text1"/>
          <w:sz w:val="28"/>
          <w:szCs w:val="28"/>
          <w14:textFill>
            <w14:solidFill>
              <w14:schemeClr w14:val="tx1"/>
            </w14:solidFill>
          </w14:textFill>
        </w:rPr>
        <w:t>-002</w:t>
      </w:r>
      <w:commentRangeEnd w:id="1"/>
      <w:r>
        <w:commentReference w:id="1"/>
      </w:r>
      <w:commentRangeEnd w:id="2"/>
      <w:r>
        <w:commentReference w:id="2"/>
      </w:r>
    </w:p>
    <w:p>
      <w:pPr>
        <w:widowControl/>
        <w:ind w:left="1405" w:hanging="1405" w:hangingChars="500"/>
        <w:jc w:val="left"/>
      </w:pPr>
      <w:r>
        <w:rPr>
          <w:rFonts w:hint="eastAsia" w:asciiTheme="minorEastAsia" w:hAnsiTheme="minorEastAsia" w:eastAsiaTheme="minorEastAsia" w:cstheme="minorEastAsia"/>
          <w:b/>
          <w:color w:val="000000" w:themeColor="text1"/>
          <w:sz w:val="28"/>
          <w:szCs w:val="28"/>
          <w14:textFill>
            <w14:solidFill>
              <w14:schemeClr w14:val="tx1"/>
            </w14:solidFill>
          </w14:textFill>
        </w:rPr>
        <w:t>项目名称：</w:t>
      </w:r>
      <w:bookmarkEnd w:id="10"/>
      <w:bookmarkEnd w:id="11"/>
      <w:bookmarkEnd w:id="12"/>
      <w:bookmarkEnd w:id="13"/>
      <w:bookmarkStart w:id="14" w:name="_Toc245887527"/>
      <w:bookmarkStart w:id="15" w:name="_Toc246826094"/>
      <w:bookmarkStart w:id="16" w:name="_Toc246825789"/>
      <w:bookmarkStart w:id="17" w:name="_Toc245888260"/>
      <w:r>
        <w:rPr>
          <w:rFonts w:hint="eastAsia" w:ascii="华文仿宋" w:hAnsi="华文仿宋" w:eastAsia="华文仿宋" w:cs="华文仿宋"/>
          <w:b/>
          <w:bCs/>
          <w:color w:val="000000"/>
          <w:kern w:val="0"/>
          <w:sz w:val="31"/>
          <w:szCs w:val="31"/>
          <w:lang w:bidi="ar"/>
        </w:rPr>
        <w:t>中州航空主基地搬迁项目飞行模拟训练中心对海口美兰机场10号跑道航向信标台空间信号影响专项技术研究项目</w:t>
      </w:r>
    </w:p>
    <w:p>
      <w:pPr>
        <w:pStyle w:val="11"/>
        <w:spacing w:line="360" w:lineRule="auto"/>
        <w:ind w:left="3360" w:leftChars="931" w:hanging="1405" w:hangingChars="500"/>
        <w:jc w:val="left"/>
        <w:outlineLvl w:val="0"/>
        <w:rPr>
          <w:rFonts w:asciiTheme="minorEastAsia" w:hAnsiTheme="minorEastAsia" w:eastAsiaTheme="minorEastAsia" w:cstheme="minorEastAsia"/>
          <w:b/>
          <w:color w:val="000000" w:themeColor="text1"/>
          <w:sz w:val="28"/>
          <w:szCs w:val="28"/>
          <w14:textFill>
            <w14:solidFill>
              <w14:schemeClr w14:val="tx1"/>
            </w14:solidFill>
          </w14:textFill>
        </w:rPr>
      </w:pPr>
    </w:p>
    <w:bookmarkEnd w:id="14"/>
    <w:bookmarkEnd w:id="15"/>
    <w:bookmarkEnd w:id="16"/>
    <w:bookmarkEnd w:id="17"/>
    <w:p>
      <w:pPr>
        <w:pStyle w:val="11"/>
        <w:spacing w:line="360" w:lineRule="auto"/>
        <w:ind w:firstLine="1476" w:firstLineChars="700"/>
        <w:jc w:val="left"/>
        <w:rPr>
          <w:rFonts w:asciiTheme="minorEastAsia" w:hAnsiTheme="minorEastAsia" w:eastAsiaTheme="minorEastAsia" w:cstheme="minorEastAsia"/>
          <w:b/>
          <w:color w:val="000000" w:themeColor="text1"/>
          <w:szCs w:val="21"/>
          <w14:textFill>
            <w14:solidFill>
              <w14:schemeClr w14:val="tx1"/>
            </w14:solidFill>
          </w14:textFill>
        </w:rPr>
      </w:pPr>
    </w:p>
    <w:p>
      <w:pPr>
        <w:pStyle w:val="11"/>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pStyle w:val="11"/>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p>
      <w:pPr>
        <w:pStyle w:val="8"/>
        <w:spacing w:line="360" w:lineRule="auto"/>
        <w:rPr>
          <w:rFonts w:asciiTheme="minorEastAsia" w:hAnsiTheme="minorEastAsia" w:eastAsiaTheme="minorEastAsia" w:cstheme="minorEastAsia"/>
          <w:b/>
          <w:color w:val="000000" w:themeColor="text1"/>
          <w:spacing w:val="40"/>
          <w:szCs w:val="21"/>
          <w14:textFill>
            <w14:solidFill>
              <w14:schemeClr w14:val="tx1"/>
            </w14:solidFill>
          </w14:textFill>
        </w:rPr>
      </w:pPr>
    </w:p>
    <w:p>
      <w:pPr>
        <w:pStyle w:val="37"/>
        <w:spacing w:line="360" w:lineRule="auto"/>
        <w:rPr>
          <w:color w:val="000000" w:themeColor="text1"/>
          <w:sz w:val="21"/>
          <w:szCs w:val="21"/>
          <w14:textFill>
            <w14:solidFill>
              <w14:schemeClr w14:val="tx1"/>
            </w14:solidFill>
          </w14:textFill>
        </w:rPr>
      </w:pPr>
    </w:p>
    <w:p>
      <w:pPr>
        <w:pStyle w:val="10"/>
        <w:ind w:left="0" w:leftChars="0" w:firstLine="0" w:firstLineChars="0"/>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pStyle w:val="10"/>
        <w:rPr>
          <w:color w:val="000000" w:themeColor="text1"/>
          <w14:textFill>
            <w14:solidFill>
              <w14:schemeClr w14:val="tx1"/>
            </w14:solidFill>
          </w14:textFill>
        </w:rPr>
      </w:pPr>
    </w:p>
    <w:p>
      <w:pPr>
        <w:adjustRightInd w:val="0"/>
        <w:snapToGrid w:val="0"/>
        <w:spacing w:line="360" w:lineRule="auto"/>
        <w:jc w:val="center"/>
        <w:rPr>
          <w:rFonts w:asciiTheme="minorEastAsia" w:hAnsiTheme="minorEastAsia" w:eastAsiaTheme="minorEastAsia" w:cstheme="minorEastAsia"/>
          <w:b/>
          <w:color w:val="000000" w:themeColor="text1"/>
          <w:spacing w:val="40"/>
          <w:szCs w:val="21"/>
          <w14:textFill>
            <w14:solidFill>
              <w14:schemeClr w14:val="tx1"/>
            </w14:solidFill>
          </w14:textFill>
        </w:rPr>
      </w:pPr>
    </w:p>
    <w:p>
      <w:pPr>
        <w:adjustRightInd w:val="0"/>
        <w:snapToGrid w:val="0"/>
        <w:spacing w:line="360" w:lineRule="auto"/>
        <w:jc w:val="center"/>
        <w:rPr>
          <w:rFonts w:asciiTheme="minorEastAsia" w:hAnsiTheme="minorEastAsia" w:eastAsiaTheme="minorEastAsia" w:cstheme="minorEastAsia"/>
          <w:b/>
          <w:color w:val="000000" w:themeColor="text1"/>
          <w:spacing w:val="40"/>
          <w:szCs w:val="21"/>
          <w14:textFill>
            <w14:solidFill>
              <w14:schemeClr w14:val="tx1"/>
            </w14:solidFill>
          </w14:textFill>
        </w:rPr>
      </w:pPr>
    </w:p>
    <w:p>
      <w:pPr>
        <w:pStyle w:val="11"/>
        <w:adjustRightInd w:val="0"/>
        <w:snapToGrid w:val="0"/>
        <w:spacing w:line="360" w:lineRule="auto"/>
        <w:jc w:val="center"/>
        <w:outlineLvl w:val="0"/>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pacing w:val="40"/>
          <w:sz w:val="28"/>
          <w:szCs w:val="28"/>
          <w14:textFill>
            <w14:solidFill>
              <w14:schemeClr w14:val="tx1"/>
            </w14:solidFill>
          </w14:textFill>
        </w:rPr>
        <w:t xml:space="preserve">    </w:t>
      </w:r>
      <w:bookmarkStart w:id="18" w:name="_Toc1777"/>
      <w:bookmarkStart w:id="19" w:name="_Toc19022"/>
      <w:bookmarkStart w:id="20" w:name="_Toc31375"/>
      <w:r>
        <w:rPr>
          <w:rFonts w:hint="eastAsia" w:asciiTheme="minorEastAsia" w:hAnsiTheme="minorEastAsia" w:eastAsiaTheme="minorEastAsia" w:cstheme="minorEastAsia"/>
          <w:b/>
          <w:color w:val="000000" w:themeColor="text1"/>
          <w:spacing w:val="40"/>
          <w:sz w:val="28"/>
          <w:szCs w:val="28"/>
          <w14:textFill>
            <w14:solidFill>
              <w14:schemeClr w14:val="tx1"/>
            </w14:solidFill>
          </w14:textFill>
        </w:rPr>
        <w:t>2024年5月</w:t>
      </w:r>
      <w:bookmarkEnd w:id="18"/>
      <w:bookmarkEnd w:id="19"/>
      <w:bookmarkEnd w:id="20"/>
      <w:r>
        <w:rPr>
          <w:rFonts w:hint="eastAsia" w:asciiTheme="minorEastAsia" w:hAnsiTheme="minorEastAsia" w:eastAsiaTheme="minorEastAsia" w:cstheme="minorEastAsia"/>
          <w:b/>
          <w:color w:val="000000" w:themeColor="text1"/>
          <w:spacing w:val="40"/>
          <w:sz w:val="28"/>
          <w:szCs w:val="28"/>
          <w14:textFill>
            <w14:solidFill>
              <w14:schemeClr w14:val="tx1"/>
            </w14:solidFill>
          </w14:textFill>
        </w:rPr>
        <w:t xml:space="preserve">  </w:t>
      </w:r>
    </w:p>
    <w:p>
      <w:pPr>
        <w:pStyle w:val="11"/>
        <w:spacing w:line="360" w:lineRule="auto"/>
        <w:jc w:val="center"/>
        <w:rPr>
          <w:rStyle w:val="29"/>
          <w:rFonts w:hAnsi="宋体" w:cs="宋体"/>
          <w:b/>
          <w:color w:val="000000" w:themeColor="text1"/>
          <w:szCs w:val="21"/>
          <w14:textFill>
            <w14:solidFill>
              <w14:schemeClr w14:val="tx1"/>
            </w14:solidFill>
          </w14:textFill>
        </w:rPr>
        <w:sectPr>
          <w:headerReference r:id="rId7" w:type="first"/>
          <w:headerReference r:id="rId5" w:type="default"/>
          <w:footerReference r:id="rId8" w:type="default"/>
          <w:headerReference r:id="rId6" w:type="even"/>
          <w:pgSz w:w="11906" w:h="16838"/>
          <w:pgMar w:top="1440" w:right="1800" w:bottom="1440" w:left="1800" w:header="851" w:footer="992" w:gutter="0"/>
          <w:cols w:space="425" w:num="1"/>
          <w:docGrid w:type="lines" w:linePitch="312" w:charSpace="0"/>
        </w:sectPr>
      </w:pPr>
    </w:p>
    <w:p>
      <w:pPr>
        <w:pStyle w:val="11"/>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adjustRightInd w:val="0"/>
        <w:snapToGrid w:val="0"/>
        <w:spacing w:line="360" w:lineRule="auto"/>
        <w:jc w:val="left"/>
        <w:outlineLvl w:val="0"/>
      </w:pPr>
    </w:p>
    <w:sdt>
      <w:sdtPr>
        <w:rPr>
          <w:rFonts w:ascii="宋体" w:hAnsi="宋体"/>
          <w:color w:val="013F7C"/>
          <w:sz w:val="30"/>
          <w:szCs w:val="30"/>
        </w:rPr>
        <w:id w:val="147467162"/>
        <w15:color w:val="DBDBDB"/>
        <w:docPartObj>
          <w:docPartGallery w:val="Table of Contents"/>
          <w:docPartUnique/>
        </w:docPartObj>
      </w:sdtPr>
      <w:sdtEndPr>
        <w:rPr>
          <w:rFonts w:hint="eastAsia" w:ascii="Times New Roman" w:hAnsi="Times New Roman"/>
          <w:color w:val="013F7C"/>
          <w:sz w:val="21"/>
          <w:szCs w:val="24"/>
        </w:rPr>
      </w:sdtEndPr>
      <w:sdtContent>
        <w:p>
          <w:pPr>
            <w:widowControl/>
            <w:jc w:val="center"/>
            <w:rPr>
              <w:sz w:val="30"/>
              <w:szCs w:val="30"/>
            </w:rPr>
          </w:pPr>
          <w:r>
            <w:rPr>
              <w:rFonts w:ascii="宋体" w:hAnsi="宋体"/>
              <w:sz w:val="30"/>
              <w:szCs w:val="30"/>
            </w:rPr>
            <w:t>目录</w:t>
          </w:r>
        </w:p>
        <w:p>
          <w:pPr>
            <w:pStyle w:val="15"/>
            <w:tabs>
              <w:tab w:val="right" w:leader="dot" w:pos="8306"/>
              <w:tab w:val="clear" w:pos="8393"/>
            </w:tabs>
          </w:pPr>
          <w:r>
            <w:rPr>
              <w:rFonts w:hint="eastAsia"/>
            </w:rPr>
            <w:fldChar w:fldCharType="begin"/>
          </w:r>
          <w:r>
            <w:rPr>
              <w:rFonts w:hint="eastAsia"/>
            </w:rPr>
            <w:instrText xml:space="preserve">TOC \o "1-3" \h \u </w:instrText>
          </w:r>
          <w:r>
            <w:rPr>
              <w:rFonts w:hint="eastAsia"/>
            </w:rPr>
            <w:fldChar w:fldCharType="separate"/>
          </w:r>
        </w:p>
        <w:p>
          <w:pPr>
            <w:pStyle w:val="15"/>
            <w:tabs>
              <w:tab w:val="right" w:leader="dot" w:pos="8306"/>
              <w:tab w:val="clear" w:pos="8393"/>
            </w:tabs>
            <w:spacing w:line="360" w:lineRule="auto"/>
            <w:rPr>
              <w:b w:val="0"/>
            </w:rPr>
          </w:pPr>
          <w:r>
            <w:fldChar w:fldCharType="begin"/>
          </w:r>
          <w:r>
            <w:instrText xml:space="preserve"> HYPERLINK \l "_Toc29246" </w:instrText>
          </w:r>
          <w:r>
            <w:fldChar w:fldCharType="separate"/>
          </w:r>
          <w:r>
            <w:rPr>
              <w:rFonts w:hint="eastAsia" w:asciiTheme="minorEastAsia" w:hAnsiTheme="minorEastAsia" w:eastAsiaTheme="minorEastAsia" w:cstheme="minorEastAsia"/>
              <w:b w:val="0"/>
            </w:rPr>
            <w:t>第一章</w:t>
          </w:r>
          <w:r>
            <w:rPr>
              <w:rFonts w:asciiTheme="minorEastAsia" w:hAnsiTheme="minorEastAsia" w:eastAsiaTheme="minorEastAsia" w:cstheme="minorEastAsia"/>
              <w:b w:val="0"/>
            </w:rPr>
            <w:t xml:space="preserve">  </w:t>
          </w:r>
          <w:r>
            <w:rPr>
              <w:rFonts w:hint="eastAsia" w:asciiTheme="minorEastAsia" w:hAnsiTheme="minorEastAsia" w:eastAsiaTheme="minorEastAsia" w:cstheme="minorEastAsia"/>
              <w:b w:val="0"/>
            </w:rPr>
            <w:t>比选公告</w:t>
          </w:r>
          <w:r>
            <w:rPr>
              <w:b w:val="0"/>
            </w:rPr>
            <w:tab/>
          </w:r>
          <w:r>
            <w:rPr>
              <w:b w:val="0"/>
            </w:rPr>
            <w:fldChar w:fldCharType="begin"/>
          </w:r>
          <w:r>
            <w:rPr>
              <w:b w:val="0"/>
            </w:rPr>
            <w:instrText xml:space="preserve"> PAGEREF _Toc29246 \h </w:instrText>
          </w:r>
          <w:r>
            <w:rPr>
              <w:b w:val="0"/>
            </w:rPr>
            <w:fldChar w:fldCharType="separate"/>
          </w:r>
          <w:r>
            <w:rPr>
              <w:b w:val="0"/>
            </w:rPr>
            <w:t>3</w:t>
          </w:r>
          <w:r>
            <w:rPr>
              <w:b w:val="0"/>
            </w:rPr>
            <w:fldChar w:fldCharType="end"/>
          </w:r>
          <w:r>
            <w:rPr>
              <w:b w:val="0"/>
            </w:rPr>
            <w:fldChar w:fldCharType="end"/>
          </w:r>
        </w:p>
        <w:p>
          <w:pPr>
            <w:pStyle w:val="15"/>
            <w:tabs>
              <w:tab w:val="right" w:leader="dot" w:pos="8306"/>
              <w:tab w:val="clear" w:pos="8393"/>
            </w:tabs>
            <w:spacing w:line="360" w:lineRule="auto"/>
            <w:rPr>
              <w:b w:val="0"/>
            </w:rPr>
          </w:pPr>
          <w:r>
            <w:fldChar w:fldCharType="begin"/>
          </w:r>
          <w:r>
            <w:instrText xml:space="preserve"> HYPERLINK \l "_Toc5492" </w:instrText>
          </w:r>
          <w:r>
            <w:fldChar w:fldCharType="separate"/>
          </w:r>
          <w:r>
            <w:rPr>
              <w:rFonts w:hint="eastAsia" w:cs="宋体"/>
              <w:b w:val="0"/>
            </w:rPr>
            <w:t>第二章</w:t>
          </w:r>
          <w:r>
            <w:rPr>
              <w:rFonts w:cs="宋体"/>
              <w:b w:val="0"/>
            </w:rPr>
            <w:t xml:space="preserve">  采购需求</w:t>
          </w:r>
          <w:r>
            <w:rPr>
              <w:b w:val="0"/>
            </w:rPr>
            <w:tab/>
          </w:r>
          <w:r>
            <w:rPr>
              <w:b w:val="0"/>
            </w:rPr>
            <w:fldChar w:fldCharType="begin"/>
          </w:r>
          <w:r>
            <w:rPr>
              <w:b w:val="0"/>
            </w:rPr>
            <w:instrText xml:space="preserve"> PAGEREF _Toc5492 \h </w:instrText>
          </w:r>
          <w:r>
            <w:rPr>
              <w:b w:val="0"/>
            </w:rPr>
            <w:fldChar w:fldCharType="separate"/>
          </w:r>
          <w:r>
            <w:rPr>
              <w:b w:val="0"/>
            </w:rPr>
            <w:t>5</w:t>
          </w:r>
          <w:r>
            <w:rPr>
              <w:b w:val="0"/>
            </w:rPr>
            <w:fldChar w:fldCharType="end"/>
          </w:r>
          <w:r>
            <w:rPr>
              <w:b w:val="0"/>
            </w:rPr>
            <w:fldChar w:fldCharType="end"/>
          </w:r>
        </w:p>
        <w:p>
          <w:pPr>
            <w:pStyle w:val="15"/>
            <w:tabs>
              <w:tab w:val="right" w:leader="dot" w:pos="8306"/>
              <w:tab w:val="clear" w:pos="8393"/>
            </w:tabs>
            <w:spacing w:line="360" w:lineRule="auto"/>
            <w:rPr>
              <w:b w:val="0"/>
            </w:rPr>
          </w:pPr>
          <w:r>
            <w:fldChar w:fldCharType="begin"/>
          </w:r>
          <w:r>
            <w:instrText xml:space="preserve"> HYPERLINK \l "_Toc11188" </w:instrText>
          </w:r>
          <w:r>
            <w:fldChar w:fldCharType="separate"/>
          </w:r>
          <w:r>
            <w:rPr>
              <w:rFonts w:hint="eastAsia" w:asciiTheme="minorEastAsia" w:hAnsiTheme="minorEastAsia" w:eastAsiaTheme="minorEastAsia" w:cstheme="minorEastAsia"/>
              <w:b w:val="0"/>
            </w:rPr>
            <w:t>第三章</w:t>
          </w:r>
          <w:r>
            <w:rPr>
              <w:rFonts w:asciiTheme="minorEastAsia" w:hAnsiTheme="minorEastAsia" w:eastAsiaTheme="minorEastAsia" w:cstheme="minorEastAsia"/>
              <w:b w:val="0"/>
            </w:rPr>
            <w:t xml:space="preserve">  </w:t>
          </w:r>
          <w:r>
            <w:rPr>
              <w:rFonts w:hint="eastAsia" w:asciiTheme="minorEastAsia" w:hAnsiTheme="minorEastAsia" w:eastAsiaTheme="minorEastAsia" w:cstheme="minorEastAsia"/>
              <w:b w:val="0"/>
            </w:rPr>
            <w:t>供应商须知</w:t>
          </w:r>
          <w:r>
            <w:rPr>
              <w:b w:val="0"/>
            </w:rPr>
            <w:tab/>
          </w:r>
          <w:r>
            <w:rPr>
              <w:b w:val="0"/>
            </w:rPr>
            <w:fldChar w:fldCharType="begin"/>
          </w:r>
          <w:r>
            <w:rPr>
              <w:b w:val="0"/>
            </w:rPr>
            <w:instrText xml:space="preserve"> PAGEREF _Toc11188 \h </w:instrText>
          </w:r>
          <w:r>
            <w:rPr>
              <w:b w:val="0"/>
            </w:rPr>
            <w:fldChar w:fldCharType="separate"/>
          </w:r>
          <w:r>
            <w:rPr>
              <w:b w:val="0"/>
            </w:rPr>
            <w:t>7</w:t>
          </w:r>
          <w:r>
            <w:rPr>
              <w:b w:val="0"/>
            </w:rPr>
            <w:fldChar w:fldCharType="end"/>
          </w:r>
          <w:r>
            <w:rPr>
              <w:b w:val="0"/>
            </w:rPr>
            <w:fldChar w:fldCharType="end"/>
          </w:r>
        </w:p>
        <w:p>
          <w:pPr>
            <w:pStyle w:val="15"/>
            <w:tabs>
              <w:tab w:val="right" w:leader="dot" w:pos="8306"/>
              <w:tab w:val="clear" w:pos="8393"/>
            </w:tabs>
            <w:spacing w:line="360" w:lineRule="auto"/>
            <w:rPr>
              <w:b w:val="0"/>
            </w:rPr>
          </w:pPr>
          <w:r>
            <w:fldChar w:fldCharType="begin"/>
          </w:r>
          <w:r>
            <w:instrText xml:space="preserve"> HYPERLINK \l "_Toc26151" </w:instrText>
          </w:r>
          <w:r>
            <w:fldChar w:fldCharType="separate"/>
          </w:r>
          <w:r>
            <w:rPr>
              <w:rFonts w:hint="eastAsia" w:asciiTheme="minorEastAsia" w:hAnsiTheme="minorEastAsia" w:eastAsiaTheme="minorEastAsia" w:cstheme="minorEastAsia"/>
              <w:b w:val="0"/>
            </w:rPr>
            <w:t>第四章</w:t>
          </w:r>
          <w:r>
            <w:rPr>
              <w:rFonts w:asciiTheme="minorEastAsia" w:hAnsiTheme="minorEastAsia" w:eastAsiaTheme="minorEastAsia" w:cstheme="minorEastAsia"/>
              <w:b w:val="0"/>
            </w:rPr>
            <w:t xml:space="preserve">  </w:t>
          </w:r>
          <w:r>
            <w:rPr>
              <w:rFonts w:hint="eastAsia" w:asciiTheme="minorEastAsia" w:hAnsiTheme="minorEastAsia" w:eastAsiaTheme="minorEastAsia" w:cstheme="minorEastAsia"/>
              <w:b w:val="0"/>
            </w:rPr>
            <w:t>审查标准和评审标准</w:t>
          </w:r>
          <w:r>
            <w:rPr>
              <w:b w:val="0"/>
            </w:rPr>
            <w:tab/>
          </w:r>
          <w:r>
            <w:rPr>
              <w:b w:val="0"/>
            </w:rPr>
            <w:fldChar w:fldCharType="begin"/>
          </w:r>
          <w:r>
            <w:rPr>
              <w:b w:val="0"/>
            </w:rPr>
            <w:instrText xml:space="preserve"> PAGEREF _Toc26151 \h </w:instrText>
          </w:r>
          <w:r>
            <w:rPr>
              <w:b w:val="0"/>
            </w:rPr>
            <w:fldChar w:fldCharType="separate"/>
          </w:r>
          <w:r>
            <w:rPr>
              <w:b w:val="0"/>
            </w:rPr>
            <w:t>20</w:t>
          </w:r>
          <w:r>
            <w:rPr>
              <w:b w:val="0"/>
            </w:rPr>
            <w:fldChar w:fldCharType="end"/>
          </w:r>
          <w:r>
            <w:rPr>
              <w:b w:val="0"/>
            </w:rPr>
            <w:fldChar w:fldCharType="end"/>
          </w:r>
        </w:p>
        <w:p>
          <w:pPr>
            <w:pStyle w:val="17"/>
            <w:tabs>
              <w:tab w:val="right" w:leader="dot" w:pos="8306"/>
            </w:tabs>
            <w:spacing w:line="360" w:lineRule="auto"/>
            <w:ind w:left="0" w:leftChars="0"/>
            <w:rPr>
              <w:bCs/>
              <w:sz w:val="28"/>
              <w:szCs w:val="28"/>
            </w:rPr>
          </w:pPr>
          <w:r>
            <w:fldChar w:fldCharType="begin"/>
          </w:r>
          <w:r>
            <w:instrText xml:space="preserve"> HYPERLINK \l "_Toc14101" </w:instrText>
          </w:r>
          <w:r>
            <w:fldChar w:fldCharType="separate"/>
          </w:r>
          <w:r>
            <w:rPr>
              <w:rFonts w:hint="eastAsia" w:asciiTheme="minorEastAsia" w:hAnsiTheme="minorEastAsia" w:eastAsiaTheme="minorEastAsia" w:cstheme="minorEastAsia"/>
              <w:bCs/>
              <w:sz w:val="28"/>
              <w:szCs w:val="28"/>
            </w:rPr>
            <w:t>第五章</w:t>
          </w:r>
          <w:r>
            <w:rPr>
              <w:rFonts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rPr>
            <w:t>采购合同格式</w:t>
          </w:r>
          <w:r>
            <w:rPr>
              <w:bCs/>
              <w:sz w:val="28"/>
              <w:szCs w:val="28"/>
            </w:rPr>
            <w:tab/>
          </w:r>
          <w:r>
            <w:rPr>
              <w:bCs/>
              <w:sz w:val="28"/>
              <w:szCs w:val="28"/>
            </w:rPr>
            <w:fldChar w:fldCharType="begin"/>
          </w:r>
          <w:r>
            <w:rPr>
              <w:bCs/>
              <w:sz w:val="28"/>
              <w:szCs w:val="28"/>
            </w:rPr>
            <w:instrText xml:space="preserve"> PAGEREF _Toc14101 \h </w:instrText>
          </w:r>
          <w:r>
            <w:rPr>
              <w:bCs/>
              <w:sz w:val="28"/>
              <w:szCs w:val="28"/>
            </w:rPr>
            <w:fldChar w:fldCharType="separate"/>
          </w:r>
          <w:r>
            <w:rPr>
              <w:bCs/>
              <w:sz w:val="28"/>
              <w:szCs w:val="28"/>
            </w:rPr>
            <w:t>23</w:t>
          </w:r>
          <w:r>
            <w:rPr>
              <w:bCs/>
              <w:sz w:val="28"/>
              <w:szCs w:val="28"/>
            </w:rPr>
            <w:fldChar w:fldCharType="end"/>
          </w:r>
          <w:r>
            <w:rPr>
              <w:bCs/>
              <w:sz w:val="28"/>
              <w:szCs w:val="28"/>
            </w:rPr>
            <w:fldChar w:fldCharType="end"/>
          </w:r>
        </w:p>
        <w:p>
          <w:pPr>
            <w:pStyle w:val="15"/>
            <w:tabs>
              <w:tab w:val="right" w:leader="dot" w:pos="8306"/>
              <w:tab w:val="clear" w:pos="8393"/>
            </w:tabs>
            <w:spacing w:line="360" w:lineRule="auto"/>
          </w:pPr>
          <w:r>
            <w:fldChar w:fldCharType="begin"/>
          </w:r>
          <w:r>
            <w:instrText xml:space="preserve"> HYPERLINK \l "_Toc7923" </w:instrText>
          </w:r>
          <w:r>
            <w:fldChar w:fldCharType="separate"/>
          </w:r>
          <w:r>
            <w:rPr>
              <w:rFonts w:hint="eastAsia" w:asciiTheme="minorEastAsia" w:hAnsiTheme="minorEastAsia" w:eastAsiaTheme="minorEastAsia" w:cstheme="minorEastAsia"/>
              <w:b w:val="0"/>
            </w:rPr>
            <w:t>第六章</w:t>
          </w:r>
          <w:r>
            <w:rPr>
              <w:rFonts w:asciiTheme="minorEastAsia" w:hAnsiTheme="minorEastAsia" w:eastAsiaTheme="minorEastAsia" w:cstheme="minorEastAsia"/>
              <w:b w:val="0"/>
            </w:rPr>
            <w:t xml:space="preserve">  </w:t>
          </w:r>
          <w:r>
            <w:rPr>
              <w:rFonts w:hint="eastAsia" w:asciiTheme="minorEastAsia" w:hAnsiTheme="minorEastAsia" w:eastAsiaTheme="minorEastAsia" w:cstheme="minorEastAsia"/>
              <w:b w:val="0"/>
            </w:rPr>
            <w:t>响应文件格式及附件</w:t>
          </w:r>
          <w:r>
            <w:rPr>
              <w:b w:val="0"/>
            </w:rPr>
            <w:tab/>
          </w:r>
          <w:r>
            <w:rPr>
              <w:b w:val="0"/>
            </w:rPr>
            <w:fldChar w:fldCharType="begin"/>
          </w:r>
          <w:r>
            <w:rPr>
              <w:b w:val="0"/>
            </w:rPr>
            <w:instrText xml:space="preserve"> PAGEREF _Toc7923 \h </w:instrText>
          </w:r>
          <w:r>
            <w:rPr>
              <w:b w:val="0"/>
            </w:rPr>
            <w:fldChar w:fldCharType="separate"/>
          </w:r>
          <w:r>
            <w:rPr>
              <w:b w:val="0"/>
            </w:rPr>
            <w:t>28</w:t>
          </w:r>
          <w:r>
            <w:rPr>
              <w:b w:val="0"/>
            </w:rPr>
            <w:fldChar w:fldCharType="end"/>
          </w:r>
          <w:r>
            <w:rPr>
              <w:b w:val="0"/>
            </w:rPr>
            <w:fldChar w:fldCharType="end"/>
          </w:r>
        </w:p>
        <w:p>
          <w:pPr>
            <w:pStyle w:val="8"/>
            <w:adjustRightInd w:val="0"/>
            <w:snapToGrid w:val="0"/>
            <w:spacing w:line="360" w:lineRule="auto"/>
            <w:jc w:val="center"/>
            <w:outlineLvl w:val="0"/>
          </w:pPr>
          <w:r>
            <w:rPr>
              <w:rFonts w:hint="eastAsia"/>
            </w:rPr>
            <w:fldChar w:fldCharType="end"/>
          </w:r>
        </w:p>
      </w:sdtContent>
    </w:sdt>
    <w:p>
      <w:pPr>
        <w:adjustRightInd w:val="0"/>
        <w:snapToGrid w:val="0"/>
        <w:spacing w:line="360" w:lineRule="auto"/>
        <w:jc w:val="center"/>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21" w:name="_Toc30971"/>
      <w:bookmarkStart w:id="22" w:name="_Toc29246"/>
      <w:r>
        <w:rPr>
          <w:rFonts w:hint="eastAsia" w:asciiTheme="minorEastAsia" w:hAnsiTheme="minorEastAsia" w:eastAsiaTheme="minorEastAsia" w:cstheme="minorEastAsia"/>
          <w:b/>
          <w:color w:val="000000" w:themeColor="text1"/>
          <w:szCs w:val="21"/>
          <w14:textFill>
            <w14:solidFill>
              <w14:schemeClr w14:val="tx1"/>
            </w14:solidFill>
          </w14:textFill>
        </w:rPr>
        <w:br w:type="page"/>
      </w:r>
    </w:p>
    <w:p>
      <w:pPr>
        <w:pStyle w:val="11"/>
        <w:adjustRightInd w:val="0"/>
        <w:snapToGrid w:val="0"/>
        <w:spacing w:line="360" w:lineRule="auto"/>
        <w:jc w:val="center"/>
        <w:outlineLvl w:val="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第一章  比选公告</w:t>
      </w:r>
      <w:bookmarkEnd w:id="21"/>
      <w:bookmarkEnd w:id="22"/>
    </w:p>
    <w:p>
      <w:pPr>
        <w:adjustRightInd w:val="0"/>
        <w:snapToGrid w:val="0"/>
        <w:spacing w:line="400" w:lineRule="exact"/>
        <w:ind w:firstLine="422" w:firstLineChars="200"/>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一、项目基本情况</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23" w:name="_Toc18714"/>
      <w:bookmarkStart w:id="24" w:name="_Toc31024"/>
      <w:bookmarkStart w:id="25" w:name="_Toc1448"/>
      <w:r>
        <w:rPr>
          <w:rFonts w:hint="eastAsia" w:asciiTheme="minorEastAsia" w:hAnsiTheme="minorEastAsia" w:eastAsiaTheme="minorEastAsia" w:cstheme="minorEastAsia"/>
          <w:bCs/>
          <w:color w:val="000000" w:themeColor="text1"/>
          <w:szCs w:val="21"/>
          <w14:textFill>
            <w14:solidFill>
              <w14:schemeClr w14:val="tx1"/>
            </w14:solidFill>
          </w14:textFill>
        </w:rPr>
        <w:t>1、项目编号：</w:t>
      </w:r>
      <w:bookmarkEnd w:id="23"/>
      <w:bookmarkEnd w:id="24"/>
      <w:bookmarkEnd w:id="25"/>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26" w:name="_Toc31671"/>
      <w:bookmarkStart w:id="27" w:name="_Toc6607"/>
      <w:bookmarkStart w:id="28" w:name="_Toc10761"/>
      <w:r>
        <w:rPr>
          <w:rFonts w:hint="eastAsia" w:asciiTheme="minorEastAsia" w:hAnsiTheme="minorEastAsia" w:eastAsiaTheme="minorEastAsia" w:cstheme="minorEastAsia"/>
          <w:bCs/>
          <w:color w:val="000000" w:themeColor="text1"/>
          <w:szCs w:val="21"/>
          <w14:textFill>
            <w14:solidFill>
              <w14:schemeClr w14:val="tx1"/>
            </w14:solidFill>
          </w14:textFill>
        </w:rPr>
        <w:t>2、项目名称：中州航空主基地搬迁项目飞行模拟训练中心对海口美兰机场10号跑道航向信标台空间信号影响专项技术研究项目</w:t>
      </w:r>
      <w:bookmarkEnd w:id="26"/>
      <w:bookmarkEnd w:id="27"/>
      <w:bookmarkEnd w:id="28"/>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29" w:name="_Toc22369"/>
      <w:bookmarkStart w:id="30" w:name="_Toc5281"/>
      <w:bookmarkStart w:id="31" w:name="_Toc18195"/>
      <w:r>
        <w:rPr>
          <w:rFonts w:hint="eastAsia" w:asciiTheme="minorEastAsia" w:hAnsiTheme="minorEastAsia" w:eastAsiaTheme="minorEastAsia" w:cstheme="minorEastAsia"/>
          <w:bCs/>
          <w:color w:val="000000" w:themeColor="text1"/>
          <w:szCs w:val="21"/>
          <w14:textFill>
            <w14:solidFill>
              <w14:schemeClr w14:val="tx1"/>
            </w14:solidFill>
          </w14:textFill>
        </w:rPr>
        <w:t>3、预算金额：人民币</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45</w:t>
      </w:r>
      <w:r>
        <w:rPr>
          <w:rFonts w:hint="eastAsia" w:asciiTheme="minorEastAsia" w:hAnsiTheme="minorEastAsia" w:eastAsiaTheme="minorEastAsia" w:cstheme="minorEastAsia"/>
          <w:bCs/>
          <w:color w:val="000000" w:themeColor="text1"/>
          <w:szCs w:val="21"/>
          <w14:textFill>
            <w14:solidFill>
              <w14:schemeClr w14:val="tx1"/>
            </w14:solidFill>
          </w14:textFill>
        </w:rPr>
        <w:t>万元</w:t>
      </w:r>
      <w:bookmarkEnd w:id="29"/>
      <w:bookmarkEnd w:id="30"/>
      <w:bookmarkEnd w:id="31"/>
    </w:p>
    <w:p>
      <w:pPr>
        <w:pStyle w:val="11"/>
        <w:adjustRightInd w:val="0"/>
        <w:snapToGrid w:val="0"/>
        <w:spacing w:line="400" w:lineRule="exact"/>
        <w:ind w:firstLine="630" w:firstLineChars="300"/>
        <w:jc w:val="left"/>
        <w:outlineLvl w:val="0"/>
        <w:rPr>
          <w:rFonts w:hAnsi="宋体" w:cs="宋体"/>
          <w:color w:val="000000" w:themeColor="text1"/>
          <w:szCs w:val="21"/>
          <w14:textFill>
            <w14:solidFill>
              <w14:schemeClr w14:val="tx1"/>
            </w14:solidFill>
          </w14:textFill>
        </w:rPr>
      </w:pPr>
      <w:bookmarkStart w:id="32" w:name="_Toc7396"/>
      <w:bookmarkStart w:id="33" w:name="_Toc10900"/>
      <w:bookmarkStart w:id="34" w:name="_Toc21775"/>
      <w:r>
        <w:rPr>
          <w:rFonts w:hint="eastAsia" w:asciiTheme="minorEastAsia" w:hAnsiTheme="minorEastAsia" w:eastAsiaTheme="minorEastAsia" w:cstheme="minorEastAsia"/>
          <w:bCs/>
          <w:color w:val="000000" w:themeColor="text1"/>
          <w:szCs w:val="21"/>
          <w14:textFill>
            <w14:solidFill>
              <w14:schemeClr w14:val="tx1"/>
            </w14:solidFill>
          </w14:textFill>
        </w:rPr>
        <w:t>最高限价：人民币</w:t>
      </w:r>
      <w:r>
        <w:rPr>
          <w:rFonts w:hint="eastAsia" w:asciiTheme="minorEastAsia" w:hAnsiTheme="minorEastAsia" w:eastAsiaTheme="minorEastAsia" w:cstheme="minorEastAsia"/>
          <w:b/>
          <w:color w:val="000000" w:themeColor="text1"/>
          <w:szCs w:val="21"/>
          <w:lang w:val="en-US" w:eastAsia="zh-CN"/>
          <w14:textFill>
            <w14:solidFill>
              <w14:schemeClr w14:val="tx1"/>
            </w14:solidFill>
          </w14:textFill>
        </w:rPr>
        <w:t>45</w:t>
      </w:r>
      <w:r>
        <w:rPr>
          <w:rFonts w:hint="eastAsia" w:asciiTheme="minorEastAsia" w:hAnsiTheme="minorEastAsia" w:eastAsiaTheme="minorEastAsia" w:cstheme="minorEastAsia"/>
          <w:bCs/>
          <w:color w:val="000000" w:themeColor="text1"/>
          <w:szCs w:val="21"/>
          <w14:textFill>
            <w14:solidFill>
              <w14:schemeClr w14:val="tx1"/>
            </w14:solidFill>
          </w14:textFill>
        </w:rPr>
        <w:t>万元（投标报价超过预算金额或最高限价的均按无效投标处理）</w:t>
      </w:r>
      <w:bookmarkEnd w:id="32"/>
      <w:bookmarkEnd w:id="33"/>
      <w:bookmarkEnd w:id="34"/>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35" w:name="_Toc31783"/>
      <w:bookmarkStart w:id="36" w:name="_Toc12530"/>
      <w:bookmarkStart w:id="37" w:name="_Toc11737"/>
      <w:r>
        <w:rPr>
          <w:rFonts w:hint="eastAsia" w:asciiTheme="minorEastAsia" w:hAnsiTheme="minorEastAsia" w:eastAsiaTheme="minorEastAsia" w:cstheme="minorEastAsia"/>
          <w:bCs/>
          <w:color w:val="000000" w:themeColor="text1"/>
          <w:szCs w:val="21"/>
          <w14:textFill>
            <w14:solidFill>
              <w14:schemeClr w14:val="tx1"/>
            </w14:solidFill>
          </w14:textFill>
        </w:rPr>
        <w:t>4、采购需求：</w:t>
      </w:r>
      <w:r>
        <w:rPr>
          <w:rFonts w:hint="eastAsia" w:hAnsi="宋体" w:cs="宋体"/>
          <w:bCs/>
          <w:color w:val="000000" w:themeColor="text1"/>
          <w:szCs w:val="21"/>
          <w14:textFill>
            <w14:solidFill>
              <w14:schemeClr w14:val="tx1"/>
            </w14:solidFill>
          </w14:textFill>
        </w:rPr>
        <w:t>详细需求详见第二章《采购需求》</w:t>
      </w:r>
      <w:bookmarkEnd w:id="35"/>
      <w:bookmarkEnd w:id="36"/>
      <w:bookmarkEnd w:id="37"/>
      <w:r>
        <w:rPr>
          <w:rFonts w:hint="eastAsia" w:hAnsi="宋体" w:cs="宋体"/>
          <w:bCs/>
          <w:color w:val="000000" w:themeColor="text1"/>
          <w:szCs w:val="21"/>
          <w14:textFill>
            <w14:solidFill>
              <w14:schemeClr w14:val="tx1"/>
            </w14:solidFill>
          </w14:textFill>
        </w:rPr>
        <w:t>。</w:t>
      </w:r>
    </w:p>
    <w:p>
      <w:pPr>
        <w:spacing w:line="400" w:lineRule="exact"/>
        <w:ind w:right="-197" w:rightChars="-94" w:firstLine="420" w:firstLineChars="200"/>
        <w:rPr>
          <w:rFonts w:ascii="宋体" w:hAnsi="宋体"/>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5、服务期限</w:t>
      </w:r>
      <w:bookmarkStart w:id="38" w:name="_Toc28359003"/>
      <w:bookmarkStart w:id="39" w:name="_Toc35393622"/>
      <w:bookmarkStart w:id="40" w:name="_Toc28359080"/>
      <w:bookmarkStart w:id="41" w:name="_Toc35393791"/>
      <w:r>
        <w:rPr>
          <w:rFonts w:hint="eastAsia" w:asciiTheme="minorEastAsia" w:hAnsiTheme="minorEastAsia" w:eastAsiaTheme="minorEastAsia" w:cstheme="minorEastAsia"/>
          <w:bCs/>
          <w:color w:val="000000" w:themeColor="text1"/>
          <w:szCs w:val="21"/>
          <w14:textFill>
            <w14:solidFill>
              <w14:schemeClr w14:val="tx1"/>
            </w14:solidFill>
          </w14:textFill>
        </w:rPr>
        <w:t>：</w:t>
      </w:r>
      <w:bookmarkStart w:id="42" w:name="_Hlk164773942"/>
      <w:r>
        <w:rPr>
          <w:rFonts w:hint="eastAsia" w:asciiTheme="minorEastAsia" w:hAnsiTheme="minorEastAsia" w:eastAsiaTheme="minorEastAsia" w:cstheme="minorEastAsia"/>
          <w:bCs/>
          <w:color w:val="000000" w:themeColor="text1"/>
          <w:szCs w:val="21"/>
          <w14:textFill>
            <w14:solidFill>
              <w14:schemeClr w14:val="tx1"/>
            </w14:solidFill>
          </w14:textFill>
        </w:rPr>
        <w:t>合同签订且收到评估所需全部资料之日起</w:t>
      </w:r>
      <w:r>
        <w:rPr>
          <w:rFonts w:asciiTheme="minorEastAsia" w:hAnsiTheme="minorEastAsia" w:eastAsiaTheme="minorEastAsia" w:cstheme="minorEastAsia"/>
          <w:bCs/>
          <w:color w:val="000000" w:themeColor="text1"/>
          <w:szCs w:val="21"/>
          <w:u w:val="single"/>
          <w14:textFill>
            <w14:solidFill>
              <w14:schemeClr w14:val="tx1"/>
            </w14:solidFill>
          </w14:textFill>
        </w:rPr>
        <w:t>2</w:t>
      </w:r>
      <w:r>
        <w:rPr>
          <w:rFonts w:hint="eastAsia" w:asciiTheme="minorEastAsia" w:hAnsiTheme="minorEastAsia" w:eastAsiaTheme="minorEastAsia" w:cstheme="minorEastAsia"/>
          <w:bCs/>
          <w:color w:val="000000" w:themeColor="text1"/>
          <w:szCs w:val="21"/>
          <w14:textFill>
            <w14:solidFill>
              <w14:schemeClr w14:val="tx1"/>
            </w14:solidFill>
          </w14:textFill>
        </w:rPr>
        <w:t>个月内提交符合要求的评估报告评审稿</w:t>
      </w:r>
      <w:bookmarkEnd w:id="42"/>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43" w:name="_Toc30259"/>
      <w:bookmarkStart w:id="44" w:name="_Toc17830"/>
      <w:bookmarkStart w:id="45" w:name="_Toc24347"/>
      <w:r>
        <w:rPr>
          <w:rFonts w:hint="eastAsia" w:asciiTheme="minorEastAsia" w:hAnsiTheme="minorEastAsia" w:eastAsiaTheme="minorEastAsia" w:cstheme="minorEastAsia"/>
          <w:bCs/>
          <w:color w:val="000000" w:themeColor="text1"/>
          <w:szCs w:val="21"/>
          <w14:textFill>
            <w14:solidFill>
              <w14:schemeClr w14:val="tx1"/>
            </w14:solidFill>
          </w14:textFill>
        </w:rPr>
        <w:t>6、服务地点：</w:t>
      </w:r>
      <w:bookmarkEnd w:id="43"/>
      <w:bookmarkEnd w:id="44"/>
      <w:bookmarkEnd w:id="45"/>
      <w:r>
        <w:rPr>
          <w:rFonts w:hint="eastAsia" w:asciiTheme="minorEastAsia" w:hAnsiTheme="minorEastAsia" w:eastAsiaTheme="minorEastAsia" w:cstheme="minorEastAsia"/>
          <w:bCs/>
          <w:color w:val="000000" w:themeColor="text1"/>
          <w:szCs w:val="21"/>
          <w14:textFill>
            <w14:solidFill>
              <w14:schemeClr w14:val="tx1"/>
            </w14:solidFill>
          </w14:textFill>
        </w:rPr>
        <w:t>海南省海口市江东大道202号江东发展大厦5楼江东新区管理局</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46" w:name="_Toc7270"/>
      <w:bookmarkStart w:id="47" w:name="_Toc15060"/>
      <w:bookmarkStart w:id="48" w:name="_Toc3909"/>
      <w:r>
        <w:rPr>
          <w:rFonts w:hint="eastAsia" w:asciiTheme="minorEastAsia" w:hAnsiTheme="minorEastAsia" w:eastAsiaTheme="minorEastAsia" w:cstheme="minorEastAsia"/>
          <w:b/>
          <w:color w:val="000000" w:themeColor="text1"/>
          <w:szCs w:val="21"/>
          <w14:textFill>
            <w14:solidFill>
              <w14:schemeClr w14:val="tx1"/>
            </w14:solidFill>
          </w14:textFill>
        </w:rPr>
        <w:t>二、供应商的资格要求：</w:t>
      </w:r>
      <w:bookmarkEnd w:id="38"/>
      <w:bookmarkEnd w:id="39"/>
      <w:bookmarkEnd w:id="40"/>
      <w:bookmarkEnd w:id="41"/>
      <w:bookmarkEnd w:id="46"/>
      <w:bookmarkEnd w:id="47"/>
      <w:bookmarkEnd w:id="48"/>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bookmarkStart w:id="49" w:name="_Toc1497"/>
      <w:bookmarkStart w:id="50" w:name="_Toc27712"/>
      <w:bookmarkStart w:id="51" w:name="_Toc14109"/>
      <w:bookmarkStart w:id="52" w:name="_Toc28359081"/>
      <w:bookmarkStart w:id="53" w:name="_Toc28359004"/>
      <w:bookmarkStart w:id="54" w:name="_Toc35393792"/>
      <w:bookmarkStart w:id="55" w:name="_Toc35393623"/>
      <w:r>
        <w:rPr>
          <w:rFonts w:hint="eastAsia" w:hAnsi="宋体" w:cs="宋体"/>
          <w:bCs/>
          <w:color w:val="000000" w:themeColor="text1"/>
          <w:szCs w:val="21"/>
          <w14:textFill>
            <w14:solidFill>
              <w14:schemeClr w14:val="tx1"/>
            </w14:solidFill>
          </w14:textFill>
        </w:rPr>
        <w:t>1、满足《中华人民共和国政府采购法》第二十二条规定；</w:t>
      </w:r>
      <w:bookmarkEnd w:id="49"/>
      <w:bookmarkEnd w:id="50"/>
      <w:bookmarkEnd w:id="51"/>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int="eastAsia" w:hAnsi="宋体" w:cs="宋体"/>
          <w:bCs/>
          <w:color w:val="000000" w:themeColor="text1"/>
          <w:szCs w:val="21"/>
          <w14:textFill>
            <w14:solidFill>
              <w14:schemeClr w14:val="tx1"/>
            </w14:solidFill>
          </w14:textFill>
        </w:rPr>
        <w:t>1</w:t>
      </w:r>
      <w:r>
        <w:rPr>
          <w:rFonts w:hAnsi="宋体" w:cs="宋体"/>
          <w:bCs/>
          <w:color w:val="000000" w:themeColor="text1"/>
          <w:szCs w:val="21"/>
          <w14:textFill>
            <w14:solidFill>
              <w14:schemeClr w14:val="tx1"/>
            </w14:solidFill>
          </w14:textFill>
        </w:rPr>
        <w:t>.1</w:t>
      </w:r>
      <w:r>
        <w:rPr>
          <w:rFonts w:hint="eastAsia" w:hAnsi="宋体" w:cs="宋体"/>
          <w:bCs/>
          <w:color w:val="000000" w:themeColor="text1"/>
          <w:szCs w:val="21"/>
          <w14:textFill>
            <w14:solidFill>
              <w14:schemeClr w14:val="tx1"/>
            </w14:solidFill>
          </w14:textFill>
        </w:rPr>
        <w:t>、具有独立承担民事责任的能力；</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1.2</w:t>
      </w:r>
      <w:r>
        <w:rPr>
          <w:rFonts w:hint="eastAsia" w:hAnsi="宋体" w:cs="宋体"/>
          <w:bCs/>
          <w:color w:val="000000" w:themeColor="text1"/>
          <w:szCs w:val="21"/>
          <w14:textFill>
            <w14:solidFill>
              <w14:schemeClr w14:val="tx1"/>
            </w14:solidFill>
          </w14:textFill>
        </w:rPr>
        <w:t>、具有良好的商业信誉和健全的财务会计制度；</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1.3</w:t>
      </w:r>
      <w:r>
        <w:rPr>
          <w:rFonts w:hint="eastAsia" w:hAnsi="宋体" w:cs="宋体"/>
          <w:bCs/>
          <w:color w:val="000000" w:themeColor="text1"/>
          <w:szCs w:val="21"/>
          <w14:textFill>
            <w14:solidFill>
              <w14:schemeClr w14:val="tx1"/>
            </w14:solidFill>
          </w14:textFill>
        </w:rPr>
        <w:t>、具有履行合同所必需的设备和专业技术能力；</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1.4</w:t>
      </w:r>
      <w:r>
        <w:rPr>
          <w:rFonts w:hint="eastAsia" w:hAnsi="宋体" w:cs="宋体"/>
          <w:bCs/>
          <w:color w:val="000000" w:themeColor="text1"/>
          <w:szCs w:val="21"/>
          <w14:textFill>
            <w14:solidFill>
              <w14:schemeClr w14:val="tx1"/>
            </w14:solidFill>
          </w14:textFill>
        </w:rPr>
        <w:t>、有依法缴纳税收和社会保障资金的良好记录；</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1.5</w:t>
      </w:r>
      <w:r>
        <w:rPr>
          <w:rFonts w:hint="eastAsia" w:hAnsi="宋体" w:cs="宋体"/>
          <w:bCs/>
          <w:color w:val="000000" w:themeColor="text1"/>
          <w:szCs w:val="21"/>
          <w14:textFill>
            <w14:solidFill>
              <w14:schemeClr w14:val="tx1"/>
            </w14:solidFill>
          </w14:textFill>
        </w:rPr>
        <w:t>、参加政府采购活动前三年内，在经营活动中没有重大违法记录；</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1.6</w:t>
      </w:r>
      <w:r>
        <w:rPr>
          <w:rFonts w:hint="eastAsia" w:hAnsi="宋体" w:cs="宋体"/>
          <w:bCs/>
          <w:color w:val="000000" w:themeColor="text1"/>
          <w:szCs w:val="21"/>
          <w14:textFill>
            <w14:solidFill>
              <w14:schemeClr w14:val="tx1"/>
            </w14:solidFill>
          </w14:textFill>
        </w:rPr>
        <w:t>、法律、行政法规规定的其他条件。</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bookmarkStart w:id="56" w:name="_Toc15246"/>
      <w:bookmarkStart w:id="57" w:name="_Toc14870"/>
      <w:bookmarkStart w:id="58" w:name="_Toc25399"/>
      <w:r>
        <w:rPr>
          <w:rFonts w:hint="eastAsia" w:hAnsi="宋体" w:cs="宋体"/>
          <w:bCs/>
          <w:color w:val="000000" w:themeColor="text1"/>
          <w:szCs w:val="21"/>
          <w14:textFill>
            <w14:solidFill>
              <w14:schemeClr w14:val="tx1"/>
            </w14:solidFill>
          </w14:textFill>
        </w:rPr>
        <w:t>2、落实政府采购政策需满足的资格要求：无</w:t>
      </w:r>
      <w:bookmarkEnd w:id="56"/>
      <w:bookmarkEnd w:id="57"/>
      <w:bookmarkEnd w:id="58"/>
      <w:r>
        <w:rPr>
          <w:rFonts w:hint="eastAsia" w:hAnsi="宋体" w:cs="宋体"/>
          <w:bCs/>
          <w:color w:val="000000" w:themeColor="text1"/>
          <w:szCs w:val="21"/>
          <w14:textFill>
            <w14:solidFill>
              <w14:schemeClr w14:val="tx1"/>
            </w14:solidFill>
          </w14:textFill>
        </w:rPr>
        <w:t>。</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bookmarkStart w:id="59" w:name="_Toc25165"/>
      <w:bookmarkStart w:id="60" w:name="_Toc5918"/>
      <w:bookmarkStart w:id="61" w:name="_Toc29113"/>
      <w:r>
        <w:rPr>
          <w:rFonts w:hint="eastAsia" w:hAnsi="宋体" w:cs="宋体"/>
          <w:bCs/>
          <w:color w:val="000000" w:themeColor="text1"/>
          <w:szCs w:val="21"/>
          <w14:textFill>
            <w14:solidFill>
              <w14:schemeClr w14:val="tx1"/>
            </w14:solidFill>
          </w14:textFill>
        </w:rPr>
        <w:t>3、符合采购人根据采购项目实际情况要求的特定资格条件和其他法律法规规定的条件，具体如下：</w:t>
      </w:r>
      <w:bookmarkEnd w:id="59"/>
      <w:bookmarkEnd w:id="60"/>
      <w:bookmarkEnd w:id="61"/>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bookmarkStart w:id="62" w:name="_Toc265"/>
      <w:bookmarkStart w:id="63" w:name="_Toc20496"/>
      <w:bookmarkStart w:id="64" w:name="_Toc9695"/>
      <w:r>
        <w:rPr>
          <w:rFonts w:hint="eastAsia" w:hAnsi="宋体" w:cs="宋体"/>
          <w:bCs/>
          <w:color w:val="000000" w:themeColor="text1"/>
          <w:szCs w:val="21"/>
          <w14:textFill>
            <w14:solidFill>
              <w14:schemeClr w14:val="tx1"/>
            </w14:solidFill>
          </w14:textFill>
        </w:rPr>
        <w:t>3.1、供应商未被列入失信被执行人、重大税收违法案件当事人名单（税收违法黑名单）和政府采购严重违法失信行为记录名单（须提供“信用中国”网站（www.creditchina.gov.cn)查询失信被执行人、重大税收违法案件当事人名单（税收违法黑名单）的查询结果截图并加盖公章；和“中国政府采购网”网站（http://www.ccgp.gov.cn/）查询政府采购严重违法失信行为记录名单的查询结果截图并加盖公章），如相关失信记录已失效，供应商须提供相关证明资料并加盖公章；</w:t>
      </w:r>
      <w:bookmarkEnd w:id="62"/>
      <w:bookmarkEnd w:id="63"/>
      <w:bookmarkEnd w:id="64"/>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r>
        <w:rPr>
          <w:rFonts w:hAnsi="宋体" w:cs="宋体"/>
          <w:bCs/>
          <w:color w:val="000000" w:themeColor="text1"/>
          <w:szCs w:val="21"/>
          <w14:textFill>
            <w14:solidFill>
              <w14:schemeClr w14:val="tx1"/>
            </w14:solidFill>
          </w14:textFill>
        </w:rPr>
        <w:t>3.2</w:t>
      </w:r>
      <w:r>
        <w:rPr>
          <w:rFonts w:hint="eastAsia" w:hAnsi="宋体" w:cs="宋体"/>
          <w:bCs/>
          <w:color w:val="000000" w:themeColor="text1"/>
          <w:szCs w:val="21"/>
          <w14:textFill>
            <w14:solidFill>
              <w14:schemeClr w14:val="tx1"/>
            </w14:solidFill>
          </w14:textFill>
        </w:rPr>
        <w:t>、供应商单位负责人为同一人或者存在控股、管理关系的不同单位，不得同时参加本招标项目投标；</w:t>
      </w:r>
    </w:p>
    <w:p>
      <w:pPr>
        <w:pStyle w:val="11"/>
        <w:adjustRightInd w:val="0"/>
        <w:snapToGrid w:val="0"/>
        <w:spacing w:line="400" w:lineRule="exact"/>
        <w:ind w:firstLine="420" w:firstLineChars="200"/>
        <w:jc w:val="left"/>
        <w:outlineLvl w:val="0"/>
        <w:rPr>
          <w:rFonts w:hAnsi="宋体" w:cs="宋体"/>
          <w:bCs/>
          <w:color w:val="000000" w:themeColor="text1"/>
          <w:szCs w:val="21"/>
          <w14:textFill>
            <w14:solidFill>
              <w14:schemeClr w14:val="tx1"/>
            </w14:solidFill>
          </w14:textFill>
        </w:rPr>
      </w:pPr>
      <w:bookmarkStart w:id="65" w:name="_Toc16641"/>
      <w:bookmarkStart w:id="66" w:name="_Toc22163"/>
      <w:bookmarkStart w:id="67" w:name="_Toc16616"/>
      <w:r>
        <w:rPr>
          <w:rFonts w:hint="eastAsia" w:hAnsi="宋体" w:cs="宋体"/>
          <w:bCs/>
          <w:color w:val="000000" w:themeColor="text1"/>
          <w:szCs w:val="21"/>
          <w14:textFill>
            <w14:solidFill>
              <w14:schemeClr w14:val="tx1"/>
            </w14:solidFill>
          </w14:textFill>
        </w:rPr>
        <w:t>3.</w:t>
      </w:r>
      <w:r>
        <w:rPr>
          <w:rFonts w:hAnsi="宋体" w:cs="宋体"/>
          <w:bCs/>
          <w:color w:val="000000" w:themeColor="text1"/>
          <w:szCs w:val="21"/>
          <w14:textFill>
            <w14:solidFill>
              <w14:schemeClr w14:val="tx1"/>
            </w14:solidFill>
          </w14:textFill>
        </w:rPr>
        <w:t>3</w:t>
      </w:r>
      <w:r>
        <w:rPr>
          <w:rFonts w:hint="eastAsia" w:hAnsi="宋体" w:cs="宋体"/>
          <w:bCs/>
          <w:color w:val="000000" w:themeColor="text1"/>
          <w:szCs w:val="21"/>
          <w14:textFill>
            <w14:solidFill>
              <w14:schemeClr w14:val="tx1"/>
            </w14:solidFill>
          </w14:textFill>
        </w:rPr>
        <w:t>、本项目不接受联合体投标。</w:t>
      </w:r>
    </w:p>
    <w:bookmarkEnd w:id="65"/>
    <w:bookmarkEnd w:id="66"/>
    <w:bookmarkEnd w:id="67"/>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68" w:name="_Toc11936"/>
      <w:bookmarkStart w:id="69" w:name="_Toc16564"/>
      <w:bookmarkStart w:id="70" w:name="_Toc3693"/>
      <w:r>
        <w:rPr>
          <w:rFonts w:hint="eastAsia" w:asciiTheme="minorEastAsia" w:hAnsiTheme="minorEastAsia" w:eastAsiaTheme="minorEastAsia" w:cstheme="minorEastAsia"/>
          <w:b/>
          <w:color w:val="000000" w:themeColor="text1"/>
          <w:szCs w:val="21"/>
          <w14:textFill>
            <w14:solidFill>
              <w14:schemeClr w14:val="tx1"/>
            </w14:solidFill>
          </w14:textFill>
        </w:rPr>
        <w:t>三、</w:t>
      </w:r>
      <w:bookmarkEnd w:id="52"/>
      <w:bookmarkEnd w:id="53"/>
      <w:bookmarkEnd w:id="54"/>
      <w:bookmarkEnd w:id="55"/>
      <w:r>
        <w:rPr>
          <w:rFonts w:hint="eastAsia" w:asciiTheme="minorEastAsia" w:hAnsiTheme="minorEastAsia" w:eastAsiaTheme="minorEastAsia" w:cstheme="minorEastAsia"/>
          <w:b/>
          <w:color w:val="000000" w:themeColor="text1"/>
          <w:szCs w:val="21"/>
          <w14:textFill>
            <w14:solidFill>
              <w14:schemeClr w14:val="tx1"/>
            </w14:solidFill>
          </w14:textFill>
        </w:rPr>
        <w:t>采购文件获取办法</w:t>
      </w:r>
      <w:bookmarkEnd w:id="68"/>
      <w:bookmarkEnd w:id="69"/>
      <w:bookmarkEnd w:id="70"/>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Cs/>
          <w:color w:val="000000" w:themeColor="text1"/>
          <w:szCs w:val="21"/>
          <w:highlight w:val="none"/>
          <w14:textFill>
            <w14:solidFill>
              <w14:schemeClr w14:val="tx1"/>
            </w14:solidFill>
          </w14:textFill>
        </w:rPr>
      </w:pPr>
      <w:bookmarkStart w:id="71" w:name="_Toc10529"/>
      <w:bookmarkStart w:id="72" w:name="_Toc6756"/>
      <w:bookmarkStart w:id="73" w:name="_Toc8841"/>
      <w:r>
        <w:rPr>
          <w:rFonts w:hint="eastAsia" w:asciiTheme="minorEastAsia" w:hAnsiTheme="minorEastAsia" w:eastAsiaTheme="minorEastAsia" w:cstheme="minorEastAsia"/>
          <w:bCs/>
          <w:color w:val="000000" w:themeColor="text1"/>
          <w:szCs w:val="21"/>
          <w14:textFill>
            <w14:solidFill>
              <w14:schemeClr w14:val="tx1"/>
            </w14:solidFill>
          </w14:textFill>
        </w:rPr>
        <w:t>1、采购比选文件获取时间：</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 xml:space="preserve"> </w:t>
      </w:r>
      <w:commentRangeStart w:id="3"/>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2</w:t>
      </w:r>
      <w:r>
        <w:rPr>
          <w:rFonts w:asciiTheme="minorEastAsia" w:hAnsiTheme="minorEastAsia" w:eastAsiaTheme="minorEastAsia" w:cstheme="minorEastAsia"/>
          <w:bCs/>
          <w:color w:val="000000" w:themeColor="text1"/>
          <w:szCs w:val="21"/>
          <w:highlight w:val="none"/>
          <w14:textFill>
            <w14:solidFill>
              <w14:schemeClr w14:val="tx1"/>
            </w14:solidFill>
          </w14:textFill>
        </w:rPr>
        <w:t>024年</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w:t>
      </w:r>
      <w:r>
        <w:rPr>
          <w:rFonts w:asciiTheme="minorEastAsia" w:hAnsiTheme="minorEastAsia" w:eastAsiaTheme="minorEastAsia" w:cstheme="minorEastAsia"/>
          <w:bCs/>
          <w:color w:val="000000" w:themeColor="text1"/>
          <w:szCs w:val="21"/>
          <w:highlight w:val="none"/>
          <w14:textFill>
            <w14:solidFill>
              <w14:schemeClr w14:val="tx1"/>
            </w14:solidFill>
          </w14:textFill>
        </w:rPr>
        <w:t>00时00分至2024年</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w:t>
      </w:r>
      <w:r>
        <w:rPr>
          <w:rFonts w:asciiTheme="minorEastAsia" w:hAnsiTheme="minorEastAsia" w:eastAsiaTheme="minorEastAsia" w:cstheme="minorEastAsia"/>
          <w:bCs/>
          <w:color w:val="000000" w:themeColor="text1"/>
          <w:szCs w:val="21"/>
          <w:highlight w:val="none"/>
          <w14:textFill>
            <w14:solidFill>
              <w14:schemeClr w14:val="tx1"/>
            </w14:solidFill>
          </w14:textFill>
        </w:rPr>
        <w:t>23点59分（北京时间）</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w:t>
      </w:r>
      <w:commentRangeEnd w:id="3"/>
      <w:r>
        <w:rPr>
          <w:highlight w:val="none"/>
        </w:rPr>
        <w:commentReference w:id="3"/>
      </w:r>
      <w:bookmarkEnd w:id="71"/>
      <w:bookmarkEnd w:id="72"/>
      <w:bookmarkEnd w:id="73"/>
    </w:p>
    <w:p>
      <w:pPr>
        <w:pStyle w:val="11"/>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000000" w:themeColor="text1"/>
          <w:szCs w:val="21"/>
          <w14:textFill>
            <w14:solidFill>
              <w14:schemeClr w14:val="tx1"/>
            </w14:solidFill>
          </w14:textFill>
        </w:rPr>
      </w:pPr>
      <w:bookmarkStart w:id="74" w:name="_Toc11822"/>
      <w:bookmarkStart w:id="75" w:name="_Toc23256"/>
      <w:bookmarkStart w:id="76" w:name="_Toc15122"/>
      <w:r>
        <w:rPr>
          <w:rFonts w:hint="eastAsia" w:asciiTheme="minorEastAsia" w:hAnsiTheme="minorEastAsia" w:eastAsiaTheme="minorEastAsia" w:cstheme="minorEastAsia"/>
          <w:bCs/>
          <w:color w:val="000000" w:themeColor="text1"/>
          <w:szCs w:val="21"/>
          <w14:textFill>
            <w14:solidFill>
              <w14:schemeClr w14:val="tx1"/>
            </w14:solidFill>
          </w14:textFill>
        </w:rPr>
        <w:t>2、采购比选文件获取方式：请有意向参与本项目采购活动的单位在比选公告界面自行下载比选文件。</w:t>
      </w:r>
      <w:bookmarkEnd w:id="74"/>
      <w:bookmarkEnd w:id="75"/>
      <w:bookmarkEnd w:id="76"/>
    </w:p>
    <w:p>
      <w:pPr>
        <w:pStyle w:val="11"/>
        <w:adjustRightInd w:val="0"/>
        <w:snapToGrid w:val="0"/>
        <w:spacing w:line="400" w:lineRule="exact"/>
        <w:ind w:firstLine="420" w:firstLineChars="200"/>
        <w:jc w:val="left"/>
        <w:outlineLvl w:val="0"/>
        <w:rPr>
          <w:rFonts w:hint="eastAsia" w:asciiTheme="minorEastAsia" w:hAnsiTheme="minorEastAsia" w:eastAsiaTheme="minorEastAsia" w:cstheme="minorEastAsia"/>
          <w:bCs/>
          <w:color w:val="000000" w:themeColor="text1"/>
          <w:szCs w:val="21"/>
          <w14:textFill>
            <w14:solidFill>
              <w14:schemeClr w14:val="tx1"/>
            </w14:solidFill>
          </w14:textFill>
        </w:rPr>
      </w:pP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77" w:name="_Toc17734"/>
      <w:bookmarkStart w:id="78" w:name="_Toc6990"/>
      <w:bookmarkStart w:id="79" w:name="_Toc26273"/>
      <w:bookmarkStart w:id="80" w:name="_Toc35393627"/>
      <w:bookmarkStart w:id="81" w:name="_Toc28359008"/>
      <w:bookmarkStart w:id="82" w:name="_Toc35393796"/>
      <w:bookmarkStart w:id="83" w:name="_Toc28359085"/>
      <w:r>
        <w:rPr>
          <w:rFonts w:hint="eastAsia" w:asciiTheme="minorEastAsia" w:hAnsiTheme="minorEastAsia" w:eastAsiaTheme="minorEastAsia" w:cstheme="minorEastAsia"/>
          <w:b/>
          <w:color w:val="000000" w:themeColor="text1"/>
          <w:szCs w:val="21"/>
          <w14:textFill>
            <w14:solidFill>
              <w14:schemeClr w14:val="tx1"/>
            </w14:solidFill>
          </w14:textFill>
        </w:rPr>
        <w:t>四、响应文件递交截止时间、开标时间及地点</w:t>
      </w:r>
      <w:bookmarkEnd w:id="77"/>
      <w:bookmarkEnd w:id="78"/>
      <w:bookmarkEnd w:id="79"/>
    </w:p>
    <w:p>
      <w:pPr>
        <w:adjustRightInd w:val="0"/>
        <w:snapToGrid w:val="0"/>
        <w:spacing w:line="400" w:lineRule="exact"/>
        <w:ind w:firstLine="420" w:firstLineChars="200"/>
        <w:rPr>
          <w:rFonts w:asciiTheme="minorEastAsia" w:hAnsiTheme="minorEastAsia" w:eastAsiaTheme="minorEastAsia" w:cstheme="minorEastAsia"/>
          <w:bCs/>
          <w:color w:val="000000" w:themeColor="text1"/>
          <w:szCs w:val="21"/>
          <w:highlight w:val="none"/>
          <w14:textFill>
            <w14:solidFill>
              <w14:schemeClr w14:val="tx1"/>
            </w14:solidFill>
          </w14:textFill>
        </w:rPr>
      </w:pPr>
      <w:bookmarkStart w:id="84" w:name="_Toc35393794"/>
      <w:bookmarkStart w:id="85" w:name="_Toc28359007"/>
      <w:bookmarkStart w:id="86" w:name="_Toc28359084"/>
      <w:bookmarkStart w:id="87" w:name="_Toc35393625"/>
      <w:r>
        <w:rPr>
          <w:rFonts w:hint="eastAsia" w:asciiTheme="minorEastAsia" w:hAnsiTheme="minorEastAsia" w:eastAsiaTheme="minorEastAsia" w:cstheme="minorEastAsia"/>
          <w:bCs/>
          <w:color w:val="000000" w:themeColor="text1"/>
          <w:szCs w:val="21"/>
          <w14:textFill>
            <w14:solidFill>
              <w14:schemeClr w14:val="tx1"/>
            </w14:solidFill>
          </w14:textFill>
        </w:rPr>
        <w:t>1、响应文件递交截止时</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间:2</w:t>
      </w:r>
      <w:r>
        <w:rPr>
          <w:rFonts w:asciiTheme="minorEastAsia" w:hAnsiTheme="minorEastAsia" w:eastAsiaTheme="minorEastAsia" w:cstheme="minorEastAsia"/>
          <w:bCs/>
          <w:color w:val="000000" w:themeColor="text1"/>
          <w:szCs w:val="21"/>
          <w:highlight w:val="none"/>
          <w14:textFill>
            <w14:solidFill>
              <w14:schemeClr w14:val="tx1"/>
            </w14:solidFill>
          </w14:textFill>
        </w:rPr>
        <w:t>024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日下午</w:t>
      </w:r>
      <w:r>
        <w:rPr>
          <w:rFonts w:asciiTheme="minorEastAsia" w:hAnsiTheme="minorEastAsia" w:eastAsiaTheme="minorEastAsia" w:cstheme="minorEastAsia"/>
          <w:bCs/>
          <w:color w:val="000000" w:themeColor="text1"/>
          <w:szCs w:val="21"/>
          <w:highlight w:val="none"/>
          <w14:textFill>
            <w14:solidFill>
              <w14:schemeClr w14:val="tx1"/>
            </w14:solidFill>
          </w14:textFill>
        </w:rPr>
        <w:t>15:00（北京时间）；</w:t>
      </w:r>
    </w:p>
    <w:p>
      <w:pPr>
        <w:adjustRightInd w:val="0"/>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2、开标时间:与响应文件递交截止时间为同一时间；</w:t>
      </w:r>
    </w:p>
    <w:p>
      <w:pPr>
        <w:adjustRightInd w:val="0"/>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3、响应文件递交及开标地点:海南省海口市江东大道202号江东发展大厦5楼501江东新区管理局规划部；</w:t>
      </w:r>
    </w:p>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88" w:name="_Toc16752"/>
      <w:bookmarkStart w:id="89" w:name="_Toc11591"/>
      <w:bookmarkStart w:id="90" w:name="_Toc4420"/>
      <w:r>
        <w:rPr>
          <w:rFonts w:hint="eastAsia" w:asciiTheme="minorEastAsia" w:hAnsiTheme="minorEastAsia" w:eastAsiaTheme="minorEastAsia" w:cstheme="minorEastAsia"/>
          <w:bCs/>
          <w:color w:val="000000" w:themeColor="text1"/>
          <w:szCs w:val="21"/>
          <w14:textFill>
            <w14:solidFill>
              <w14:schemeClr w14:val="tx1"/>
            </w14:solidFill>
          </w14:textFill>
        </w:rPr>
        <w:t>4、逾期提交/送达或者未送达指定地点的响应文件，视为无效响应文件不予接收。</w:t>
      </w:r>
      <w:r>
        <w:rPr>
          <w:rFonts w:hint="eastAsia" w:asciiTheme="minorEastAsia" w:hAnsiTheme="minorEastAsia" w:eastAsiaTheme="minorEastAsia" w:cstheme="minorEastAsia"/>
          <w:b/>
          <w:color w:val="000000" w:themeColor="text1"/>
          <w:szCs w:val="21"/>
          <w14:textFill>
            <w14:solidFill>
              <w14:schemeClr w14:val="tx1"/>
            </w14:solidFill>
          </w14:textFill>
        </w:rPr>
        <w:tab/>
      </w:r>
      <w:r>
        <w:rPr>
          <w:rFonts w:hint="eastAsia" w:asciiTheme="minorEastAsia" w:hAnsiTheme="minorEastAsia" w:eastAsiaTheme="minorEastAsia" w:cstheme="minorEastAsia"/>
          <w:b/>
          <w:color w:val="000000" w:themeColor="text1"/>
          <w:szCs w:val="21"/>
          <w14:textFill>
            <w14:solidFill>
              <w14:schemeClr w14:val="tx1"/>
            </w14:solidFill>
          </w14:textFill>
        </w:rPr>
        <w:t>五、采购信息发布媒体</w:t>
      </w:r>
      <w:bookmarkEnd w:id="88"/>
      <w:bookmarkEnd w:id="89"/>
      <w:bookmarkEnd w:id="90"/>
    </w:p>
    <w:p>
      <w:pPr>
        <w:adjustRightInd w:val="0"/>
        <w:snapToGrid w:val="0"/>
        <w:spacing w:line="400" w:lineRule="exact"/>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1、本项目采购信息指定发布媒体为海口江东新区管理局官网http://jdxq.haikou.gov.cn/；</w:t>
      </w:r>
    </w:p>
    <w:p>
      <w:pPr>
        <w:adjustRightInd w:val="0"/>
        <w:snapToGrid w:val="0"/>
        <w:spacing w:line="400" w:lineRule="exact"/>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2、有关本项目采购比选文件的补遗、澄清及变更信息以上述网站公告与下载为准，采购比选文件与更正公告的内容相互矛盾时，以最后发出的更正公告内容为准。</w:t>
      </w:r>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91" w:name="_Toc26374"/>
      <w:bookmarkStart w:id="92" w:name="_Toc11277"/>
      <w:bookmarkStart w:id="93" w:name="_Toc28372"/>
      <w:r>
        <w:rPr>
          <w:rFonts w:hint="eastAsia" w:asciiTheme="minorEastAsia" w:hAnsiTheme="minorEastAsia" w:eastAsiaTheme="minorEastAsia" w:cstheme="minorEastAsia"/>
          <w:b/>
          <w:color w:val="000000" w:themeColor="text1"/>
          <w:szCs w:val="21"/>
          <w14:textFill>
            <w14:solidFill>
              <w14:schemeClr w14:val="tx1"/>
            </w14:solidFill>
          </w14:textFill>
        </w:rPr>
        <w:t>六、公告期限</w:t>
      </w:r>
      <w:bookmarkEnd w:id="91"/>
      <w:bookmarkEnd w:id="92"/>
      <w:bookmarkEnd w:id="93"/>
    </w:p>
    <w:bookmarkEnd w:id="84"/>
    <w:bookmarkEnd w:id="85"/>
    <w:bookmarkEnd w:id="86"/>
    <w:bookmarkEnd w:id="87"/>
    <w:p>
      <w:pPr>
        <w:pStyle w:val="11"/>
        <w:adjustRightInd w:val="0"/>
        <w:snapToGrid w:val="0"/>
        <w:spacing w:line="400" w:lineRule="exact"/>
        <w:ind w:firstLine="420" w:firstLineChars="200"/>
        <w:jc w:val="left"/>
        <w:outlineLvl w:val="0"/>
        <w:rPr>
          <w:rFonts w:asciiTheme="minorEastAsia" w:hAnsiTheme="minorEastAsia" w:eastAsiaTheme="minorEastAsia" w:cstheme="minorEastAsia"/>
          <w:b/>
          <w:color w:val="000000" w:themeColor="text1"/>
          <w:szCs w:val="21"/>
          <w:highlight w:val="none"/>
          <w14:textFill>
            <w14:solidFill>
              <w14:schemeClr w14:val="tx1"/>
            </w14:solidFill>
          </w14:textFill>
        </w:rPr>
      </w:pPr>
      <w:bookmarkStart w:id="94" w:name="_Toc19839"/>
      <w:bookmarkStart w:id="95" w:name="_Toc35393626"/>
      <w:bookmarkStart w:id="96" w:name="_Toc9370"/>
      <w:bookmarkStart w:id="97" w:name="_Toc35393795"/>
      <w:bookmarkStart w:id="98" w:name="_Toc28065"/>
      <w:r>
        <w:rPr>
          <w:rFonts w:hint="eastAsia" w:asciiTheme="minorEastAsia" w:hAnsiTheme="minorEastAsia" w:eastAsiaTheme="minorEastAsia" w:cstheme="minorEastAsia"/>
          <w:bCs/>
          <w:color w:val="000000" w:themeColor="text1"/>
          <w:szCs w:val="21"/>
          <w14:textFill>
            <w14:solidFill>
              <w14:schemeClr w14:val="tx1"/>
            </w14:solidFill>
          </w14:textFill>
        </w:rPr>
        <w:t>本项目比选公告、采购比选文件公告自本公告发布之日起不少于3个工作日，</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自</w:t>
      </w:r>
      <w:r>
        <w:rPr>
          <w:rFonts w:asciiTheme="minorEastAsia" w:hAnsiTheme="minorEastAsia" w:eastAsiaTheme="minorEastAsia" w:cstheme="minorEastAsia"/>
          <w:bCs/>
          <w:color w:val="000000" w:themeColor="text1"/>
          <w:szCs w:val="21"/>
          <w:highlight w:val="none"/>
          <w14:textFill>
            <w14:solidFill>
              <w14:schemeClr w14:val="tx1"/>
            </w14:solidFill>
          </w14:textFill>
        </w:rPr>
        <w:t>2024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5</w:t>
      </w:r>
      <w:r>
        <w:rPr>
          <w:rFonts w:asciiTheme="minorEastAsia" w:hAnsiTheme="minorEastAsia" w:eastAsiaTheme="minorEastAsia" w:cstheme="minorEastAsia"/>
          <w:bCs/>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31</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日零时起至</w:t>
      </w:r>
      <w:r>
        <w:rPr>
          <w:rFonts w:asciiTheme="minorEastAsia" w:hAnsiTheme="minorEastAsia" w:eastAsiaTheme="minorEastAsia" w:cstheme="minorEastAsia"/>
          <w:bCs/>
          <w:color w:val="000000" w:themeColor="text1"/>
          <w:szCs w:val="21"/>
          <w:highlight w:val="none"/>
          <w14:textFill>
            <w14:solidFill>
              <w14:schemeClr w14:val="tx1"/>
            </w14:solidFill>
          </w14:textFill>
        </w:rPr>
        <w:t>2024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年</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6</w:t>
      </w:r>
      <w:r>
        <w:rPr>
          <w:rFonts w:asciiTheme="minorEastAsia" w:hAnsiTheme="minorEastAsia" w:eastAsiaTheme="minorEastAsia" w:cstheme="minorEastAsia"/>
          <w:bCs/>
          <w:color w:val="000000" w:themeColor="text1"/>
          <w:szCs w:val="21"/>
          <w:highlight w:val="none"/>
          <w14:textFill>
            <w14:solidFill>
              <w14:schemeClr w14:val="tx1"/>
            </w14:solidFill>
          </w14:textFill>
        </w:rPr>
        <w:t>月</w:t>
      </w:r>
      <w:r>
        <w:rPr>
          <w:rFonts w:hint="eastAsia" w:asciiTheme="minorEastAsia" w:hAnsiTheme="minorEastAsia" w:eastAsiaTheme="minorEastAsia" w:cstheme="minorEastAsia"/>
          <w:bCs/>
          <w:color w:val="000000" w:themeColor="text1"/>
          <w:szCs w:val="2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szCs w:val="21"/>
          <w:highlight w:val="none"/>
          <w14:textFill>
            <w14:solidFill>
              <w14:schemeClr w14:val="tx1"/>
            </w14:solidFill>
          </w14:textFill>
        </w:rPr>
        <w:t>日</w:t>
      </w:r>
      <w:r>
        <w:rPr>
          <w:rFonts w:asciiTheme="minorEastAsia" w:hAnsiTheme="minorEastAsia" w:eastAsiaTheme="minorEastAsia" w:cstheme="minorEastAsia"/>
          <w:bCs/>
          <w:color w:val="000000" w:themeColor="text1"/>
          <w:szCs w:val="21"/>
          <w:highlight w:val="none"/>
          <w14:textFill>
            <w14:solidFill>
              <w14:schemeClr w14:val="tx1"/>
            </w14:solidFill>
          </w14:textFill>
        </w:rPr>
        <w:t>24时止。</w:t>
      </w:r>
      <w:bookmarkEnd w:id="94"/>
      <w:bookmarkEnd w:id="95"/>
      <w:bookmarkEnd w:id="96"/>
      <w:bookmarkEnd w:id="97"/>
      <w:bookmarkEnd w:id="98"/>
    </w:p>
    <w:p>
      <w:pPr>
        <w:pStyle w:val="11"/>
        <w:adjustRightInd w:val="0"/>
        <w:snapToGrid w:val="0"/>
        <w:spacing w:line="400" w:lineRule="exact"/>
        <w:ind w:firstLine="422" w:firstLineChars="200"/>
        <w:jc w:val="left"/>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99" w:name="_Toc26486"/>
      <w:bookmarkStart w:id="100" w:name="_Toc27227"/>
      <w:bookmarkStart w:id="101" w:name="_Toc20664"/>
      <w:r>
        <w:rPr>
          <w:rFonts w:hint="eastAsia" w:asciiTheme="minorEastAsia" w:hAnsiTheme="minorEastAsia" w:eastAsiaTheme="minorEastAsia" w:cstheme="minorEastAsia"/>
          <w:b/>
          <w:color w:val="000000" w:themeColor="text1"/>
          <w:szCs w:val="21"/>
          <w14:textFill>
            <w14:solidFill>
              <w14:schemeClr w14:val="tx1"/>
            </w14:solidFill>
          </w14:textFill>
        </w:rPr>
        <w:t>七、对本次招标提出询问，请按以下方式联系</w:t>
      </w:r>
      <w:bookmarkEnd w:id="80"/>
      <w:bookmarkEnd w:id="81"/>
      <w:bookmarkEnd w:id="82"/>
      <w:bookmarkEnd w:id="83"/>
      <w:bookmarkEnd w:id="99"/>
      <w:bookmarkEnd w:id="100"/>
      <w:bookmarkEnd w:id="101"/>
    </w:p>
    <w:p>
      <w:pPr>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采购人： 海口江东新区管理局 </w:t>
      </w:r>
    </w:p>
    <w:p>
      <w:pPr>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地址：海南省海口市江东大道202号江东发展大厦5楼501江东新区管理局规划部  </w:t>
      </w:r>
    </w:p>
    <w:p>
      <w:pPr>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联系人：林晓航</w:t>
      </w:r>
    </w:p>
    <w:p>
      <w:pPr>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联系方式： 65686639</w:t>
      </w:r>
    </w:p>
    <w:p>
      <w:pPr>
        <w:snapToGrid w:val="0"/>
        <w:spacing w:line="400" w:lineRule="exact"/>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102" w:name="_Toc28359086"/>
      <w:bookmarkStart w:id="103" w:name="_Toc28359009"/>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bookmarkEnd w:id="102"/>
    <w:bookmarkEnd w:id="103"/>
    <w:p>
      <w:pPr>
        <w:snapToGrid w:val="0"/>
        <w:spacing w:line="400" w:lineRule="exact"/>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sectPr>
          <w:headerReference r:id="rId9" w:type="first"/>
          <w:footerReference r:id="rId11" w:type="first"/>
          <w:footerReference r:id="rId10"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p>
      <w:pPr>
        <w:adjustRightInd w:val="0"/>
        <w:snapToGrid w:val="0"/>
        <w:spacing w:line="360" w:lineRule="auto"/>
        <w:jc w:val="center"/>
        <w:outlineLvl w:val="0"/>
        <w:rPr>
          <w:rFonts w:ascii="宋体" w:hAnsi="宋体" w:cs="宋体"/>
          <w:b/>
          <w:color w:val="000000" w:themeColor="text1"/>
          <w:szCs w:val="21"/>
          <w14:textFill>
            <w14:solidFill>
              <w14:schemeClr w14:val="tx1"/>
            </w14:solidFill>
          </w14:textFill>
        </w:rPr>
      </w:pPr>
      <w:bookmarkStart w:id="104" w:name="_Toc5492"/>
      <w:bookmarkStart w:id="105" w:name="_Toc3642"/>
      <w:r>
        <w:rPr>
          <w:rFonts w:hint="eastAsia" w:ascii="宋体" w:hAnsi="宋体" w:cs="宋体"/>
          <w:b/>
          <w:color w:val="000000" w:themeColor="text1"/>
          <w:szCs w:val="21"/>
          <w14:textFill>
            <w14:solidFill>
              <w14:schemeClr w14:val="tx1"/>
            </w14:solidFill>
          </w14:textFill>
        </w:rPr>
        <w:t>第二章  采购需求</w:t>
      </w:r>
      <w:bookmarkEnd w:id="104"/>
      <w:bookmarkEnd w:id="105"/>
    </w:p>
    <w:p>
      <w:pPr>
        <w:spacing w:line="560" w:lineRule="exact"/>
        <w:rPr>
          <w:rFonts w:ascii="宋体" w:hAnsi="宋体" w:cs="宋体"/>
          <w:bCs/>
          <w:szCs w:val="21"/>
        </w:rPr>
      </w:pPr>
      <w:r>
        <w:rPr>
          <w:rFonts w:hint="eastAsia" w:ascii="宋体" w:hAnsi="宋体" w:cs="宋体"/>
          <w:bCs/>
          <w:szCs w:val="21"/>
        </w:rPr>
        <w:t xml:space="preserve"> </w:t>
      </w:r>
      <w:r>
        <w:rPr>
          <w:rFonts w:ascii="宋体" w:hAnsi="宋体" w:cs="宋体"/>
          <w:bCs/>
          <w:szCs w:val="21"/>
        </w:rPr>
        <w:t xml:space="preserve">   </w:t>
      </w:r>
      <w:r>
        <w:rPr>
          <w:rFonts w:hint="eastAsia" w:ascii="宋体" w:hAnsi="宋体" w:cs="宋体"/>
          <w:bCs/>
          <w:szCs w:val="21"/>
        </w:rPr>
        <w:t>海口美兰机场10 号跑道航向信标台（简称“LOC 10”）执行仪表着陆系统Ⅲ类运行，机场西北侧区域中州航空主基地搬迁飞行模拟训练中心项目（简称“</w:t>
      </w:r>
      <w:bookmarkStart w:id="106" w:name="_Hlk164763888"/>
      <w:r>
        <w:rPr>
          <w:rFonts w:hint="eastAsia" w:ascii="宋体" w:hAnsi="宋体" w:cs="宋体"/>
          <w:bCs/>
          <w:szCs w:val="21"/>
        </w:rPr>
        <w:t>中州基地项目</w:t>
      </w:r>
      <w:bookmarkEnd w:id="106"/>
      <w:r>
        <w:rPr>
          <w:rFonts w:hint="eastAsia" w:ascii="宋体" w:hAnsi="宋体" w:cs="宋体"/>
          <w:bCs/>
          <w:szCs w:val="21"/>
        </w:rPr>
        <w:t>”）拟建离地高度为42.7米，位于LOC10建筑物限制区范围内，此区域内建筑物限制区的高度限制为相对于10号跑道航向信标台20米，中州基地项目建设高度不满足MH/T4003.1-2021中对于建筑物限制区高度的要求。</w:t>
      </w:r>
    </w:p>
    <w:p>
      <w:pPr>
        <w:spacing w:line="560" w:lineRule="exact"/>
        <w:ind w:firstLine="420" w:firstLineChars="200"/>
        <w:rPr>
          <w:rFonts w:ascii="宋体" w:hAnsi="宋体" w:cs="宋体"/>
          <w:bCs/>
          <w:szCs w:val="21"/>
        </w:rPr>
      </w:pPr>
      <w:r>
        <w:rPr>
          <w:rFonts w:hint="eastAsia" w:ascii="宋体" w:hAnsi="宋体" w:cs="宋体"/>
          <w:bCs/>
          <w:szCs w:val="21"/>
        </w:rPr>
        <w:t>根据MH/T4003.1-2021，宜采用计算机仿真的方式确定中州基地项目建筑物的尺寸，并判断是否对10号跑道航向信标台Ⅲ类运行造成影响，避免中州基地项目建设完成之后影响海口美兰机场10 号跑道航向信标台的正常运行，分析内容如下：</w:t>
      </w:r>
    </w:p>
    <w:p>
      <w:pPr>
        <w:spacing w:line="560" w:lineRule="exact"/>
        <w:ind w:firstLine="420" w:firstLineChars="200"/>
        <w:rPr>
          <w:rFonts w:ascii="宋体" w:hAnsi="宋体" w:cs="宋体"/>
          <w:bCs/>
          <w:szCs w:val="21"/>
        </w:rPr>
      </w:pPr>
      <w:r>
        <w:rPr>
          <w:rFonts w:hint="eastAsia" w:ascii="宋体" w:hAnsi="宋体" w:cs="宋体"/>
          <w:bCs/>
          <w:szCs w:val="21"/>
        </w:rPr>
        <w:t>（1）台站场地标准符合性分析；</w:t>
      </w:r>
    </w:p>
    <w:p>
      <w:pPr>
        <w:spacing w:line="560" w:lineRule="exact"/>
        <w:ind w:firstLine="420" w:firstLineChars="200"/>
        <w:rPr>
          <w:rFonts w:ascii="宋体" w:hAnsi="宋体" w:cs="宋体"/>
          <w:bCs/>
          <w:szCs w:val="21"/>
        </w:rPr>
      </w:pPr>
      <w:r>
        <w:rPr>
          <w:rFonts w:hint="eastAsia" w:ascii="宋体" w:hAnsi="宋体" w:cs="宋体"/>
          <w:bCs/>
          <w:szCs w:val="21"/>
        </w:rPr>
        <w:t>（2）地形、天线和障碍物三维精细化建模；</w:t>
      </w:r>
    </w:p>
    <w:p>
      <w:pPr>
        <w:spacing w:line="560" w:lineRule="exact"/>
        <w:ind w:firstLine="420" w:firstLineChars="200"/>
        <w:rPr>
          <w:rFonts w:ascii="宋体" w:hAnsi="宋体" w:cs="宋体"/>
          <w:bCs/>
          <w:szCs w:val="21"/>
        </w:rPr>
      </w:pPr>
      <w:r>
        <w:rPr>
          <w:rFonts w:hint="eastAsia" w:ascii="宋体" w:hAnsi="宋体" w:cs="宋体"/>
          <w:bCs/>
          <w:szCs w:val="21"/>
        </w:rPr>
        <w:t>（3）基于菲涅尔区理论和多路径的信号覆盖分析；</w:t>
      </w:r>
    </w:p>
    <w:p>
      <w:pPr>
        <w:spacing w:line="560" w:lineRule="exact"/>
        <w:ind w:firstLine="420" w:firstLineChars="200"/>
        <w:rPr>
          <w:rFonts w:ascii="宋体" w:hAnsi="宋体" w:cs="宋体"/>
          <w:bCs/>
          <w:szCs w:val="21"/>
        </w:rPr>
      </w:pPr>
      <w:r>
        <w:rPr>
          <w:rFonts w:hint="eastAsia" w:ascii="宋体" w:hAnsi="宋体" w:cs="宋体"/>
          <w:bCs/>
          <w:szCs w:val="21"/>
        </w:rPr>
        <w:t>（4）全飞行轨迹下航向信标航道结构、航道校直、航道余隙、航道宽度和对称性、调制度和等飞行校验参数仿真。</w:t>
      </w:r>
    </w:p>
    <w:p>
      <w:pPr>
        <w:spacing w:line="560" w:lineRule="exact"/>
        <w:ind w:firstLine="420" w:firstLineChars="200"/>
        <w:rPr>
          <w:rFonts w:ascii="宋体" w:hAnsi="宋体" w:cs="宋体"/>
          <w:bCs/>
          <w:szCs w:val="21"/>
        </w:rPr>
      </w:pPr>
      <w:r>
        <w:rPr>
          <w:rFonts w:hint="eastAsia" w:ascii="宋体" w:hAnsi="宋体" w:cs="宋体"/>
          <w:bCs/>
          <w:szCs w:val="21"/>
        </w:rPr>
        <w:t>（5）结合分析结果判断中州基地项目建设是否对 LOC 10 Ⅲ类运行造成影响。如有影响，则配合业主在设计、施工可行的前提下提出项目优化方案及改进措施。</w:t>
      </w:r>
    </w:p>
    <w:p>
      <w:pPr>
        <w:spacing w:line="560" w:lineRule="exact"/>
        <w:ind w:firstLine="420" w:firstLineChars="200"/>
        <w:rPr>
          <w:rFonts w:ascii="宋体" w:hAnsi="宋体" w:cs="宋体"/>
          <w:bCs/>
          <w:szCs w:val="21"/>
        </w:rPr>
      </w:pPr>
      <w:r>
        <w:rPr>
          <w:rFonts w:hint="eastAsia" w:ascii="宋体" w:hAnsi="宋体" w:cs="宋体"/>
          <w:bCs/>
          <w:szCs w:val="21"/>
        </w:rPr>
        <w:t>（6）编制《中州航空主基地搬迁飞行模拟训练中心对海口美兰机场10号跑道航向信标台空间信号影响专项技术研究报告》并组织专家评审，所编制的报告最终以通过民航行业专家评审或民航行业主管部门认可的方式通过验收。</w:t>
      </w:r>
    </w:p>
    <w:p>
      <w:pPr>
        <w:rPr>
          <w:rFonts w:ascii="宋体" w:hAnsi="宋体" w:cs="宋体"/>
          <w:bCs/>
          <w:szCs w:val="21"/>
        </w:rPr>
      </w:pPr>
      <w:r>
        <w:rPr>
          <w:rFonts w:hint="eastAsia" w:ascii="宋体" w:hAnsi="宋体" w:cs="宋体"/>
          <w:bCs/>
          <w:szCs w:val="21"/>
        </w:rPr>
        <w:br w:type="page"/>
      </w:r>
    </w:p>
    <w:p>
      <w:pPr>
        <w:pStyle w:val="36"/>
        <w:rPr>
          <w:color w:val="000000" w:themeColor="text1"/>
          <w14:textFill>
            <w14:solidFill>
              <w14:schemeClr w14:val="tx1"/>
            </w14:solidFill>
          </w14:textFill>
        </w:rPr>
      </w:pPr>
    </w:p>
    <w:p>
      <w:pPr>
        <w:adjustRightInd w:val="0"/>
        <w:snapToGrid w:val="0"/>
        <w:spacing w:line="360" w:lineRule="auto"/>
        <w:jc w:val="center"/>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107" w:name="_Toc11188"/>
      <w:bookmarkStart w:id="108" w:name="_Toc18067"/>
      <w:r>
        <w:rPr>
          <w:rFonts w:hint="eastAsia" w:asciiTheme="minorEastAsia" w:hAnsiTheme="minorEastAsia" w:eastAsiaTheme="minorEastAsia" w:cstheme="minorEastAsia"/>
          <w:b/>
          <w:color w:val="000000" w:themeColor="text1"/>
          <w:szCs w:val="21"/>
          <w14:textFill>
            <w14:solidFill>
              <w14:schemeClr w14:val="tx1"/>
            </w14:solidFill>
          </w14:textFill>
        </w:rPr>
        <w:t>第三章  供应商须知</w:t>
      </w:r>
      <w:bookmarkEnd w:id="107"/>
      <w:bookmarkEnd w:id="108"/>
    </w:p>
    <w:p>
      <w:pPr>
        <w:adjustRightInd w:val="0"/>
        <w:snapToGrid w:val="0"/>
        <w:spacing w:before="120" w:after="240"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供应商须知前附表</w:t>
      </w:r>
    </w:p>
    <w:tbl>
      <w:tblPr>
        <w:tblStyle w:val="22"/>
        <w:tblW w:w="8295"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40"/>
        <w:gridCol w:w="2435"/>
        <w:gridCol w:w="522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0" w:hRule="atLeast"/>
          <w:tblHeader/>
        </w:trPr>
        <w:tc>
          <w:tcPr>
            <w:tcW w:w="640" w:type="dxa"/>
            <w:tcBorders>
              <w:top w:val="single" w:color="auto" w:sz="18"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
                <w:color w:val="000000" w:themeColor="text1"/>
                <w:sz w:val="21"/>
                <w:szCs w:val="21"/>
                <w:lang w:val="zh-CN"/>
                <w14:textFill>
                  <w14:solidFill>
                    <w14:schemeClr w14:val="tx1"/>
                  </w14:solidFill>
                </w14:textFill>
              </w:rPr>
            </w:pPr>
            <w:bookmarkStart w:id="109" w:name="_Toc246826106"/>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 xml:space="preserve">序号 </w:t>
            </w:r>
          </w:p>
        </w:tc>
        <w:tc>
          <w:tcPr>
            <w:tcW w:w="2435" w:type="dxa"/>
            <w:tcBorders>
              <w:top w:val="single" w:color="auto" w:sz="18" w:space="0"/>
              <w:left w:val="single" w:color="auto" w:sz="4" w:space="0"/>
              <w:bottom w:val="single" w:color="auto" w:sz="4" w:space="0"/>
              <w:right w:val="single" w:color="auto" w:sz="4" w:space="0"/>
            </w:tcBorders>
            <w:vAlign w:val="center"/>
          </w:tcPr>
          <w:p>
            <w:pPr>
              <w:pStyle w:val="38"/>
              <w:autoSpaceDE/>
              <w:autoSpaceDN/>
              <w:snapToGrid w:val="0"/>
              <w:spacing w:line="400" w:lineRule="exact"/>
              <w:jc w:val="center"/>
              <w:rPr>
                <w:rFonts w:asciiTheme="minorEastAsia" w:hAnsiTheme="minorEastAsia" w:eastAsiaTheme="minorEastAsia" w:cstheme="minorEastAsia"/>
                <w:b/>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 xml:space="preserve">条款名称 </w:t>
            </w:r>
          </w:p>
        </w:tc>
        <w:tc>
          <w:tcPr>
            <w:tcW w:w="5220" w:type="dxa"/>
            <w:tcBorders>
              <w:top w:val="single" w:color="auto" w:sz="18" w:space="0"/>
              <w:left w:val="single" w:color="auto" w:sz="4" w:space="0"/>
              <w:bottom w:val="single" w:color="auto" w:sz="4" w:space="0"/>
              <w:right w:val="single" w:color="auto" w:sz="18" w:space="0"/>
            </w:tcBorders>
            <w:vAlign w:val="center"/>
          </w:tcPr>
          <w:p>
            <w:pPr>
              <w:pStyle w:val="38"/>
              <w:autoSpaceDE/>
              <w:autoSpaceDN/>
              <w:snapToGrid w:val="0"/>
              <w:spacing w:line="400" w:lineRule="exact"/>
              <w:jc w:val="center"/>
              <w:rPr>
                <w:rFonts w:asciiTheme="minorEastAsia" w:hAnsiTheme="minorEastAsia" w:eastAsiaTheme="minorEastAsia" w:cstheme="minorEastAsia"/>
                <w:b/>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27"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1</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lang w:val="zh-CN"/>
                <w14:textFill>
                  <w14:solidFill>
                    <w14:schemeClr w14:val="tx1"/>
                  </w14:solidFill>
                </w14:textFill>
              </w:rPr>
              <w:t>有无带</w:t>
            </w: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Cs/>
                <w:color w:val="000000" w:themeColor="text1"/>
                <w:kern w:val="0"/>
                <w:szCs w:val="21"/>
                <w:lang w:val="zh-CN"/>
                <w14:textFill>
                  <w14:solidFill>
                    <w14:schemeClr w14:val="tx1"/>
                  </w14:solidFill>
                </w14:textFill>
              </w:rPr>
              <w:t>要求</w:t>
            </w:r>
          </w:p>
        </w:tc>
        <w:tc>
          <w:tcPr>
            <w:tcW w:w="5220" w:type="dxa"/>
            <w:tcBorders>
              <w:top w:val="single" w:color="auto" w:sz="4" w:space="0"/>
              <w:left w:val="single" w:color="auto" w:sz="4" w:space="0"/>
              <w:bottom w:val="single" w:color="auto" w:sz="4" w:space="0"/>
              <w:right w:val="single" w:color="auto" w:sz="18"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无)</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有，</w:t>
            </w:r>
            <w:r>
              <w:rPr>
                <w:rFonts w:hint="eastAsia" w:asciiTheme="minorEastAsia" w:hAnsiTheme="minorEastAsia" w:eastAsiaTheme="minorEastAsia" w:cstheme="minorEastAsia"/>
                <w:bCs/>
                <w:color w:val="000000" w:themeColor="text1"/>
                <w:szCs w:val="21"/>
                <w14:textFill>
                  <w14:solidFill>
                    <w14:schemeClr w14:val="tx1"/>
                  </w14:solidFill>
                </w14:textFill>
              </w:rPr>
              <w:t>带</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的是实质性要求，供应商</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必须作出实质性响应满足或优于采购文件的要求，否则视为无效</w:t>
            </w:r>
            <w:r>
              <w:rPr>
                <w:rFonts w:hint="eastAsia" w:asciiTheme="minorEastAsia" w:hAnsiTheme="minorEastAsia" w:eastAsiaTheme="minorEastAsia" w:cstheme="minorEastAsia"/>
                <w:bCs/>
                <w:color w:val="000000" w:themeColor="text1"/>
                <w:szCs w:val="21"/>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3</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标前现场考察或/和标前答疑会</w:t>
            </w:r>
          </w:p>
        </w:tc>
        <w:tc>
          <w:tcPr>
            <w:tcW w:w="5220" w:type="dxa"/>
            <w:tcBorders>
              <w:top w:val="single" w:color="auto" w:sz="4" w:space="0"/>
              <w:left w:val="single" w:color="auto" w:sz="4" w:space="0"/>
              <w:bottom w:val="single" w:color="auto" w:sz="4" w:space="0"/>
              <w:right w:val="single" w:color="auto" w:sz="18"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7"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4</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述标和/或演示</w:t>
            </w:r>
          </w:p>
        </w:tc>
        <w:tc>
          <w:tcPr>
            <w:tcW w:w="5220" w:type="dxa"/>
            <w:tcBorders>
              <w:top w:val="single" w:color="auto" w:sz="4" w:space="0"/>
              <w:left w:val="single" w:color="auto" w:sz="4" w:space="0"/>
              <w:bottom w:val="single" w:color="auto" w:sz="4" w:space="0"/>
              <w:right w:val="single" w:color="auto" w:sz="18"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5</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jc w:val="both"/>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本项目是否接受备选响应方案</w:t>
            </w:r>
          </w:p>
        </w:tc>
        <w:tc>
          <w:tcPr>
            <w:tcW w:w="5220" w:type="dxa"/>
            <w:tcBorders>
              <w:top w:val="single" w:color="auto" w:sz="4" w:space="0"/>
              <w:left w:val="single" w:color="auto" w:sz="4" w:space="0"/>
              <w:bottom w:val="single" w:color="auto" w:sz="4" w:space="0"/>
              <w:right w:val="single" w:color="auto" w:sz="18" w:space="0"/>
            </w:tcBorders>
            <w:vAlign w:val="center"/>
          </w:tcPr>
          <w:p>
            <w:pPr>
              <w:widowControl/>
              <w:tabs>
                <w:tab w:val="left" w:pos="425"/>
              </w:tabs>
              <w:spacing w:line="400" w:lineRule="exact"/>
              <w:ind w:left="210" w:leftChars="1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1"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6</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本项目要求供应商提供的技术和商务说明文件</w:t>
            </w:r>
          </w:p>
        </w:tc>
        <w:tc>
          <w:tcPr>
            <w:tcW w:w="5220" w:type="dxa"/>
            <w:tcBorders>
              <w:top w:val="single" w:color="auto" w:sz="4" w:space="0"/>
              <w:left w:val="single" w:color="auto" w:sz="4" w:space="0"/>
              <w:bottom w:val="single" w:color="auto" w:sz="4" w:space="0"/>
              <w:right w:val="single" w:color="auto" w:sz="18" w:space="0"/>
            </w:tcBorders>
            <w:vAlign w:val="center"/>
          </w:tcPr>
          <w:p>
            <w:pPr>
              <w:widowControl/>
              <w:tabs>
                <w:tab w:val="left" w:pos="425"/>
              </w:tabs>
              <w:spacing w:line="400" w:lineRule="exact"/>
              <w:ind w:left="210" w:leftChars="100"/>
              <w:jc w:val="left"/>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1</w:t>
            </w:r>
            <w:r>
              <w:rPr>
                <w:rFonts w:hint="eastAsia" w:ascii="宋体" w:hAnsi="宋体" w:cs="宋体"/>
                <w:bCs/>
                <w:color w:val="000000" w:themeColor="text1"/>
                <w:kern w:val="0"/>
                <w:szCs w:val="21"/>
                <w:lang w:val="zh-CN"/>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响应</w:t>
            </w:r>
            <w:r>
              <w:rPr>
                <w:rFonts w:hint="eastAsia" w:ascii="宋体" w:hAnsi="宋体" w:cs="宋体"/>
                <w:bCs/>
                <w:color w:val="000000" w:themeColor="text1"/>
                <w:kern w:val="0"/>
                <w:szCs w:val="21"/>
                <w:lang w:val="zh-CN"/>
                <w14:textFill>
                  <w14:solidFill>
                    <w14:schemeClr w14:val="tx1"/>
                  </w14:solidFill>
                </w14:textFill>
              </w:rPr>
              <w:t>声明函；</w:t>
            </w:r>
          </w:p>
          <w:p>
            <w:pPr>
              <w:widowControl/>
              <w:tabs>
                <w:tab w:val="left" w:pos="425"/>
              </w:tabs>
              <w:spacing w:line="400" w:lineRule="exact"/>
              <w:ind w:left="210" w:leftChars="100"/>
              <w:jc w:val="left"/>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2、法定代表人授权委托书（提供委托代理人的身份证复印件，非中国国籍的则提供护照复印件）（非法定代表人签署响应文件适用）；</w:t>
            </w:r>
          </w:p>
          <w:p>
            <w:pPr>
              <w:widowControl/>
              <w:tabs>
                <w:tab w:val="left" w:pos="425"/>
              </w:tabs>
              <w:spacing w:line="400" w:lineRule="exact"/>
              <w:ind w:left="210" w:leftChars="100"/>
              <w:jc w:val="left"/>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3、法定代表人身份证明书（提供法定代表人身份证复印件，非中国国籍的则提供护照复印件）；</w:t>
            </w:r>
          </w:p>
          <w:p>
            <w:pPr>
              <w:widowControl/>
              <w:tabs>
                <w:tab w:val="left" w:pos="425"/>
              </w:tabs>
              <w:snapToGrid w:val="0"/>
              <w:spacing w:line="400" w:lineRule="exact"/>
              <w:ind w:left="210" w:leftChars="100"/>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4、提供营业执照副本、或事业单位法人证书（事业单位）、或执业许可证（非企业专业服务机构）的复印件；如果供应商为自然人的则提供身份证复印件；</w:t>
            </w:r>
          </w:p>
          <w:p>
            <w:pPr>
              <w:widowControl/>
              <w:tabs>
                <w:tab w:val="left" w:pos="425"/>
              </w:tabs>
              <w:snapToGrid w:val="0"/>
              <w:spacing w:line="400" w:lineRule="exact"/>
              <w:ind w:left="210" w:leftChars="100"/>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5、</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t>具有良好的商业信誉和健全的财务会计制度、具有履行合同所必需的设备和专业技术能力、有依法缴纳税收和社会保障资金的良好记录及参加政府采购活动前三年内，在经营活动中没有重大违法记录的资格承诺函（详见格式6）；</w:t>
            </w:r>
          </w:p>
          <w:p>
            <w:pPr>
              <w:widowControl/>
              <w:tabs>
                <w:tab w:val="left" w:pos="425"/>
              </w:tabs>
              <w:snapToGrid w:val="0"/>
              <w:spacing w:line="400" w:lineRule="exact"/>
              <w:ind w:left="210" w:leftChars="100"/>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6</w:t>
            </w:r>
            <w:r>
              <w:rPr>
                <w:rFonts w:hint="eastAsia" w:ascii="宋体" w:hAnsi="宋体" w:cs="宋体"/>
                <w:bCs/>
                <w:color w:val="000000" w:themeColor="text1"/>
                <w:kern w:val="0"/>
                <w:szCs w:val="21"/>
                <w:lang w:val="zh-CN"/>
                <w14:textFill>
                  <w14:solidFill>
                    <w14:schemeClr w14:val="tx1"/>
                  </w14:solidFill>
                </w14:textFill>
              </w:rPr>
              <w:t>、资格审查及符合性审查要求提供的其他资料（详见资格审查表及符合性审查表要求）；</w:t>
            </w:r>
          </w:p>
          <w:p>
            <w:pPr>
              <w:widowControl/>
              <w:tabs>
                <w:tab w:val="left" w:pos="425"/>
              </w:tabs>
              <w:snapToGrid w:val="0"/>
              <w:spacing w:line="400" w:lineRule="exact"/>
              <w:ind w:left="210" w:leftChars="100"/>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7</w:t>
            </w:r>
            <w:r>
              <w:rPr>
                <w:rFonts w:hint="eastAsia" w:ascii="宋体" w:hAnsi="宋体" w:cs="宋体"/>
                <w:bCs/>
                <w:color w:val="000000" w:themeColor="text1"/>
                <w:kern w:val="0"/>
                <w:szCs w:val="21"/>
                <w:lang w:val="zh-CN"/>
                <w14:textFill>
                  <w14:solidFill>
                    <w14:schemeClr w14:val="tx1"/>
                  </w14:solidFill>
                </w14:textFill>
              </w:rPr>
              <w:t>、评审标准要求提供的其他资料（详见评审细则要求）；</w:t>
            </w:r>
          </w:p>
          <w:p>
            <w:pPr>
              <w:adjustRightInd w:val="0"/>
              <w:snapToGrid w:val="0"/>
              <w:spacing w:line="400" w:lineRule="exact"/>
              <w:ind w:left="210" w:leftChars="100"/>
              <w:jc w:val="left"/>
              <w:rPr>
                <w:rFonts w:asciiTheme="minorEastAsia" w:hAnsiTheme="minorEastAsia" w:eastAsiaTheme="minorEastAsia" w:cstheme="minorEastAsia"/>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w:t>
            </w:r>
            <w:r>
              <w:rPr>
                <w:rFonts w:hint="eastAsia" w:ascii="宋体" w:hAnsi="宋体" w:cs="宋体"/>
                <w:bCs/>
                <w:color w:val="000000" w:themeColor="text1"/>
                <w:kern w:val="0"/>
                <w:szCs w:val="21"/>
                <w:lang w:val="zh-CN"/>
                <w14:textFill>
                  <w14:solidFill>
                    <w14:schemeClr w14:val="tx1"/>
                  </w14:solidFill>
                </w14:textFill>
              </w:rPr>
              <w:t>、供应商认为需要提供的其他资格证明文件和商务资料。</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3"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7</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本项目要求供应商</w:t>
            </w:r>
            <w:r>
              <w:rPr>
                <w:rFonts w:hint="eastAsia" w:asciiTheme="minorEastAsia" w:hAnsiTheme="minorEastAsia" w:eastAsiaTheme="minorEastAsia" w:cstheme="minorEastAsia"/>
                <w:bCs/>
                <w:color w:val="000000" w:themeColor="text1"/>
                <w:kern w:val="0"/>
                <w:szCs w:val="21"/>
                <w:lang w:val="zh-CN"/>
                <w14:textFill>
                  <w14:solidFill>
                    <w14:schemeClr w14:val="tx1"/>
                  </w14:solidFill>
                </w14:textFill>
              </w:rPr>
              <w:t>提供的</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t>响应</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报价文件</w:t>
            </w:r>
          </w:p>
        </w:tc>
        <w:tc>
          <w:tcPr>
            <w:tcW w:w="5220" w:type="dxa"/>
            <w:tcBorders>
              <w:top w:val="single" w:color="auto" w:sz="4" w:space="0"/>
              <w:left w:val="single" w:color="auto" w:sz="4" w:space="0"/>
              <w:bottom w:val="single" w:color="auto" w:sz="4" w:space="0"/>
              <w:right w:val="single" w:color="auto" w:sz="18"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kern w:val="0"/>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1、</w:t>
            </w:r>
            <w:r>
              <w:rPr>
                <w:rFonts w:hint="eastAsia" w:asciiTheme="minorEastAsia" w:hAnsiTheme="minorEastAsia" w:eastAsiaTheme="minorEastAsia" w:cstheme="minorEastAsia"/>
                <w:bCs/>
                <w:color w:val="000000" w:themeColor="text1"/>
                <w:kern w:val="0"/>
                <w:szCs w:val="21"/>
                <w:lang w:val="zh-CN"/>
                <w14:textFill>
                  <w14:solidFill>
                    <w14:schemeClr w14:val="tx1"/>
                  </w14:solidFill>
                </w14:textFill>
              </w:rPr>
              <w:t>开标一览表</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2、响应</w:t>
            </w:r>
            <w:r>
              <w:rPr>
                <w:rFonts w:hint="eastAsia" w:asciiTheme="minorEastAsia" w:hAnsiTheme="minorEastAsia" w:eastAsiaTheme="minorEastAsia" w:cstheme="minorEastAsia"/>
                <w:bCs/>
                <w:color w:val="000000" w:themeColor="text1"/>
                <w:kern w:val="0"/>
                <w:szCs w:val="21"/>
                <w:lang w:val="zh-CN"/>
                <w14:textFill>
                  <w14:solidFill>
                    <w14:schemeClr w14:val="tx1"/>
                  </w14:solidFill>
                </w14:textFill>
              </w:rPr>
              <w:t>报价明细表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8"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8</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有效期</w:t>
            </w:r>
          </w:p>
        </w:tc>
        <w:tc>
          <w:tcPr>
            <w:tcW w:w="5220" w:type="dxa"/>
            <w:tcBorders>
              <w:top w:val="single" w:color="auto" w:sz="4" w:space="0"/>
              <w:left w:val="single" w:color="auto" w:sz="4" w:space="0"/>
              <w:bottom w:val="single" w:color="auto" w:sz="4" w:space="0"/>
              <w:right w:val="single" w:color="auto" w:sz="18"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自响应文件递交截止之日起90天。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9</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rPr>
                <w:bCs/>
                <w:color w:val="000000" w:themeColor="text1"/>
                <w:kern w:val="2"/>
                <w:sz w:val="21"/>
                <w:szCs w:val="21"/>
                <w14:textFill>
                  <w14:solidFill>
                    <w14:schemeClr w14:val="tx1"/>
                  </w14:solidFill>
                </w14:textFill>
              </w:rPr>
            </w:pPr>
            <w:r>
              <w:rPr>
                <w:rFonts w:hint="eastAsia"/>
                <w:bCs/>
                <w:color w:val="000000" w:themeColor="text1"/>
                <w:kern w:val="2"/>
                <w:sz w:val="21"/>
                <w:szCs w:val="21"/>
                <w:lang w:val="zh-CN"/>
                <w14:textFill>
                  <w14:solidFill>
                    <w14:schemeClr w14:val="tx1"/>
                  </w14:solidFill>
                </w14:textFill>
              </w:rPr>
              <w:t>响应保证金</w:t>
            </w:r>
            <w:r>
              <w:rPr>
                <w:rFonts w:hint="eastAsia"/>
                <w:bCs/>
                <w:color w:val="000000" w:themeColor="text1"/>
                <w:kern w:val="2"/>
                <w:sz w:val="21"/>
                <w:szCs w:val="21"/>
                <w14:textFill>
                  <w14:solidFill>
                    <w14:schemeClr w14:val="tx1"/>
                  </w14:solidFill>
                </w14:textFill>
              </w:rPr>
              <w:t>要求</w:t>
            </w:r>
          </w:p>
        </w:tc>
        <w:tc>
          <w:tcPr>
            <w:tcW w:w="5220" w:type="dxa"/>
            <w:tcBorders>
              <w:top w:val="single" w:color="auto" w:sz="4" w:space="0"/>
              <w:left w:val="single" w:color="auto" w:sz="4" w:space="0"/>
              <w:bottom w:val="single" w:color="auto" w:sz="4" w:space="0"/>
              <w:right w:val="single" w:color="auto" w:sz="18" w:space="0"/>
            </w:tcBorders>
            <w:vAlign w:val="center"/>
          </w:tcPr>
          <w:p>
            <w:pPr>
              <w:pStyle w:val="7"/>
              <w:adjustRightInd w:val="0"/>
              <w:snapToGrid w:val="0"/>
              <w:spacing w:line="400" w:lineRule="exact"/>
              <w:rPr>
                <w:rFonts w:asciiTheme="minorEastAsia" w:hAnsiTheme="minorEastAsia" w:cstheme="minorEastAsia"/>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10</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jc w:val="both"/>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响应</w:t>
            </w: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文件份数及电子版要求</w:t>
            </w:r>
          </w:p>
        </w:tc>
        <w:tc>
          <w:tcPr>
            <w:tcW w:w="5220" w:type="dxa"/>
            <w:tcBorders>
              <w:top w:val="single" w:color="auto" w:sz="4" w:space="0"/>
              <w:left w:val="single" w:color="auto" w:sz="4" w:space="0"/>
              <w:bottom w:val="single" w:color="auto" w:sz="4" w:space="0"/>
              <w:right w:val="single" w:color="auto" w:sz="18" w:space="0"/>
            </w:tcBorders>
            <w:vAlign w:val="center"/>
          </w:tcPr>
          <w:p>
            <w:pPr>
              <w:pStyle w:val="7"/>
              <w:adjustRightInd w:val="0"/>
              <w:snapToGrid w:val="0"/>
              <w:spacing w:line="400" w:lineRule="exact"/>
              <w:ind w:left="105" w:leftChars="50"/>
              <w:rPr>
                <w:rFonts w:asciiTheme="minorEastAsia" w:hAnsiTheme="minorEastAsia" w:eastAsiaTheme="minorEastAsia" w:cstheme="minorEastAsia"/>
                <w:bCs/>
                <w:color w:val="000000" w:themeColor="text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instrText xml:space="preserve"> = 1 \* GB3 \* MERGEFORMAT </w:instrTex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①</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正本</w:t>
            </w:r>
            <w:r>
              <w:rPr>
                <w:rFonts w:hint="eastAsia" w:asciiTheme="minorEastAsia" w:hAnsiTheme="minorEastAsia" w:eastAsiaTheme="minorEastAsia" w:cstheme="minorEastAsia"/>
                <w:bCs/>
                <w:color w:val="000000" w:themeColor="text1"/>
                <w:szCs w:val="21"/>
                <w:u w:val="single"/>
                <w:lang w:val="zh-CN"/>
                <w14:textFill>
                  <w14:solidFill>
                    <w14:schemeClr w14:val="tx1"/>
                  </w14:solidFill>
                </w14:textFill>
              </w:rPr>
              <w:t xml:space="preserve"> 一 </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 xml:space="preserve">份  </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instrText xml:space="preserve"> = 2 \* GB3 \* MERGEFORMAT </w:instrTex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②</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副本</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贰</w:t>
            </w:r>
            <w:r>
              <w:rPr>
                <w:rFonts w:hint="eastAsia" w:asciiTheme="minorEastAsia" w:hAnsiTheme="minorEastAsia" w:eastAsiaTheme="minorEastAsia" w:cstheme="minorEastAsia"/>
                <w:bCs/>
                <w:color w:val="000000" w:themeColor="text1"/>
                <w:szCs w:val="21"/>
                <w:u w:val="single"/>
                <w:lang w:val="zh-CN"/>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 xml:space="preserve">份 </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begin"/>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instrText xml:space="preserve"> = 3 \* GB3 \* MERGEFORMAT </w:instrTex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1"/>
                <w14:textFill>
                  <w14:solidFill>
                    <w14:schemeClr w14:val="tx1"/>
                  </w14:solidFill>
                </w14:textFill>
              </w:rPr>
              <w:t>③</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fldChar w:fldCharType="end"/>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电子版响应文件</w:t>
            </w:r>
            <w:r>
              <w:rPr>
                <w:rFonts w:hint="eastAsia" w:asciiTheme="minorEastAsia" w:hAnsiTheme="minorEastAsia" w:eastAsiaTheme="minorEastAsia" w:cstheme="minorEastAsia"/>
                <w:bCs/>
                <w:color w:val="000000" w:themeColor="text1"/>
                <w:szCs w:val="21"/>
                <w14:textFill>
                  <w14:solidFill>
                    <w14:schemeClr w14:val="tx1"/>
                  </w14:solidFill>
                </w14:textFill>
              </w:rPr>
              <w:t>U盘一个。</w:t>
            </w:r>
          </w:p>
          <w:p>
            <w:pPr>
              <w:tabs>
                <w:tab w:val="left" w:pos="420"/>
              </w:tabs>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要求：</w:t>
            </w:r>
          </w:p>
          <w:p>
            <w:pPr>
              <w:tabs>
                <w:tab w:val="left" w:pos="420"/>
              </w:tabs>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1、少于数量要求的响应文件视为无效响应文件。</w:t>
            </w:r>
          </w:p>
          <w:p>
            <w:pPr>
              <w:pStyle w:val="7"/>
              <w:adjustRightInd w:val="0"/>
              <w:snapToGrid w:val="0"/>
              <w:spacing w:line="400" w:lineRule="exact"/>
              <w:ind w:left="105" w:leftChars="50"/>
              <w:rPr>
                <w:rFonts w:asciiTheme="minorEastAsia" w:hAnsiTheme="minorEastAsia" w:eastAsiaTheme="minorEastAsia" w:cstheme="minorEastAsia"/>
                <w:bCs/>
                <w:color w:val="000000" w:themeColor="text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2、电子版响应文件（电子版</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响应文件</w:t>
            </w:r>
            <w:r>
              <w:rPr>
                <w:rFonts w:hint="eastAsia" w:asciiTheme="minorEastAsia" w:hAnsiTheme="minorEastAsia" w:eastAsiaTheme="minorEastAsia" w:cstheme="minorEastAsia"/>
                <w:bCs/>
                <w:color w:val="000000" w:themeColor="text1"/>
                <w:szCs w:val="21"/>
                <w14:textFill>
                  <w14:solidFill>
                    <w14:schemeClr w14:val="tx1"/>
                  </w14:solidFill>
                </w14:textFill>
              </w:rPr>
              <w:t>须是PDF格式）为正本完整版的扫描件</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38"/>
              <w:autoSpaceDE/>
              <w:autoSpaceDN/>
              <w:snapToGrid w:val="0"/>
              <w:spacing w:line="400" w:lineRule="exact"/>
              <w:ind w:left="9"/>
              <w:jc w:val="center"/>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11</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jc w:val="both"/>
              <w:rPr>
                <w:rFonts w:asciiTheme="minorEastAsia" w:hAnsiTheme="minorEastAsia" w:eastAsiaTheme="minorEastAsia" w:cstheme="minorEastAsia"/>
                <w:bCs/>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响应文件密封要求</w:t>
            </w:r>
          </w:p>
        </w:tc>
        <w:tc>
          <w:tcPr>
            <w:tcW w:w="5220" w:type="dxa"/>
            <w:tcBorders>
              <w:top w:val="single" w:color="auto" w:sz="4" w:space="0"/>
              <w:left w:val="single" w:color="auto" w:sz="4" w:space="0"/>
              <w:bottom w:val="single" w:color="auto" w:sz="4" w:space="0"/>
              <w:right w:val="single" w:color="auto" w:sz="18" w:space="0"/>
            </w:tcBorders>
            <w:vAlign w:val="center"/>
          </w:tcPr>
          <w:p>
            <w:pPr>
              <w:pStyle w:val="38"/>
              <w:autoSpaceDE/>
              <w:autoSpaceDN/>
              <w:snapToGrid w:val="0"/>
              <w:spacing w:line="400" w:lineRule="exact"/>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1、响应文件正本和副本须密封，并在密封处加盖单位公章或供应商授权代表签名；</w:t>
            </w:r>
          </w:p>
          <w:p>
            <w:pPr>
              <w:pStyle w:val="38"/>
              <w:autoSpaceDE/>
              <w:autoSpaceDN/>
              <w:snapToGrid w:val="0"/>
              <w:spacing w:line="400" w:lineRule="exact"/>
              <w:rPr>
                <w:rFonts w:asciiTheme="minorEastAsia" w:hAnsiTheme="minorEastAsia" w:eastAsiaTheme="minorEastAsia" w:cs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2、电子版响应文件（PDF格式）与开标一览表一并密封，并在密封处加盖单位公章或供应商授权代表签名。</w:t>
            </w:r>
          </w:p>
          <w:p>
            <w:pPr>
              <w:pStyle w:val="38"/>
              <w:autoSpaceDE/>
              <w:autoSpaceDN/>
              <w:snapToGrid w:val="0"/>
              <w:spacing w:line="400" w:lineRule="exact"/>
              <w:rPr>
                <w:rFonts w:asciiTheme="minorEastAsia" w:hAnsiTheme="minorEastAsia" w:eastAsiaTheme="minorEastAsia" w:cs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3、电子版响应文件和纸质版响应文件一起提交。</w:t>
            </w:r>
          </w:p>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2"/>
                <w:sz w:val="21"/>
                <w:szCs w:val="21"/>
                <w14:textFill>
                  <w14:solidFill>
                    <w14:schemeClr w14:val="tx1"/>
                  </w14:solidFill>
                </w14:textFill>
              </w:rPr>
              <w:t>要求：不符合上述密封签章要求的响应文件存在视为无效响应文件风险。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77" w:hRule="atLeast"/>
        </w:trPr>
        <w:tc>
          <w:tcPr>
            <w:tcW w:w="640" w:type="dxa"/>
            <w:tcBorders>
              <w:top w:val="single" w:color="auto" w:sz="4" w:space="0"/>
              <w:left w:val="single" w:color="auto" w:sz="18" w:space="0"/>
              <w:bottom w:val="single" w:color="auto" w:sz="4"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lang w:val="zh-CN"/>
                <w14:textFill>
                  <w14:solidFill>
                    <w14:schemeClr w14:val="tx1"/>
                  </w14:solidFill>
                </w14:textFill>
              </w:r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1</w:t>
            </w: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响应文件封套上标示</w:t>
            </w:r>
          </w:p>
        </w:tc>
        <w:tc>
          <w:tcPr>
            <w:tcW w:w="5220" w:type="dxa"/>
            <w:tcBorders>
              <w:top w:val="single" w:color="auto" w:sz="4" w:space="0"/>
              <w:left w:val="single" w:color="auto" w:sz="4" w:space="0"/>
              <w:bottom w:val="single" w:color="auto" w:sz="4" w:space="0"/>
              <w:right w:val="single" w:color="auto" w:sz="18"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响应文件    正本（副本）</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项目名称:</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项目编号（分包号，如果有）：</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供应商的名称（加盖公章）：</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供应商联系人姓名、联系电话：</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于</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t>在</w:t>
            </w:r>
            <w:r>
              <w:rPr>
                <w:rFonts w:asciiTheme="minorEastAsia" w:hAnsiTheme="minorEastAsia" w:eastAsiaTheme="minorEastAsia" w:cstheme="minorEastAsia"/>
                <w:bCs/>
                <w:color w:val="000000" w:themeColor="text1"/>
                <w:kern w:val="0"/>
                <w:szCs w:val="21"/>
                <w:highlight w:val="yellow"/>
                <w14:textFill>
                  <w14:solidFill>
                    <w14:schemeClr w14:val="tx1"/>
                  </w14:solidFill>
                </w14:textFill>
              </w:rPr>
              <w:t>2024</w:t>
            </w:r>
            <w:r>
              <w:rPr>
                <w:rFonts w:hint="eastAsia" w:asciiTheme="minorEastAsia" w:hAnsiTheme="minorEastAsia" w:eastAsiaTheme="minorEastAsia" w:cstheme="minorEastAsia"/>
                <w:bCs/>
                <w:color w:val="000000" w:themeColor="text1"/>
                <w:kern w:val="0"/>
                <w:szCs w:val="21"/>
                <w:highlight w:val="yellow"/>
                <w:lang w:val="zh-CN"/>
                <w14:textFill>
                  <w14:solidFill>
                    <w14:schemeClr w14:val="tx1"/>
                  </w14:solidFill>
                </w14:textFill>
              </w:rPr>
              <w:t>年</w:t>
            </w:r>
            <w:r>
              <w:rPr>
                <w:rFonts w:hint="eastAsia" w:asciiTheme="minorEastAsia" w:hAnsiTheme="minorEastAsia" w:eastAsiaTheme="minorEastAsia" w:cstheme="minorEastAsia"/>
                <w:bCs/>
                <w:color w:val="000000" w:themeColor="text1"/>
                <w:kern w:val="0"/>
                <w:szCs w:val="21"/>
                <w:highlight w:val="yellow"/>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kern w:val="0"/>
                <w:szCs w:val="21"/>
                <w:highlight w:val="yellow"/>
                <w:lang w:val="zh-CN"/>
                <w14:textFill>
                  <w14:solidFill>
                    <w14:schemeClr w14:val="tx1"/>
                  </w14:solidFill>
                </w14:textFill>
              </w:rPr>
              <w:t>月</w:t>
            </w:r>
            <w:r>
              <w:rPr>
                <w:rFonts w:hint="eastAsia" w:asciiTheme="minorEastAsia" w:hAnsiTheme="minorEastAsia" w:eastAsiaTheme="minorEastAsia" w:cstheme="minorEastAsia"/>
                <w:bCs/>
                <w:color w:val="000000" w:themeColor="text1"/>
                <w:kern w:val="0"/>
                <w:szCs w:val="21"/>
                <w:highlight w:val="yellow"/>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kern w:val="0"/>
                <w:szCs w:val="21"/>
                <w:highlight w:val="yellow"/>
                <w:lang w:val="zh-CN"/>
                <w14:textFill>
                  <w14:solidFill>
                    <w14:schemeClr w14:val="tx1"/>
                  </w14:solidFill>
                </w14:textFill>
              </w:rPr>
              <w:t>日</w:t>
            </w:r>
            <w:r>
              <w:rPr>
                <w:rFonts w:hint="eastAsia" w:asciiTheme="minorEastAsia" w:hAnsiTheme="minorEastAsia" w:eastAsiaTheme="minorEastAsia" w:cstheme="minorEastAsia"/>
                <w:bCs/>
                <w:color w:val="000000" w:themeColor="text1"/>
                <w:kern w:val="0"/>
                <w:szCs w:val="21"/>
                <w:highlight w:val="yellow"/>
                <w14:textFill>
                  <w14:solidFill>
                    <w14:schemeClr w14:val="tx1"/>
                  </w14:solidFill>
                </w14:textFill>
              </w:rPr>
              <w:t xml:space="preserve"> </w:t>
            </w:r>
            <w:r>
              <w:rPr>
                <w:rFonts w:hint="eastAsia" w:asciiTheme="minorEastAsia" w:hAnsiTheme="minorEastAsia" w:eastAsiaTheme="minorEastAsia" w:cstheme="minorEastAsia"/>
                <w:bCs/>
                <w:color w:val="000000" w:themeColor="text1"/>
                <w:kern w:val="0"/>
                <w:szCs w:val="21"/>
                <w:highlight w:val="yellow"/>
                <w:lang w:val="en-US" w:eastAsia="zh-CN"/>
                <w14:textFill>
                  <w14:solidFill>
                    <w14:schemeClr w14:val="tx1"/>
                  </w14:solidFill>
                </w14:textFill>
              </w:rPr>
              <w:t>15</w:t>
            </w:r>
            <w:r>
              <w:rPr>
                <w:rFonts w:hint="eastAsia" w:asciiTheme="minorEastAsia" w:hAnsiTheme="minorEastAsia" w:eastAsiaTheme="minorEastAsia" w:cstheme="minorEastAsia"/>
                <w:bCs/>
                <w:color w:val="000000" w:themeColor="text1"/>
                <w:kern w:val="0"/>
                <w:szCs w:val="21"/>
                <w:highlight w:val="yellow"/>
                <w:lang w:val="zh-CN"/>
                <w14:textFill>
                  <w14:solidFill>
                    <w14:schemeClr w14:val="tx1"/>
                  </w14:solidFill>
                </w14:textFill>
              </w:rPr>
              <w:t>时</w:t>
            </w:r>
            <w:r>
              <w:rPr>
                <w:rFonts w:asciiTheme="minorEastAsia" w:hAnsiTheme="minorEastAsia" w:eastAsiaTheme="minorEastAsia" w:cstheme="minorEastAsia"/>
                <w:bCs/>
                <w:color w:val="000000" w:themeColor="text1"/>
                <w:kern w:val="0"/>
                <w:szCs w:val="21"/>
                <w:highlight w:val="yellow"/>
                <w14:textFill>
                  <w14:solidFill>
                    <w14:schemeClr w14:val="tx1"/>
                  </w14:solidFill>
                </w14:textFill>
              </w:rPr>
              <w:t>00</w:t>
            </w:r>
            <w:r>
              <w:rPr>
                <w:rFonts w:hint="eastAsia" w:asciiTheme="minorEastAsia" w:hAnsiTheme="minorEastAsia" w:eastAsiaTheme="minorEastAsia" w:cstheme="minorEastAsia"/>
                <w:bCs/>
                <w:color w:val="000000" w:themeColor="text1"/>
                <w:kern w:val="0"/>
                <w:szCs w:val="21"/>
                <w:highlight w:val="yellow"/>
                <w:lang w:val="zh-CN"/>
                <w14:textFill>
                  <w14:solidFill>
                    <w14:schemeClr w14:val="tx1"/>
                  </w14:solidFill>
                </w14:textFill>
              </w:rPr>
              <w:t>分前</w:t>
            </w:r>
            <w:r>
              <w:rPr>
                <w:rFonts w:hint="eastAsia" w:asciiTheme="minorEastAsia" w:hAnsiTheme="minorEastAsia" w:eastAsiaTheme="minorEastAsia" w:cstheme="minorEastAsia"/>
                <w:bCs/>
                <w:color w:val="000000" w:themeColor="text1"/>
                <w:kern w:val="0"/>
                <w:szCs w:val="21"/>
                <w:highlight w:val="yellow"/>
                <w14:textFill>
                  <w14:solidFill>
                    <w14:schemeClr w14:val="tx1"/>
                  </w14:solidFill>
                </w14:textFill>
              </w:rPr>
              <w:t>（开标时间</w:t>
            </w:r>
            <w:r>
              <w:rPr>
                <w:rFonts w:hint="eastAsia" w:asciiTheme="minorEastAsia" w:hAnsiTheme="minorEastAsia" w:eastAsiaTheme="minorEastAsia" w:cstheme="minorEastAsia"/>
                <w:bCs/>
                <w:color w:val="000000" w:themeColor="text1"/>
                <w:szCs w:val="21"/>
                <w:highlight w:val="yellow"/>
                <w14:textFill>
                  <w14:solidFill>
                    <w14:schemeClr w14:val="tx1"/>
                  </w14:solidFill>
                </w14:textFill>
              </w:rPr>
              <w:t>）不得开启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trPr>
        <w:tc>
          <w:tcPr>
            <w:tcW w:w="640" w:type="dxa"/>
            <w:tcBorders>
              <w:top w:val="single" w:color="auto" w:sz="4" w:space="0"/>
              <w:bottom w:val="single" w:color="auto" w:sz="4"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13</w:t>
            </w:r>
          </w:p>
        </w:tc>
        <w:tc>
          <w:tcPr>
            <w:tcW w:w="2435" w:type="dxa"/>
            <w:tcBorders>
              <w:top w:val="single" w:color="auto" w:sz="4" w:space="0"/>
              <w:left w:val="single" w:color="auto" w:sz="4" w:space="0"/>
              <w:bottom w:val="single" w:color="auto" w:sz="4" w:space="0"/>
              <w:right w:val="single" w:color="auto" w:sz="4"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14:textFill>
                  <w14:solidFill>
                    <w14:schemeClr w14:val="tx1"/>
                  </w14:solidFill>
                </w14:textFill>
              </w:rPr>
            </w:pPr>
          </w:p>
        </w:tc>
        <w:tc>
          <w:tcPr>
            <w:tcW w:w="5220" w:type="dxa"/>
            <w:tcBorders>
              <w:top w:val="single" w:color="auto" w:sz="4" w:space="0"/>
              <w:left w:val="single" w:color="auto" w:sz="4" w:space="0"/>
              <w:bottom w:val="single" w:color="auto" w:sz="4"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tcBorders>
              <w:top w:val="single" w:color="auto" w:sz="4" w:space="0"/>
              <w:bottom w:val="single" w:color="auto" w:sz="4"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14</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开标程序</w:t>
            </w:r>
          </w:p>
        </w:tc>
        <w:tc>
          <w:tcPr>
            <w:tcW w:w="5220" w:type="dxa"/>
            <w:tcBorders>
              <w:top w:val="single" w:color="auto" w:sz="4" w:space="0"/>
              <w:left w:val="single" w:color="auto" w:sz="4" w:space="0"/>
              <w:bottom w:val="single" w:color="auto" w:sz="4" w:space="0"/>
            </w:tcBorders>
            <w:vAlign w:val="center"/>
          </w:tcPr>
          <w:p>
            <w:pPr>
              <w:adjustRightInd w:val="0"/>
              <w:snapToGrid w:val="0"/>
              <w:spacing w:line="400" w:lineRule="exact"/>
              <w:ind w:left="105" w:leftChars="50"/>
              <w:outlineLvl w:val="1"/>
              <w:rPr>
                <w:color w:val="000000" w:themeColor="text1"/>
                <w14:textFill>
                  <w14:solidFill>
                    <w14:schemeClr w14:val="tx1"/>
                  </w14:solidFill>
                </w14:textFill>
              </w:rPr>
            </w:pPr>
            <w:bookmarkStart w:id="110" w:name="_Toc28729"/>
            <w:r>
              <w:rPr>
                <w:rFonts w:hint="eastAsia"/>
                <w:color w:val="000000" w:themeColor="text1"/>
                <w14:textFill>
                  <w14:solidFill>
                    <w14:schemeClr w14:val="tx1"/>
                  </w14:solidFill>
                </w14:textFill>
              </w:rPr>
              <w:t>1、主持人宣布开标会议开始；</w:t>
            </w:r>
            <w:bookmarkEnd w:id="110"/>
          </w:p>
          <w:p>
            <w:pPr>
              <w:adjustRightInd w:val="0"/>
              <w:snapToGrid w:val="0"/>
              <w:spacing w:line="400" w:lineRule="exact"/>
              <w:ind w:left="105" w:leftChars="50"/>
              <w:outlineLvl w:val="1"/>
              <w:rPr>
                <w:color w:val="000000" w:themeColor="text1"/>
                <w14:textFill>
                  <w14:solidFill>
                    <w14:schemeClr w14:val="tx1"/>
                  </w14:solidFill>
                </w14:textFill>
              </w:rPr>
            </w:pPr>
            <w:bookmarkStart w:id="111" w:name="_Toc5388"/>
            <w:r>
              <w:rPr>
                <w:rFonts w:hint="eastAsia"/>
                <w:color w:val="000000" w:themeColor="text1"/>
                <w14:textFill>
                  <w14:solidFill>
                    <w14:schemeClr w14:val="tx1"/>
                  </w14:solidFill>
                </w14:textFill>
              </w:rPr>
              <w:t>2、介绍参加开标会议的人员；</w:t>
            </w:r>
            <w:bookmarkEnd w:id="111"/>
          </w:p>
          <w:p>
            <w:pPr>
              <w:adjustRightInd w:val="0"/>
              <w:snapToGrid w:val="0"/>
              <w:spacing w:line="400" w:lineRule="exact"/>
              <w:ind w:left="105" w:leftChars="50"/>
              <w:outlineLvl w:val="1"/>
              <w:rPr>
                <w:color w:val="000000" w:themeColor="text1"/>
                <w14:textFill>
                  <w14:solidFill>
                    <w14:schemeClr w14:val="tx1"/>
                  </w14:solidFill>
                </w14:textFill>
              </w:rPr>
            </w:pPr>
            <w:bookmarkStart w:id="112" w:name="_Toc30428"/>
            <w:r>
              <w:rPr>
                <w:rFonts w:hint="eastAsia"/>
                <w:color w:val="000000" w:themeColor="text1"/>
                <w14:textFill>
                  <w14:solidFill>
                    <w14:schemeClr w14:val="tx1"/>
                  </w14:solidFill>
                </w14:textFill>
              </w:rPr>
              <w:t>3、宣读开标纪律；</w:t>
            </w:r>
            <w:bookmarkEnd w:id="112"/>
          </w:p>
          <w:p>
            <w:pPr>
              <w:adjustRightInd w:val="0"/>
              <w:snapToGrid w:val="0"/>
              <w:spacing w:line="400" w:lineRule="exact"/>
              <w:ind w:left="105" w:leftChars="50"/>
              <w:outlineLvl w:val="1"/>
              <w:rPr>
                <w:color w:val="000000" w:themeColor="text1"/>
                <w14:textFill>
                  <w14:solidFill>
                    <w14:schemeClr w14:val="tx1"/>
                  </w14:solidFill>
                </w14:textFill>
              </w:rPr>
            </w:pPr>
            <w:bookmarkStart w:id="113" w:name="_Toc10823"/>
            <w:r>
              <w:rPr>
                <w:rFonts w:hint="eastAsia"/>
                <w:color w:val="000000" w:themeColor="text1"/>
                <w14:textFill>
                  <w14:solidFill>
                    <w14:schemeClr w14:val="tx1"/>
                  </w14:solidFill>
                </w14:textFill>
              </w:rPr>
              <w:t>4、查验各响应文件的密封性并予以确认；</w:t>
            </w:r>
            <w:bookmarkEnd w:id="113"/>
          </w:p>
          <w:p>
            <w:pPr>
              <w:adjustRightInd w:val="0"/>
              <w:snapToGrid w:val="0"/>
              <w:spacing w:line="400" w:lineRule="exact"/>
              <w:ind w:left="105" w:leftChars="50"/>
              <w:outlineLvl w:val="1"/>
              <w:rPr>
                <w:color w:val="000000" w:themeColor="text1"/>
                <w14:textFill>
                  <w14:solidFill>
                    <w14:schemeClr w14:val="tx1"/>
                  </w14:solidFill>
                </w14:textFill>
              </w:rPr>
            </w:pPr>
            <w:bookmarkStart w:id="114" w:name="_Toc26721"/>
            <w:r>
              <w:rPr>
                <w:rFonts w:hint="eastAsia"/>
                <w:color w:val="000000" w:themeColor="text1"/>
                <w14:textFill>
                  <w14:solidFill>
                    <w14:schemeClr w14:val="tx1"/>
                  </w14:solidFill>
                </w14:textFill>
              </w:rPr>
              <w:t>5、拆封响应文件；</w:t>
            </w:r>
            <w:bookmarkEnd w:id="114"/>
          </w:p>
          <w:p>
            <w:pPr>
              <w:adjustRightInd w:val="0"/>
              <w:snapToGrid w:val="0"/>
              <w:spacing w:line="400" w:lineRule="exact"/>
              <w:ind w:left="105" w:leftChars="50"/>
              <w:outlineLvl w:val="1"/>
              <w:rPr>
                <w:color w:val="000000" w:themeColor="text1"/>
                <w14:textFill>
                  <w14:solidFill>
                    <w14:schemeClr w14:val="tx1"/>
                  </w14:solidFill>
                </w14:textFill>
              </w:rPr>
            </w:pPr>
            <w:bookmarkStart w:id="115" w:name="_Toc15408"/>
            <w:r>
              <w:rPr>
                <w:rFonts w:hint="eastAsia"/>
                <w:color w:val="000000" w:themeColor="text1"/>
                <w14:textFill>
                  <w14:solidFill>
                    <w14:schemeClr w14:val="tx1"/>
                  </w14:solidFill>
                </w14:textFill>
              </w:rPr>
              <w:t>6、唱标，唱标内容为“开标一览表”所载明的内容；</w:t>
            </w:r>
            <w:bookmarkEnd w:id="115"/>
          </w:p>
          <w:p>
            <w:pPr>
              <w:adjustRightInd w:val="0"/>
              <w:snapToGrid w:val="0"/>
              <w:spacing w:line="400" w:lineRule="exact"/>
              <w:ind w:left="105" w:leftChars="50"/>
              <w:outlineLvl w:val="1"/>
              <w:rPr>
                <w:color w:val="000000" w:themeColor="text1"/>
                <w14:textFill>
                  <w14:solidFill>
                    <w14:schemeClr w14:val="tx1"/>
                  </w14:solidFill>
                </w14:textFill>
              </w:rPr>
            </w:pPr>
            <w:bookmarkStart w:id="116" w:name="_Toc4320"/>
            <w:r>
              <w:rPr>
                <w:rFonts w:hint="eastAsia"/>
                <w:color w:val="000000" w:themeColor="text1"/>
                <w14:textFill>
                  <w14:solidFill>
                    <w14:schemeClr w14:val="tx1"/>
                  </w14:solidFill>
                </w14:textFill>
              </w:rPr>
              <w:t>7、记录唱标结果及开标过程；</w:t>
            </w:r>
            <w:bookmarkEnd w:id="116"/>
          </w:p>
          <w:p>
            <w:pPr>
              <w:adjustRightInd w:val="0"/>
              <w:snapToGrid w:val="0"/>
              <w:spacing w:line="400" w:lineRule="exact"/>
              <w:ind w:left="105" w:leftChars="50"/>
              <w:rPr>
                <w:color w:val="000000" w:themeColor="text1"/>
                <w14:textFill>
                  <w14:solidFill>
                    <w14:schemeClr w14:val="tx1"/>
                  </w14:solidFill>
                </w14:textFill>
              </w:rPr>
            </w:pPr>
            <w:r>
              <w:rPr>
                <w:rFonts w:hint="eastAsia"/>
                <w:color w:val="000000" w:themeColor="text1"/>
                <w14:textFill>
                  <w14:solidFill>
                    <w14:schemeClr w14:val="tx1"/>
                  </w14:solidFill>
                </w14:textFill>
              </w:rPr>
              <w:t>8、主持人宣布开标会议结束。</w:t>
            </w:r>
          </w:p>
          <w:p>
            <w:pPr>
              <w:pStyle w:val="10"/>
              <w:spacing w:line="400" w:lineRule="exact"/>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备注：本项目不要求供应商授权代表参与开标会议。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atLeast"/>
        </w:trPr>
        <w:tc>
          <w:tcPr>
            <w:tcW w:w="640" w:type="dxa"/>
            <w:tcBorders>
              <w:top w:val="single" w:color="auto" w:sz="4" w:space="0"/>
              <w:bottom w:val="single" w:color="auto" w:sz="4"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唱标内容</w:t>
            </w:r>
          </w:p>
        </w:tc>
        <w:tc>
          <w:tcPr>
            <w:tcW w:w="5220" w:type="dxa"/>
            <w:tcBorders>
              <w:top w:val="single" w:color="auto" w:sz="4" w:space="0"/>
              <w:left w:val="single" w:color="auto" w:sz="4" w:space="0"/>
              <w:bottom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1、“开标一览表”所载明的内容</w:t>
            </w:r>
          </w:p>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供应商对响应报价若有说明应在开标一览表显著处予以注明，只有开标时唱出的响应价格、价格折扣等内容才会被考虑。供应商若有响应报价、价格折扣等未被唱出的，应在唱标时及时提出。否则，采购人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5" w:hRule="atLeast"/>
        </w:trPr>
        <w:tc>
          <w:tcPr>
            <w:tcW w:w="640" w:type="dxa"/>
            <w:tcBorders>
              <w:top w:val="single" w:color="auto" w:sz="4" w:space="0"/>
              <w:bottom w:val="single" w:color="auto" w:sz="4"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16</w:t>
            </w:r>
          </w:p>
        </w:tc>
        <w:tc>
          <w:tcPr>
            <w:tcW w:w="24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left="105" w:leftChars="5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修正内容</w:t>
            </w:r>
          </w:p>
        </w:tc>
        <w:tc>
          <w:tcPr>
            <w:tcW w:w="5220" w:type="dxa"/>
            <w:tcBorders>
              <w:top w:val="single" w:color="auto" w:sz="4" w:space="0"/>
              <w:left w:val="single" w:color="auto" w:sz="4" w:space="0"/>
              <w:bottom w:val="single" w:color="auto" w:sz="4" w:space="0"/>
            </w:tcBorders>
            <w:vAlign w:val="center"/>
          </w:tcPr>
          <w:p>
            <w:pPr>
              <w:adjustRightInd w:val="0"/>
              <w:snapToGrid w:val="0"/>
              <w:spacing w:line="400" w:lineRule="exact"/>
              <w:ind w:left="105" w:leftChars="5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17" w:name="_Toc29481"/>
            <w:r>
              <w:rPr>
                <w:rFonts w:hint="eastAsia" w:asciiTheme="minorEastAsia" w:hAnsiTheme="minorEastAsia" w:eastAsiaTheme="minorEastAsia" w:cstheme="minorEastAsia"/>
                <w:bCs/>
                <w:color w:val="000000" w:themeColor="text1"/>
                <w:szCs w:val="21"/>
                <w14:textFill>
                  <w14:solidFill>
                    <w14:schemeClr w14:val="tx1"/>
                  </w14:solidFill>
                </w14:textFill>
              </w:rPr>
              <w:t>响应文件中开标一览表（报价表）内容与响应文件中相应内容不一致的，以开标一览表（报价表）为准,但价格评审时则以最不利于评审结果的标准取值。</w:t>
            </w:r>
            <w:bookmarkEnd w:id="1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0" w:hRule="atLeast"/>
        </w:trPr>
        <w:tc>
          <w:tcPr>
            <w:tcW w:w="640" w:type="dxa"/>
            <w:tcBorders>
              <w:top w:val="single" w:color="auto" w:sz="4" w:space="0"/>
              <w:bottom w:val="single" w:color="auto" w:sz="18" w:space="0"/>
              <w:right w:val="single" w:color="auto" w:sz="4" w:space="0"/>
            </w:tcBorders>
            <w:vAlign w:val="center"/>
          </w:tcPr>
          <w:p>
            <w:pPr>
              <w:pStyle w:val="6"/>
              <w:adjustRightInd w:val="0"/>
              <w:snapToGrid w:val="0"/>
              <w:spacing w:line="400" w:lineRule="exact"/>
              <w:ind w:left="9" w:firstLine="0"/>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17</w:t>
            </w:r>
          </w:p>
        </w:tc>
        <w:tc>
          <w:tcPr>
            <w:tcW w:w="2435" w:type="dxa"/>
            <w:tcBorders>
              <w:top w:val="single" w:color="auto" w:sz="4" w:space="0"/>
              <w:left w:val="single" w:color="auto" w:sz="4" w:space="0"/>
              <w:bottom w:val="single" w:color="auto" w:sz="18" w:space="0"/>
              <w:right w:val="single" w:color="auto" w:sz="4" w:space="0"/>
            </w:tcBorders>
            <w:vAlign w:val="center"/>
          </w:tcPr>
          <w:p>
            <w:pPr>
              <w:pStyle w:val="38"/>
              <w:autoSpaceDE/>
              <w:autoSpaceDN/>
              <w:snapToGrid w:val="0"/>
              <w:spacing w:line="400" w:lineRule="exact"/>
              <w:ind w:left="105" w:leftChars="50"/>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评审方法</w:t>
            </w:r>
          </w:p>
        </w:tc>
        <w:tc>
          <w:tcPr>
            <w:tcW w:w="5220" w:type="dxa"/>
            <w:tcBorders>
              <w:top w:val="single" w:color="auto" w:sz="4" w:space="0"/>
              <w:left w:val="single" w:color="auto" w:sz="4" w:space="0"/>
              <w:bottom w:val="single" w:color="auto" w:sz="18" w:space="0"/>
            </w:tcBorders>
            <w:vAlign w:val="center"/>
          </w:tcPr>
          <w:p>
            <w:pPr>
              <w:pStyle w:val="38"/>
              <w:autoSpaceDE/>
              <w:autoSpaceDN/>
              <w:snapToGrid w:val="0"/>
              <w:spacing w:line="400" w:lineRule="exact"/>
              <w:ind w:left="105" w:leftChars="50"/>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综合评分法</w:t>
            </w:r>
          </w:p>
        </w:tc>
      </w:tr>
    </w:tbl>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kern w:val="0"/>
          <w:szCs w:val="21"/>
          <w14:textFill>
            <w14:solidFill>
              <w14:schemeClr w14:val="tx1"/>
            </w14:solidFill>
          </w14:textFill>
        </w:rPr>
      </w:pPr>
      <w:bookmarkStart w:id="118" w:name="_Toc31021"/>
      <w:r>
        <w:rPr>
          <w:rFonts w:hint="eastAsia" w:asciiTheme="minorEastAsia" w:hAnsiTheme="minorEastAsia" w:eastAsiaTheme="minorEastAsia" w:cstheme="minorEastAsia"/>
          <w:bCs/>
          <w:color w:val="000000" w:themeColor="text1"/>
          <w:kern w:val="0"/>
          <w:szCs w:val="21"/>
          <w14:textFill>
            <w14:solidFill>
              <w14:schemeClr w14:val="tx1"/>
            </w14:solidFill>
          </w14:textFill>
        </w:rPr>
        <w:t>一、总则</w:t>
      </w:r>
      <w:bookmarkEnd w:id="109"/>
      <w:bookmarkEnd w:id="118"/>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bookmarkStart w:id="119" w:name="_Toc246826115"/>
      <w:r>
        <w:rPr>
          <w:rFonts w:hint="eastAsia" w:asciiTheme="minorEastAsia" w:hAnsiTheme="minorEastAsia" w:eastAsiaTheme="minorEastAsia" w:cstheme="minorEastAsia"/>
          <w:bCs/>
          <w:color w:val="000000" w:themeColor="text1"/>
          <w:kern w:val="0"/>
          <w:szCs w:val="21"/>
          <w14:textFill>
            <w14:solidFill>
              <w14:schemeClr w14:val="tx1"/>
            </w14:solidFill>
          </w14:textFill>
        </w:rPr>
        <w:t>1、适用范围</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本采购文件仅适用于本次比选公告中所述项目的采购。</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2、定义</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本采购文件中的下列术语应解释为：</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2.1“采购人”系指本项目的采购人，是依法开展政府采购活动的国家机关、事业单位和团体组织。在履行合同阶段称为甲方或买方。</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2.2“供应商”系指向采购人提供货物、工程或者服务的法人、其他组织或者自然人。法人的分支机构不得参加政府采购活动，但银行、保险、石油石化、电力、电信等特殊行业除外</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w:t>
      </w:r>
      <w:bookmarkStart w:id="120" w:name="_Toc267320062"/>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w:t>
      </w:r>
      <w:bookmarkEnd w:id="120"/>
      <w:r>
        <w:rPr>
          <w:rFonts w:hint="eastAsia" w:asciiTheme="minorEastAsia" w:hAnsiTheme="minorEastAsia" w:eastAsiaTheme="minorEastAsia" w:cstheme="minorEastAsia"/>
          <w:bCs/>
          <w:color w:val="000000" w:themeColor="text1"/>
          <w:kern w:val="0"/>
          <w:szCs w:val="21"/>
          <w14:textFill>
            <w14:solidFill>
              <w14:schemeClr w14:val="tx1"/>
            </w14:solidFill>
          </w14:textFill>
        </w:rPr>
        <w:t>供应商</w:t>
      </w:r>
      <w:r>
        <w:rPr>
          <w:rFonts w:hint="eastAsia"/>
          <w:color w:val="000000"/>
        </w:rPr>
        <w:t>（实质性要求）</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3.1合格供应商条件</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或者</w:t>
      </w:r>
      <w:r>
        <w:rPr>
          <w:rFonts w:hint="eastAsia" w:asciiTheme="minorEastAsia" w:hAnsiTheme="minorEastAsia" w:eastAsiaTheme="minorEastAsia" w:cstheme="minorEastAsia"/>
          <w:bCs/>
          <w:color w:val="000000" w:themeColor="text1"/>
          <w:szCs w:val="21"/>
          <w14:textFill>
            <w14:solidFill>
              <w14:schemeClr w14:val="tx1"/>
            </w14:solidFill>
          </w14:textFill>
        </w:rPr>
        <w:t>自然人；</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3.1.2符合</w:t>
      </w:r>
      <w:r>
        <w:rPr>
          <w:rFonts w:asciiTheme="minorEastAsia" w:hAnsiTheme="minorEastAsia" w:eastAsiaTheme="minorEastAsia" w:cstheme="minorEastAsia"/>
          <w:bCs/>
          <w:color w:val="000000" w:themeColor="text1"/>
          <w:szCs w:val="21"/>
          <w14:textFill>
            <w14:solidFill>
              <w14:schemeClr w14:val="tx1"/>
            </w14:solidFill>
          </w14:textFill>
        </w:rPr>
        <w:t>《中华人民共和国政府采购法》</w:t>
      </w:r>
      <w:r>
        <w:rPr>
          <w:rFonts w:hint="eastAsia" w:asciiTheme="minorEastAsia" w:hAnsiTheme="minorEastAsia" w:eastAsiaTheme="minorEastAsia" w:cstheme="minorEastAsia"/>
          <w:bCs/>
          <w:color w:val="000000" w:themeColor="text1"/>
          <w:szCs w:val="21"/>
          <w14:textFill>
            <w14:solidFill>
              <w14:schemeClr w14:val="tx1"/>
            </w14:solidFill>
          </w14:textFill>
        </w:rPr>
        <w:t>第二十二条规定的条件：</w:t>
      </w:r>
    </w:p>
    <w:p>
      <w:p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3.1.2.1具有独立承担民事责任的能力；</w:t>
      </w:r>
    </w:p>
    <w:p>
      <w:p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  3.1.2.1具有良好的商业信誉和健全的财务会计制度；</w:t>
      </w:r>
    </w:p>
    <w:p>
      <w:p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  3.1.2.1具有履行合同所必需的设备和专业技术能力；</w:t>
      </w:r>
    </w:p>
    <w:p>
      <w:p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  3.1.2.1有依法缴纳税收和社会保障资金的良好记录；</w:t>
      </w:r>
    </w:p>
    <w:p>
      <w:p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kern w:val="0"/>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  3.1.2.1参加政府采购活动前三年内，在经营活动中没有重大违法记录；</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  3.1.2.1法律、行政法规规定的其他条件。</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3.1.3满足采购文件报价、商务和技术等实质性要求的；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3.2供应商的风险</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3.2.1供应商没有按照采购文件的要求编制、签署、密封、标记、递交及修正响应文件的，或者响应文件没有对采购文件在各方面都做出实质性响应的，将导致响应无效。</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3.2.2供应商提交的响应文件内容有下列情形之一的，一经发现，视为无效响应，并依法上报政府采购监督管理部门处理</w:t>
      </w:r>
      <w:r>
        <w:rPr>
          <w:rFonts w:hint="eastAsia" w:asciiTheme="minorEastAsia" w:hAnsiTheme="minorEastAsia" w:eastAsiaTheme="minorEastAsia" w:cstheme="minorEastAsia"/>
          <w:bCs/>
          <w:color w:val="000000" w:themeColor="text1"/>
          <w:kern w:val="0"/>
          <w:szCs w:val="21"/>
          <w14:textFill>
            <w14:solidFill>
              <w14:schemeClr w14:val="tx1"/>
            </w14:solidFill>
          </w14:textFill>
        </w:rPr>
        <w:t>：</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（1）提供虚假的资料；</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kern w:val="0"/>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（2）在实质性方面失实；</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Cs w:val="21"/>
          <w14:textFill>
            <w14:solidFill>
              <w14:schemeClr w14:val="tx1"/>
            </w14:solidFill>
          </w14:textFill>
        </w:rPr>
        <w:t>3.2.3</w:t>
      </w:r>
      <w:r>
        <w:rPr>
          <w:rFonts w:hint="eastAsia" w:asciiTheme="minorEastAsia" w:hAnsiTheme="minorEastAsia" w:eastAsiaTheme="minorEastAsia" w:cstheme="minorEastAsia"/>
          <w:bCs/>
          <w:color w:val="000000" w:themeColor="text1"/>
          <w:szCs w:val="21"/>
          <w14:textFill>
            <w14:solidFill>
              <w14:schemeClr w14:val="tx1"/>
            </w14:solidFill>
          </w14:textFill>
        </w:rPr>
        <w:t>供应商享受政策优惠条件但提供的证明（说明）文件或</w:t>
      </w:r>
      <w:r>
        <w:rPr>
          <w:rFonts w:hint="eastAsia"/>
          <w:color w:val="000000" w:themeColor="text1"/>
          <w:szCs w:val="21"/>
          <w14:textFill>
            <w14:solidFill>
              <w14:schemeClr w14:val="tx1"/>
            </w14:solidFill>
          </w14:textFill>
        </w:rPr>
        <w:t>承诺文件失实的，</w:t>
      </w:r>
      <w:r>
        <w:rPr>
          <w:rFonts w:hint="eastAsia" w:asciiTheme="minorEastAsia" w:hAnsiTheme="minorEastAsia" w:eastAsiaTheme="minorEastAsia" w:cstheme="minorEastAsia"/>
          <w:bCs/>
          <w:color w:val="000000" w:themeColor="text1"/>
          <w:szCs w:val="21"/>
          <w14:textFill>
            <w14:solidFill>
              <w14:schemeClr w14:val="tx1"/>
            </w14:solidFill>
          </w14:textFill>
        </w:rPr>
        <w:t>视同响应文件提供虚假资料论处。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4、参与采购活动费用</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4.1无论响应过程中的做法和结果如何，供应商自行承担所有与参加采购活动有关的全部费用；</w:t>
      </w:r>
    </w:p>
    <w:p>
      <w:pPr>
        <w:adjustRightInd w:val="0"/>
        <w:snapToGrid w:val="0"/>
        <w:spacing w:line="360" w:lineRule="auto"/>
        <w:ind w:firstLine="420" w:firstLineChars="200"/>
        <w:rPr>
          <w:rFonts w:asciiTheme="minorEastAsia" w:hAnsi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政策优惠条件及要求</w:t>
      </w:r>
      <w:r>
        <w:rPr>
          <w:rFonts w:asciiTheme="minorEastAsia" w:hAnsiTheme="minorEastAsia" w:eastAsiaTheme="minorEastAsia" w:cstheme="minorEastAsia"/>
          <w:bCs/>
          <w:color w:val="000000" w:themeColor="text1"/>
          <w:szCs w:val="21"/>
          <w14:textFill>
            <w14:solidFill>
              <w14:schemeClr w14:val="tx1"/>
            </w14:solidFill>
          </w14:textFill>
        </w:rPr>
        <w:t>:</w:t>
      </w:r>
      <w:r>
        <w:rPr>
          <w:rFonts w:hint="eastAsia" w:asciiTheme="minorEastAsia" w:hAnsiTheme="minorEastAsia" w:eastAsiaTheme="minorEastAsia" w:cstheme="minorEastAsia"/>
          <w:bCs/>
          <w:color w:val="000000" w:themeColor="text1"/>
          <w:szCs w:val="21"/>
          <w14:textFill>
            <w14:solidFill>
              <w14:schemeClr w14:val="tx1"/>
            </w14:solidFill>
          </w14:textFill>
        </w:rPr>
        <w:t>无</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6、注意事项</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6.1如果没有特别声明或要求，供应商被视为充分熟悉本招标项目所在地与履行合同有关的各种情况，包括自然环境、气候条件、劳动力及公用设施等，本采购文件不再对上述情况进行描述。</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6.2分包采购详见“供应商须知前附表”要求。</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121" w:name="_Toc246826107"/>
      <w:r>
        <w:rPr>
          <w:rFonts w:hint="eastAsia" w:asciiTheme="minorEastAsia" w:hAnsiTheme="minorEastAsia" w:eastAsiaTheme="minorEastAsia" w:cstheme="minorEastAsia"/>
          <w:bCs/>
          <w:color w:val="000000" w:themeColor="text1"/>
          <w:szCs w:val="21"/>
          <w14:textFill>
            <w14:solidFill>
              <w14:schemeClr w14:val="tx1"/>
            </w14:solidFill>
          </w14:textFill>
        </w:rPr>
        <w:t>二、采购文件</w:t>
      </w:r>
      <w:bookmarkEnd w:id="12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22" w:name="_Toc14002"/>
      <w:r>
        <w:rPr>
          <w:rFonts w:hint="eastAsia" w:asciiTheme="minorEastAsia" w:hAnsiTheme="minorEastAsia" w:eastAsiaTheme="minorEastAsia" w:cstheme="minorEastAsia"/>
          <w:bCs/>
          <w:color w:val="000000" w:themeColor="text1"/>
          <w:szCs w:val="21"/>
          <w14:textFill>
            <w14:solidFill>
              <w14:schemeClr w14:val="tx1"/>
            </w14:solidFill>
          </w14:textFill>
        </w:rPr>
        <w:t>7、采购文件的组成</w:t>
      </w:r>
      <w:bookmarkEnd w:id="122"/>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采购文件用以阐明供应商准备响应文件所必须的信息，以及响应、开标、评审和签订合同等有关规定。采购文件以电子版形式下载，采购文件由下述章节组成：</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（1）比选公告</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（2）采购需求</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（3）供应商须知</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（4）审查标准和评审标准</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（5）政府采购合同格式</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（6）响应文件格式及附件</w:t>
      </w:r>
    </w:p>
    <w:p>
      <w:pPr>
        <w:tabs>
          <w:tab w:val="left" w:pos="720"/>
        </w:tabs>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123" w:name="_Toc183682348"/>
      <w:bookmarkStart w:id="124" w:name="_Toc183582211"/>
      <w:bookmarkStart w:id="125" w:name="_Toc217446040"/>
      <w:r>
        <w:rPr>
          <w:rFonts w:hint="eastAsia" w:asciiTheme="minorEastAsia" w:hAnsiTheme="minorEastAsia" w:eastAsiaTheme="minorEastAsia" w:cstheme="minorEastAsia"/>
          <w:bCs/>
          <w:color w:val="000000" w:themeColor="text1"/>
          <w:szCs w:val="21"/>
          <w14:textFill>
            <w14:solidFill>
              <w14:schemeClr w14:val="tx1"/>
            </w14:solidFill>
          </w14:textFill>
        </w:rPr>
        <w:t>8、采购文件的澄清</w:t>
      </w:r>
      <w:bookmarkEnd w:id="123"/>
      <w:bookmarkEnd w:id="124"/>
      <w:r>
        <w:rPr>
          <w:rFonts w:hint="eastAsia" w:asciiTheme="minorEastAsia" w:hAnsiTheme="minorEastAsia" w:eastAsiaTheme="minorEastAsia" w:cstheme="minorEastAsia"/>
          <w:bCs/>
          <w:color w:val="000000" w:themeColor="text1"/>
          <w:szCs w:val="21"/>
          <w14:textFill>
            <w14:solidFill>
              <w14:schemeClr w14:val="tx1"/>
            </w14:solidFill>
          </w14:textFill>
        </w:rPr>
        <w:t>和修改</w:t>
      </w:r>
      <w:bookmarkEnd w:id="125"/>
    </w:p>
    <w:p>
      <w:pPr>
        <w:tabs>
          <w:tab w:val="left" w:pos="720"/>
        </w:tabs>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8.1 在响应文件递交截止时间前，采购人无论出于何种原因，可以对采购文件进行澄清或者修改。</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8.2</w:t>
      </w:r>
      <w:bookmarkStart w:id="126" w:name="_Toc430492127"/>
      <w:bookmarkStart w:id="127" w:name="_Toc430422414"/>
      <w:bookmarkStart w:id="128" w:name="_Toc430488852"/>
      <w:bookmarkStart w:id="129" w:name="_Toc430490613"/>
      <w:bookmarkStart w:id="130" w:name="_Toc430489120"/>
      <w:bookmarkStart w:id="131" w:name="_Toc415567498"/>
      <w:bookmarkStart w:id="132" w:name="_Toc430488645"/>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采购文件的修改</w:t>
      </w:r>
      <w:bookmarkEnd w:id="126"/>
      <w:bookmarkEnd w:id="127"/>
      <w:bookmarkEnd w:id="128"/>
      <w:bookmarkEnd w:id="129"/>
      <w:bookmarkEnd w:id="130"/>
      <w:bookmarkEnd w:id="131"/>
      <w:bookmarkEnd w:id="132"/>
    </w:p>
    <w:p>
      <w:pPr>
        <w:pStyle w:val="11"/>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133" w:name="_Toc245887536"/>
      <w:bookmarkStart w:id="134" w:name="_Toc245888275"/>
      <w:bookmarkStart w:id="135" w:name="_Toc246825804"/>
      <w:bookmarkStart w:id="136" w:name="_Toc246826109"/>
      <w:r>
        <w:rPr>
          <w:rFonts w:hint="eastAsia" w:asciiTheme="minorEastAsia" w:hAnsiTheme="minorEastAsia" w:eastAsiaTheme="minorEastAsia" w:cstheme="minorEastAsia"/>
          <w:bCs/>
          <w:color w:val="000000" w:themeColor="text1"/>
          <w:szCs w:val="21"/>
          <w14:textFill>
            <w14:solidFill>
              <w14:schemeClr w14:val="tx1"/>
            </w14:solidFill>
          </w14:textFill>
        </w:rPr>
        <w:t>（1）在响应文件递交截止时间以前，采购人可主动或依供应商要求澄清或质疑的问题对采购文件进行必要的补遗、澄清或修改；</w:t>
      </w:r>
      <w:bookmarkEnd w:id="133"/>
      <w:bookmarkEnd w:id="134"/>
      <w:bookmarkEnd w:id="135"/>
      <w:bookmarkEnd w:id="136"/>
      <w:bookmarkStart w:id="137" w:name="_Toc208848971"/>
      <w:bookmarkStart w:id="138" w:name="_Toc217446041"/>
    </w:p>
    <w:p>
      <w:pPr>
        <w:pStyle w:val="11"/>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补遗、澄清或修改内容可能影响响应文件编制的，采购人须在响应文件递交截止时间2日前发布公告；不足2日的，采购人应当顺延提交响应文件的截止时间和开标时间，在此情况下，采购当事人受响应文件递交截止期制约的所有权利和义务均应延长至新的截止日期；</w:t>
      </w:r>
    </w:p>
    <w:p>
      <w:pPr>
        <w:pStyle w:val="11"/>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（3）补遗、澄清或修改后的内容是采购文件的组成部分，并对潜在供应商具有约束力。有关</w:t>
      </w:r>
      <w:r>
        <w:rPr>
          <w:rFonts w:hint="eastAsia" w:asciiTheme="minorEastAsia" w:hAnsiTheme="minorEastAsia" w:eastAsiaTheme="minorEastAsia" w:cstheme="minorEastAsia"/>
          <w:bCs/>
          <w:color w:val="000000" w:themeColor="text1"/>
          <w:spacing w:val="-8"/>
          <w:szCs w:val="21"/>
          <w14:textFill>
            <w14:solidFill>
              <w14:schemeClr w14:val="tx1"/>
            </w14:solidFill>
          </w14:textFill>
        </w:rPr>
        <w:t>本项目采购文件的补遗、澄清及变更信息以第一章指定网站公告及下载内容为准，</w:t>
      </w:r>
      <w:r>
        <w:rPr>
          <w:rFonts w:hint="eastAsia" w:asciiTheme="minorEastAsia" w:hAnsiTheme="minorEastAsia" w:eastAsiaTheme="minorEastAsia" w:cstheme="minorEastAsia"/>
          <w:bCs/>
          <w:color w:val="000000" w:themeColor="text1"/>
          <w:szCs w:val="21"/>
          <w14:textFill>
            <w14:solidFill>
              <w14:schemeClr w14:val="tx1"/>
            </w14:solidFill>
          </w14:textFill>
        </w:rPr>
        <w:t>采购人不再另行通知，潜在供应商须及时关注关于本项目采购信息的更新事项，否则自行承担由此产生的风险。采购文件与更正公告的内容相互矛盾时，以最后发出的更正公告为准。</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9、其他</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9.1标前答疑会和</w:t>
      </w:r>
      <w:bookmarkEnd w:id="137"/>
      <w:bookmarkEnd w:id="138"/>
      <w:r>
        <w:rPr>
          <w:rFonts w:hint="eastAsia" w:asciiTheme="minorEastAsia" w:hAnsiTheme="minorEastAsia" w:eastAsiaTheme="minorEastAsia" w:cstheme="minorEastAsia"/>
          <w:bCs/>
          <w:color w:val="000000" w:themeColor="text1"/>
          <w:szCs w:val="21"/>
          <w14:textFill>
            <w14:solidFill>
              <w14:schemeClr w14:val="tx1"/>
            </w14:solidFill>
          </w14:textFill>
        </w:rPr>
        <w:t>现场考察</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9.1.1供应商须知前附表规定组织答疑会或/和现场考察的，采购人按供应商须知前附表规定的时间、地点组织答疑会或考察项目现场，供应商如不参加的，其风险由供应商自行承担，采购人不承担任何责任。采购人不组织现场考察的，供应商可以自行决定是否考察现场。</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9.1.2答疑会上，采购人将解答供应商的疑问。会上所有的解答与说明仅供供应商编制响应文件时参考，采购人不对供应商据此作出的判断和决策负责。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9.1.3采购人在考察现场中口头介绍的情况（如有），供供应商在编制响应文件时参考，采购人不对供应商据此作出的判断和决策负责。</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9.1.4采购人不单独或者分别组织只有1个供应商参加的现场考察及标前答疑会。</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9.1.5供应商自行承担参加答疑或现场考察所发生的一切费用。</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9.2述标和/或演示</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具体要求详见第二章“采购需求”和/或“供应商须知前附表”有关规定。</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39" w:name="_Toc246826110"/>
      <w:bookmarkStart w:id="140" w:name="_Toc19683"/>
      <w:r>
        <w:rPr>
          <w:rFonts w:hint="eastAsia" w:asciiTheme="minorEastAsia" w:hAnsiTheme="minorEastAsia" w:eastAsiaTheme="minorEastAsia" w:cstheme="minorEastAsia"/>
          <w:bCs/>
          <w:color w:val="000000" w:themeColor="text1"/>
          <w:szCs w:val="21"/>
          <w14:textFill>
            <w14:solidFill>
              <w14:schemeClr w14:val="tx1"/>
            </w14:solidFill>
          </w14:textFill>
        </w:rPr>
        <w:t>三、响应文件的编写</w:t>
      </w:r>
      <w:bookmarkEnd w:id="139"/>
      <w:bookmarkEnd w:id="14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1" w:name="_Toc9669"/>
      <w:r>
        <w:rPr>
          <w:rFonts w:hint="eastAsia" w:asciiTheme="minorEastAsia" w:hAnsiTheme="minorEastAsia" w:eastAsiaTheme="minorEastAsia" w:cstheme="minorEastAsia"/>
          <w:bCs/>
          <w:color w:val="000000" w:themeColor="text1"/>
          <w:szCs w:val="21"/>
          <w14:textFill>
            <w14:solidFill>
              <w14:schemeClr w14:val="tx1"/>
            </w14:solidFill>
          </w14:textFill>
        </w:rPr>
        <w:t>10. 响应文件的编制要求：供应商应当根据采购文件的要求编制响应文件（包括签名和盖章），否则自行承担由此产生的风险。</w:t>
      </w:r>
      <w:bookmarkEnd w:id="141"/>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10.2供应商提供的文件必须真实、充分、全面，并对响应文件所提供全部资料的真实性和合法性承担法律责任。</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2" w:name="_Toc29102"/>
      <w:r>
        <w:rPr>
          <w:rFonts w:hint="eastAsia" w:asciiTheme="minorEastAsia" w:hAnsiTheme="minorEastAsia" w:eastAsiaTheme="minorEastAsia" w:cstheme="minorEastAsia"/>
          <w:bCs/>
          <w:color w:val="000000" w:themeColor="text1"/>
          <w:szCs w:val="21"/>
          <w14:textFill>
            <w14:solidFill>
              <w14:schemeClr w14:val="tx1"/>
            </w14:solidFill>
          </w14:textFill>
        </w:rPr>
        <w:t>10.3每一单项服务项目只允许有一个报价，否则将被视为无效响应。</w:t>
      </w:r>
      <w:bookmarkEnd w:id="14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3" w:name="_Toc20342"/>
      <w:r>
        <w:rPr>
          <w:rFonts w:hint="eastAsia" w:asciiTheme="minorEastAsia" w:hAnsiTheme="minorEastAsia" w:eastAsiaTheme="minorEastAsia" w:cstheme="minorEastAsia"/>
          <w:bCs/>
          <w:color w:val="000000" w:themeColor="text1"/>
          <w:szCs w:val="21"/>
          <w14:textFill>
            <w14:solidFill>
              <w14:schemeClr w14:val="tx1"/>
            </w14:solidFill>
          </w14:textFill>
        </w:rPr>
        <w:t>10.4只允许供应商有一个响应方案，否则将被视为无效响应。（采购文件允许有备选方案的除外）</w:t>
      </w:r>
      <w:bookmarkEnd w:id="14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4" w:name="_Toc25097"/>
      <w:r>
        <w:rPr>
          <w:rFonts w:hint="eastAsia" w:asciiTheme="minorEastAsia" w:hAnsiTheme="minorEastAsia" w:eastAsiaTheme="minorEastAsia" w:cstheme="minorEastAsia"/>
          <w:bCs/>
          <w:color w:val="000000" w:themeColor="text1"/>
          <w:szCs w:val="21"/>
          <w14:textFill>
            <w14:solidFill>
              <w14:schemeClr w14:val="tx1"/>
            </w14:solidFill>
          </w14:textFill>
        </w:rPr>
        <w:t>10.5 供应商根据采购文件载明的采购项目实际情况，拟在成交后将成交项目的非主体、非关键性工作交由他人完成的，应当在响应文件中载明。</w:t>
      </w:r>
      <w:bookmarkEnd w:id="144"/>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10.6响应文件的正本、副本和电子版响应文件的数量应当符合采购文件的要求。</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5" w:name="_Toc5436"/>
      <w:r>
        <w:rPr>
          <w:rFonts w:hint="eastAsia" w:asciiTheme="minorEastAsia" w:hAnsiTheme="minorEastAsia" w:eastAsiaTheme="minorEastAsia" w:cstheme="minorEastAsia"/>
          <w:bCs/>
          <w:color w:val="000000" w:themeColor="text1"/>
          <w:szCs w:val="21"/>
          <w14:textFill>
            <w14:solidFill>
              <w14:schemeClr w14:val="tx1"/>
            </w14:solidFill>
          </w14:textFill>
        </w:rPr>
        <w:t>10.7响应文件必须编页码，页码必须连续。</w:t>
      </w:r>
      <w:bookmarkEnd w:id="14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6" w:name="_Toc11982"/>
      <w:r>
        <w:rPr>
          <w:rFonts w:hint="eastAsia" w:asciiTheme="minorEastAsia" w:hAnsiTheme="minorEastAsia" w:eastAsiaTheme="minorEastAsia" w:cstheme="minorEastAsia"/>
          <w:bCs/>
          <w:color w:val="000000" w:themeColor="text1"/>
          <w:szCs w:val="21"/>
          <w14:textFill>
            <w14:solidFill>
              <w14:schemeClr w14:val="tx1"/>
            </w14:solidFill>
          </w14:textFill>
        </w:rPr>
        <w:t>10.8响应文件应装订牢固不可拆卸（如：胶订），如因装订不牢固导致的任何损失及风险由供应商承担。</w:t>
      </w:r>
      <w:bookmarkEnd w:id="146"/>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 响应文件语言、货物及计量单位</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11.1除采购文件中另有规定外，供应商提交的响应文件及其与采购人和采购人所有来往文件均应使用中文，若有不同文本，以中文文本为准。非中文的响应文件内容应翻译成中文。</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11.2货币单位：本次采购项目的响应均以人民币报价。</w:t>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11.3计量单位：除采购文件中另有规定外，供应商在响应文件中及其与采购人所有往来文件中所使用的计量单位均应采用中华人民共和国法定计量单位。</w:t>
      </w:r>
      <w:bookmarkStart w:id="147" w:name="_Toc217446046"/>
    </w:p>
    <w:bookmarkEnd w:id="147"/>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12、响应文件的组成：由商务部分、技术部分、价格部分以及其他部分组成。所有证明材料、说明文件、响应要求详见“供应商须知前附表”的具体要求，供应商不提供或不按要求提供的则自行承担由此产生的风险。</w:t>
      </w:r>
    </w:p>
    <w:p>
      <w:pPr>
        <w:pStyle w:val="9"/>
        <w:adjustRightInd w:val="0"/>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12.1响应文件的商务部分</w:t>
      </w:r>
    </w:p>
    <w:p>
      <w:pPr>
        <w:pStyle w:val="9"/>
        <w:adjustRightInd w:val="0"/>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12.1.1 商务部分是证明供应商是合格的，并且在成交后有能力履行合同的证明文件，这些文件可以是但不限于文字资料、证书复印件和数据报表等。</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12.1.2 不满足商务部分实质性要求的将视为无效响应。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12.2 响应文件的技术部分</w:t>
      </w:r>
    </w:p>
    <w:p>
      <w:pPr>
        <w:pStyle w:val="9"/>
        <w:adjustRightInd w:val="0"/>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技术部分是证明响应的技术（服务）标准以及配套/辅助服务标准是符合国家或/和行业的强制标准（包括但不限于经营许可或质量标准等），并符合采购文件要求的证明文件，这些文件可以是但不限于文字资料、图片和数据等。</w:t>
      </w:r>
    </w:p>
    <w:p>
      <w:pPr>
        <w:autoSpaceDE w:val="0"/>
        <w:autoSpaceDN w:val="0"/>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12.3 响应文件的价格部分 </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价格部分是供应商对响应服务以及配套所需设施设备等价格的构成所作的说明。该响应总价是供应商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响应报价之内；该响应总价不得高于预算金额或最高限价，且须是本项目服务期限内所有服务费用的总和，否则视为无效效响应。</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12.4 响应文件的其他部分</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其他部分由供应商根据编制响应文件需要提供的其他相关文件组成。</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13、响应有效期</w:t>
      </w:r>
    </w:p>
    <w:p>
      <w:pPr>
        <w:autoSpaceDE w:val="0"/>
        <w:autoSpaceDN w:val="0"/>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13.1 响应文件从“供应商须知前附表”所规定的响应文件递交截止期之后开始生效，在“供应商须知前附表”所规定的响应有效期期限内保持有效。有效期不足将导致其响应无效。</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13.2 特殊情况下采购人可于响应有效期满之前书面要求供应商同意延长有效期，供应商应在采购人规定的期限内以书面形式予以答复，供应商答复不明确或者逾期未答复的，均视为拒绝上述要求。供应商拒绝上述要求的，其响应保证金（如有）可按规定予以退还。对于接受该要求的供应商，既不要求也不允许其修改响应文件，但将要求其相应延长响应保证金有效期，有关退还和不予退还响应保证金的规定在响应有效期延长期内继续有效。同意响应有效期延长的，如提交的保证金为保函，应对保函做相应延长，供应商自行承担由此产生的费用，不同意延长响应有效期的，响应有效期满自动失效。</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commentRangeStart w:id="4"/>
      <w:commentRangeStart w:id="5"/>
      <w:r>
        <w:rPr>
          <w:rFonts w:asciiTheme="minorEastAsia" w:hAnsiTheme="minorEastAsia" w:eastAsiaTheme="minorEastAsia" w:cstheme="minorEastAsia"/>
          <w:bCs/>
          <w:color w:val="000000" w:themeColor="text1"/>
          <w:szCs w:val="21"/>
          <w14:textFill>
            <w14:solidFill>
              <w14:schemeClr w14:val="tx1"/>
            </w14:solidFill>
          </w14:textFill>
        </w:rPr>
        <w:t>14、</w:t>
      </w:r>
      <w:r>
        <w:rPr>
          <w:rFonts w:hint="eastAsia" w:asciiTheme="minorEastAsia" w:hAnsiTheme="minorEastAsia" w:eastAsiaTheme="minorEastAsia" w:cstheme="minorEastAsia"/>
          <w:bCs/>
          <w:color w:val="000000" w:themeColor="text1"/>
          <w:szCs w:val="21"/>
          <w14:textFill>
            <w14:solidFill>
              <w14:schemeClr w14:val="tx1"/>
            </w14:solidFill>
          </w14:textFill>
        </w:rPr>
        <w:t>响应保证金</w:t>
      </w:r>
      <w:commentRangeEnd w:id="4"/>
      <w:r>
        <w:commentReference w:id="4"/>
      </w:r>
    </w:p>
    <w:p>
      <w:pPr>
        <w:pStyle w:val="11"/>
        <w:tabs>
          <w:tab w:val="left" w:pos="8360"/>
        </w:tabs>
        <w:adjustRightInd w:val="0"/>
        <w:snapToGrid w:val="0"/>
        <w:spacing w:line="360" w:lineRule="auto"/>
        <w:ind w:firstLine="420" w:firstLineChars="200"/>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14.1 </w:t>
      </w:r>
      <w:r>
        <w:rPr>
          <w:rFonts w:hint="eastAsia" w:asciiTheme="minorEastAsia" w:hAnsiTheme="minorEastAsia" w:eastAsiaTheme="minorEastAsia" w:cstheme="minorEastAsia"/>
          <w:bCs/>
          <w:color w:val="000000" w:themeColor="text1"/>
          <w:szCs w:val="21"/>
          <w14:textFill>
            <w14:solidFill>
              <w14:schemeClr w14:val="tx1"/>
            </w14:solidFill>
          </w14:textFill>
        </w:rPr>
        <w:t>如项目需交纳响应保证金，则响应保证金为响应文件的组成部分之一。</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14.2 </w:t>
      </w:r>
      <w:r>
        <w:rPr>
          <w:rFonts w:hint="eastAsia" w:asciiTheme="minorEastAsia" w:hAnsiTheme="minorEastAsia" w:eastAsiaTheme="minorEastAsia" w:cstheme="minorEastAsia"/>
          <w:bCs/>
          <w:color w:val="000000" w:themeColor="text1"/>
          <w:szCs w:val="21"/>
          <w14:textFill>
            <w14:solidFill>
              <w14:schemeClr w14:val="tx1"/>
            </w14:solidFill>
          </w14:textFill>
        </w:rPr>
        <w:t>供应商应在提交响应文件之前向采购人交纳“供应商须知前附表”所规定的响应保证金。联合体响应的，由联合体中的一方提交响应保证金，以一方名义提交响应保证金的，对联合体各方均具有约束力。</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14.3 </w:t>
      </w:r>
      <w:r>
        <w:rPr>
          <w:rFonts w:hint="eastAsia" w:asciiTheme="minorEastAsia" w:hAnsiTheme="minorEastAsia" w:eastAsiaTheme="minorEastAsia" w:cstheme="minorEastAsia"/>
          <w:bCs/>
          <w:color w:val="000000" w:themeColor="text1"/>
          <w:szCs w:val="21"/>
          <w14:textFill>
            <w14:solidFill>
              <w14:schemeClr w14:val="tx1"/>
            </w14:solidFill>
          </w14:textFill>
        </w:rPr>
        <w:t>响应保证金用于保护本次采购活动免受供应商的行为而引起的风险。</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14.4 </w:t>
      </w:r>
      <w:r>
        <w:rPr>
          <w:rFonts w:hint="eastAsia" w:asciiTheme="minorEastAsia" w:hAnsiTheme="minorEastAsia" w:eastAsiaTheme="minorEastAsia" w:cstheme="minorEastAsia"/>
          <w:bCs/>
          <w:color w:val="000000" w:themeColor="text1"/>
          <w:szCs w:val="21"/>
          <w14:textFill>
            <w14:solidFill>
              <w14:schemeClr w14:val="tx1"/>
            </w14:solidFill>
          </w14:textFill>
        </w:rPr>
        <w:t>供应商未按采购文件要求提交响应保证金的，视为无效响应；项目免收响应保证金的除外。</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14.5 </w:t>
      </w:r>
      <w:r>
        <w:rPr>
          <w:rFonts w:hint="eastAsia" w:asciiTheme="minorEastAsia" w:hAnsiTheme="minorEastAsia" w:eastAsiaTheme="minorEastAsia" w:cstheme="minorEastAsia"/>
          <w:bCs/>
          <w:color w:val="000000" w:themeColor="text1"/>
          <w:szCs w:val="21"/>
          <w14:textFill>
            <w14:solidFill>
              <w14:schemeClr w14:val="tx1"/>
            </w14:solidFill>
          </w14:textFill>
        </w:rPr>
        <w:t>未成交供应商的响应保证金将在成交通知书发出后</w:t>
      </w:r>
      <w:r>
        <w:rPr>
          <w:rFonts w:asciiTheme="minorEastAsia" w:hAnsiTheme="minorEastAsia" w:eastAsiaTheme="minorEastAsia" w:cstheme="minorEastAsia"/>
          <w:bCs/>
          <w:color w:val="000000" w:themeColor="text1"/>
          <w:szCs w:val="21"/>
          <w14:textFill>
            <w14:solidFill>
              <w14:schemeClr w14:val="tx1"/>
            </w14:solidFill>
          </w14:textFill>
        </w:rPr>
        <w:t>5个工作日内退还，</w:t>
      </w:r>
      <w:r>
        <w:rPr>
          <w:rFonts w:hint="eastAsia" w:asciiTheme="minorEastAsia" w:hAnsiTheme="minorEastAsia" w:eastAsiaTheme="minorEastAsia" w:cstheme="minorEastAsia"/>
          <w:bCs/>
          <w:color w:val="000000" w:themeColor="text1"/>
          <w:szCs w:val="21"/>
          <w14:textFill>
            <w14:solidFill>
              <w14:schemeClr w14:val="tx1"/>
            </w14:solidFill>
          </w14:textFill>
        </w:rPr>
        <w:t>成交供应商的响应保证金将在合同送达采购人存档及公告后</w:t>
      </w:r>
      <w:r>
        <w:rPr>
          <w:rFonts w:asciiTheme="minorEastAsia" w:hAnsiTheme="minorEastAsia" w:eastAsiaTheme="minorEastAsia" w:cstheme="minorEastAsia"/>
          <w:bCs/>
          <w:color w:val="000000" w:themeColor="text1"/>
          <w:szCs w:val="21"/>
          <w14:textFill>
            <w14:solidFill>
              <w14:schemeClr w14:val="tx1"/>
            </w14:solidFill>
          </w14:textFill>
        </w:rPr>
        <w:t>5个工作日内退还。</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14.6 </w:t>
      </w:r>
      <w:r>
        <w:rPr>
          <w:rFonts w:hint="eastAsia" w:asciiTheme="minorEastAsia" w:hAnsiTheme="minorEastAsia" w:eastAsiaTheme="minorEastAsia" w:cstheme="minorEastAsia"/>
          <w:bCs/>
          <w:color w:val="000000" w:themeColor="text1"/>
          <w:szCs w:val="21"/>
          <w14:textFill>
            <w14:solidFill>
              <w14:schemeClr w14:val="tx1"/>
            </w14:solidFill>
          </w14:textFill>
        </w:rPr>
        <w:t>响应保证金的有效期与响应有效期一致。</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14.7</w:t>
      </w:r>
      <w:r>
        <w:rPr>
          <w:rFonts w:hint="eastAsia" w:asciiTheme="minorEastAsia" w:hAnsiTheme="minorEastAsia" w:eastAsiaTheme="minorEastAsia" w:cstheme="minorEastAsia"/>
          <w:bCs/>
          <w:color w:val="000000" w:themeColor="text1"/>
          <w:szCs w:val="21"/>
          <w14:textFill>
            <w14:solidFill>
              <w14:schemeClr w14:val="tx1"/>
            </w14:solidFill>
          </w14:textFill>
        </w:rPr>
        <w:t>供应商交纳响应保证金的单位名称须与响应的单位名称一致，否则自行承担响应无效的风险。</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asciiTheme="minorEastAsia" w:hAnsiTheme="minorEastAsia" w:eastAsiaTheme="minorEastAsia" w:cstheme="minorEastAsia"/>
          <w:bCs/>
          <w:color w:val="000000" w:themeColor="text1"/>
          <w:szCs w:val="21"/>
          <w14:textFill>
            <w14:solidFill>
              <w14:schemeClr w14:val="tx1"/>
            </w14:solidFill>
          </w14:textFill>
        </w:rPr>
        <w:t xml:space="preserve">14.8 </w:t>
      </w:r>
      <w:r>
        <w:rPr>
          <w:rFonts w:hint="eastAsia" w:asciiTheme="minorEastAsia" w:hAnsiTheme="minorEastAsia" w:eastAsiaTheme="minorEastAsia" w:cstheme="minorEastAsia"/>
          <w:bCs/>
          <w:color w:val="000000" w:themeColor="text1"/>
          <w:szCs w:val="21"/>
          <w14:textFill>
            <w14:solidFill>
              <w14:schemeClr w14:val="tx1"/>
            </w14:solidFill>
          </w14:textFill>
        </w:rPr>
        <w:t>发生以下情况之一的，响应保证金将不予退还：</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1）</w:t>
      </w:r>
      <w:r>
        <w:rPr>
          <w:rFonts w:hint="eastAsia" w:asciiTheme="minorEastAsia" w:hAnsiTheme="minorEastAsia" w:eastAsiaTheme="minorEastAsia" w:cstheme="minorEastAsia"/>
          <w:bCs/>
          <w:color w:val="000000" w:themeColor="text1"/>
          <w:szCs w:val="21"/>
          <w14:textFill>
            <w14:solidFill>
              <w14:schemeClr w14:val="tx1"/>
            </w14:solidFill>
          </w14:textFill>
        </w:rPr>
        <w:t>供应商在响应有效期内撤回已提交的响应文件的；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2）</w:t>
      </w:r>
      <w:r>
        <w:rPr>
          <w:rFonts w:hint="eastAsia" w:asciiTheme="minorEastAsia" w:hAnsiTheme="minorEastAsia" w:eastAsiaTheme="minorEastAsia" w:cstheme="minorEastAsia"/>
          <w:bCs/>
          <w:color w:val="000000" w:themeColor="text1"/>
          <w:szCs w:val="21"/>
          <w14:textFill>
            <w14:solidFill>
              <w14:schemeClr w14:val="tx1"/>
            </w14:solidFill>
          </w14:textFill>
        </w:rPr>
        <w:t>供应商在响应文件中提供虚假材料的；</w:t>
      </w:r>
      <w:commentRangeEnd w:id="5"/>
      <w:r>
        <w:commentReference w:id="5"/>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3）除因不可抗力或</w:t>
      </w:r>
      <w:r>
        <w:rPr>
          <w:rFonts w:hint="eastAsia" w:asciiTheme="minorEastAsia" w:hAnsiTheme="minorEastAsia" w:eastAsiaTheme="minorEastAsia" w:cstheme="minorEastAsia"/>
          <w:bCs/>
          <w:color w:val="000000" w:themeColor="text1"/>
          <w:szCs w:val="21"/>
          <w14:textFill>
            <w14:solidFill>
              <w14:schemeClr w14:val="tx1"/>
            </w14:solidFill>
          </w14:textFill>
        </w:rPr>
        <w:t>采购文件认可的情形以外，成交供应商放弃成交资格的；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4）</w:t>
      </w:r>
      <w:r>
        <w:rPr>
          <w:rFonts w:hint="eastAsia" w:asciiTheme="minorEastAsia" w:hAnsiTheme="minorEastAsia" w:eastAsiaTheme="minorEastAsia" w:cstheme="minorEastAsia"/>
          <w:bCs/>
          <w:color w:val="000000" w:themeColor="text1"/>
          <w:szCs w:val="21"/>
          <w14:textFill>
            <w14:solidFill>
              <w14:schemeClr w14:val="tx1"/>
            </w14:solidFill>
          </w14:textFill>
        </w:rPr>
        <w:t>供应商与采购人、其他供应商或者采购人恶意串通的；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5</w:t>
      </w:r>
      <w:r>
        <w:rPr>
          <w:rFonts w:hint="eastAsia" w:asciiTheme="minorEastAsia" w:hAnsiTheme="minorEastAsia" w:eastAsiaTheme="minorEastAsia" w:cstheme="minorEastAsia"/>
          <w:bCs/>
          <w:color w:val="000000" w:themeColor="text1"/>
          <w:szCs w:val="21"/>
          <w14:textFill>
            <w14:solidFill>
              <w14:schemeClr w14:val="tx1"/>
            </w14:solidFill>
          </w14:textFill>
        </w:rPr>
        <w:t>）成交供应商无正当理由不与采购人签订合同的；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6</w:t>
      </w:r>
      <w:r>
        <w:rPr>
          <w:rFonts w:hint="eastAsia" w:asciiTheme="minorEastAsia" w:hAnsiTheme="minorEastAsia" w:eastAsiaTheme="minorEastAsia" w:cstheme="minorEastAsia"/>
          <w:bCs/>
          <w:color w:val="000000" w:themeColor="text1"/>
          <w:szCs w:val="21"/>
          <w14:textFill>
            <w14:solidFill>
              <w14:schemeClr w14:val="tx1"/>
            </w14:solidFill>
          </w14:textFill>
        </w:rPr>
        <w:t>）供应商有违反政府采购法律、法规和扰乱会场秩序行为的；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r>
        <w:rPr>
          <w:rFonts w:asciiTheme="minorEastAsia" w:hAnsiTheme="minorEastAsia" w:eastAsiaTheme="minorEastAsia" w:cstheme="minorEastAsia"/>
          <w:bCs/>
          <w:color w:val="000000" w:themeColor="text1"/>
          <w:szCs w:val="21"/>
          <w14:textFill>
            <w14:solidFill>
              <w14:schemeClr w14:val="tx1"/>
            </w14:solidFill>
          </w14:textFill>
        </w:rPr>
        <w:t>7</w:t>
      </w:r>
      <w:r>
        <w:rPr>
          <w:rFonts w:hint="eastAsia" w:asciiTheme="minorEastAsia" w:hAnsiTheme="minorEastAsia" w:eastAsiaTheme="minorEastAsia" w:cstheme="minorEastAsia"/>
          <w:bCs/>
          <w:color w:val="000000" w:themeColor="text1"/>
          <w:szCs w:val="21"/>
          <w14:textFill>
            <w14:solidFill>
              <w14:schemeClr w14:val="tx1"/>
            </w14:solidFill>
          </w14:textFill>
        </w:rPr>
        <w:t>）拒绝履行合同义务的；</w:t>
      </w:r>
    </w:p>
    <w:p>
      <w:pPr>
        <w:pStyle w:val="10"/>
        <w:ind w:left="0" w:leftChars="0"/>
        <w:rPr>
          <w:rFonts w:eastAsia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）法律法规及采购文件规定的其他情形。</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上述不予退还响应保证金的情况给采购人或采购人造成损失的，还要承担赔偿责任。</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 响应文件的格式及签署</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15.1响应文件正本一份，副本贰份，电子版响应文件（PDF格式）U盘一个。正本、副本必须打印装订，副本可以用正本的完整复印件，并在封面标明“正本”、“副本”字样。电子版响应文件（PDF格式）为正本完整版的扫描件。正本与副本如有不一致，则以正本为准。</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15.2响应文件应当由供应商的法定代表人或经其正式授权的代表签字，授权代表须出具书面的法定代表人授权委托书并附载响应文件中，否则视为无效响应文件；</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15.3响应文件所使用的印章必须为单位公章，且与供应商单位名称完全一致，不能以其他业务章或附属机构印章代替，否则视为无效响应文件；</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15.4响应文件中的任何行间插字，涂改和增删，须由法定代表人或经其正式授权的代表在旁边签字方可有效；</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15.5供应商应按照采购文件第六章中提供的“响应文件格式”编制响应文件，如自有格式并按其格式编制的响应文件，其内容必须包含“响应文件格式”中所有的实质性内容并受其约束。</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15.6供应商须将响应文件的商务部分、技术部分和价格部分整合为一份响应文件，并制作详细目录、页码索引。</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15.7响应文件因字迹潦草或表达不清所引起的后果由供应商负责。</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48" w:name="_Toc11464"/>
      <w:bookmarkStart w:id="149" w:name="_Toc246826111"/>
      <w:r>
        <w:rPr>
          <w:rFonts w:hint="eastAsia" w:asciiTheme="minorEastAsia" w:hAnsiTheme="minorEastAsia" w:eastAsiaTheme="minorEastAsia" w:cstheme="minorEastAsia"/>
          <w:bCs/>
          <w:color w:val="000000" w:themeColor="text1"/>
          <w:szCs w:val="21"/>
          <w14:textFill>
            <w14:solidFill>
              <w14:schemeClr w14:val="tx1"/>
            </w14:solidFill>
          </w14:textFill>
        </w:rPr>
        <w:t>四、响应文件的提交</w:t>
      </w:r>
      <w:bookmarkEnd w:id="148"/>
      <w:bookmarkEnd w:id="14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0" w:name="_Toc26174"/>
      <w:r>
        <w:rPr>
          <w:rFonts w:hint="eastAsia" w:asciiTheme="minorEastAsia" w:hAnsiTheme="minorEastAsia" w:eastAsiaTheme="minorEastAsia" w:cstheme="minorEastAsia"/>
          <w:bCs/>
          <w:color w:val="000000" w:themeColor="text1"/>
          <w:szCs w:val="21"/>
          <w14:textFill>
            <w14:solidFill>
              <w14:schemeClr w14:val="tx1"/>
            </w14:solidFill>
          </w14:textFill>
        </w:rPr>
        <w:t>16.响应文件的密封和递交</w:t>
      </w:r>
      <w:bookmarkEnd w:id="150"/>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16.1 供应商应将纸质版响应文件</w:t>
      </w:r>
      <w:r>
        <w:rPr>
          <w:rFonts w:hint="eastAsia" w:asciiTheme="minorEastAsia" w:hAnsiTheme="minorEastAsia" w:eastAsiaTheme="minorEastAsia" w:cstheme="minorEastAsia"/>
          <w:color w:val="000000" w:themeColor="text1"/>
          <w:szCs w:val="21"/>
          <w14:textFill>
            <w14:solidFill>
              <w14:schemeClr w14:val="tx1"/>
            </w14:solidFill>
          </w14:textFill>
        </w:rPr>
        <w:t>和</w:t>
      </w:r>
      <w:r>
        <w:rPr>
          <w:rFonts w:hint="eastAsia" w:asciiTheme="minorEastAsia" w:hAnsiTheme="minorEastAsia" w:eastAsiaTheme="minorEastAsia" w:cstheme="minorEastAsia"/>
          <w:bCs/>
          <w:color w:val="000000" w:themeColor="text1"/>
          <w:szCs w:val="21"/>
          <w14:textFill>
            <w14:solidFill>
              <w14:schemeClr w14:val="tx1"/>
            </w14:solidFill>
          </w14:textFill>
        </w:rPr>
        <w:t>电子版响应文件（PDF格式）密封提交，响应文件密封袋上标示“供应商须知前附表”所规定的内容。</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1" w:name="_Toc9562"/>
      <w:r>
        <w:rPr>
          <w:rFonts w:hint="eastAsia" w:asciiTheme="minorEastAsia" w:hAnsiTheme="minorEastAsia" w:eastAsiaTheme="minorEastAsia" w:cstheme="minorEastAsia"/>
          <w:bCs/>
          <w:color w:val="000000" w:themeColor="text1"/>
          <w:szCs w:val="21"/>
          <w14:textFill>
            <w14:solidFill>
              <w14:schemeClr w14:val="tx1"/>
            </w14:solidFill>
          </w14:textFill>
        </w:rPr>
        <w:t>16.2电子版响应文件U盘应密封提交。</w:t>
      </w:r>
      <w:bookmarkEnd w:id="15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2" w:name="_Toc21626"/>
      <w:r>
        <w:rPr>
          <w:rFonts w:hint="eastAsia" w:asciiTheme="minorEastAsia" w:hAnsiTheme="minorEastAsia" w:eastAsiaTheme="minorEastAsia" w:cstheme="minorEastAsia"/>
          <w:bCs/>
          <w:color w:val="000000" w:themeColor="text1"/>
          <w:szCs w:val="21"/>
          <w14:textFill>
            <w14:solidFill>
              <w14:schemeClr w14:val="tx1"/>
            </w14:solidFill>
          </w14:textFill>
        </w:rPr>
        <w:t>16.3供应商应将响应文件按照本须知正文第16.1条及16.2的规定进行密封和标记后，按第一章/比选公告注明的递交响应文件地址送至采购人指定地点。</w:t>
      </w:r>
      <w:bookmarkEnd w:id="15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3" w:name="_Toc13552"/>
      <w:r>
        <w:rPr>
          <w:rFonts w:hint="eastAsia" w:asciiTheme="minorEastAsia" w:hAnsiTheme="minorEastAsia" w:eastAsiaTheme="minorEastAsia" w:cstheme="minorEastAsia"/>
          <w:bCs/>
          <w:color w:val="000000" w:themeColor="text1"/>
          <w:szCs w:val="21"/>
          <w14:textFill>
            <w14:solidFill>
              <w14:schemeClr w14:val="tx1"/>
            </w14:solidFill>
          </w14:textFill>
        </w:rPr>
        <w:t>16.4如果未按上述规定进行密封和标记，采购人将不承担由此造成的对响应文件的误投或提前拆封的责任。</w:t>
      </w:r>
      <w:bookmarkEnd w:id="15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4" w:name="_Toc28795"/>
      <w:r>
        <w:rPr>
          <w:rFonts w:hint="eastAsia" w:asciiTheme="minorEastAsia" w:hAnsiTheme="minorEastAsia" w:eastAsiaTheme="minorEastAsia" w:cstheme="minorEastAsia"/>
          <w:bCs/>
          <w:color w:val="000000" w:themeColor="text1"/>
          <w:szCs w:val="21"/>
          <w14:textFill>
            <w14:solidFill>
              <w14:schemeClr w14:val="tx1"/>
            </w14:solidFill>
          </w14:textFill>
        </w:rPr>
        <w:t>16.5响应文件应在第一章/比选公告中所规定的响应文件递交截止时间前送达，迟到的响应文件为无效响应文件, 将被拒收；未按照采购文件要求密封的响应文件将被拒收。</w:t>
      </w:r>
      <w:bookmarkEnd w:id="15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5" w:name="_Toc29640"/>
      <w:r>
        <w:rPr>
          <w:rFonts w:asciiTheme="minorEastAsia" w:hAnsiTheme="minorEastAsia" w:eastAsiaTheme="minorEastAsia" w:cstheme="minorEastAsia"/>
          <w:bCs/>
          <w:color w:val="000000" w:themeColor="text1"/>
          <w:szCs w:val="21"/>
          <w14:textFill>
            <w14:solidFill>
              <w14:schemeClr w14:val="tx1"/>
            </w14:solidFill>
          </w14:textFill>
        </w:rPr>
        <w:t xml:space="preserve">16.6 </w:t>
      </w:r>
      <w:r>
        <w:rPr>
          <w:rFonts w:hint="eastAsia" w:asciiTheme="minorEastAsia" w:hAnsiTheme="minorEastAsia" w:eastAsiaTheme="minorEastAsia" w:cstheme="minorEastAsia"/>
          <w:bCs/>
          <w:color w:val="000000" w:themeColor="text1"/>
          <w:szCs w:val="21"/>
          <w14:textFill>
            <w14:solidFill>
              <w14:schemeClr w14:val="tx1"/>
            </w14:solidFill>
          </w14:textFill>
        </w:rPr>
        <w:t>接受邮寄的响应文件，但必须密封完整。</w:t>
      </w:r>
      <w:bookmarkEnd w:id="155"/>
      <w:bookmarkStart w:id="156" w:name="_Toc183582228"/>
      <w:bookmarkStart w:id="157" w:name="_Toc183682365"/>
      <w:bookmarkStart w:id="158" w:name="_Toc21744605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59" w:name="_Toc8711"/>
      <w:r>
        <w:rPr>
          <w:rFonts w:hint="eastAsia" w:asciiTheme="minorEastAsia" w:hAnsiTheme="minorEastAsia" w:eastAsiaTheme="minorEastAsia" w:cstheme="minorEastAsia"/>
          <w:bCs/>
          <w:color w:val="000000" w:themeColor="text1"/>
          <w:szCs w:val="21"/>
          <w14:textFill>
            <w14:solidFill>
              <w14:schemeClr w14:val="tx1"/>
            </w14:solidFill>
          </w14:textFill>
        </w:rPr>
        <w:t>17.响应文件的修改和撤</w:t>
      </w:r>
      <w:bookmarkEnd w:id="156"/>
      <w:bookmarkEnd w:id="157"/>
      <w:r>
        <w:rPr>
          <w:rFonts w:hint="eastAsia" w:asciiTheme="minorEastAsia" w:hAnsiTheme="minorEastAsia" w:eastAsiaTheme="minorEastAsia" w:cstheme="minorEastAsia"/>
          <w:bCs/>
          <w:color w:val="000000" w:themeColor="text1"/>
          <w:szCs w:val="21"/>
          <w14:textFill>
            <w14:solidFill>
              <w14:schemeClr w14:val="tx1"/>
            </w14:solidFill>
          </w14:textFill>
        </w:rPr>
        <w:t>回</w:t>
      </w:r>
      <w:bookmarkEnd w:id="158"/>
      <w:bookmarkEnd w:id="159"/>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160" w:name="_Toc246826112"/>
      <w:r>
        <w:rPr>
          <w:rFonts w:hint="eastAsia" w:asciiTheme="minorEastAsia" w:hAnsiTheme="minorEastAsia" w:eastAsiaTheme="minorEastAsia" w:cstheme="minorEastAsia"/>
          <w:bCs/>
          <w:color w:val="000000" w:themeColor="text1"/>
          <w:szCs w:val="21"/>
          <w14:textFill>
            <w14:solidFill>
              <w14:schemeClr w14:val="tx1"/>
            </w14:solidFill>
          </w14:textFill>
        </w:rPr>
        <w:t>17.l 供应商在提交响应文件后可对其进行修改或撤回，但必须使采购人在响应文件递交截止时间前收到该修改的书面内容或撤回的书面通知。</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17.2 响应文件的修改文件应按第15条规定签署，并按第 16.1条规定盖章及标记，还须注明“修改响应文件”和“开标前不得启封”字样。修改文件须在响应文件递交截止时间前送达规定的响应文件递交地点。上述补充或修改若涉及响应报价，必须注明“最终唯一报价”字样，否则将视为有选择的报价。</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17.3 供应商不得在响应文件递交截止时间以后修改或/和撤回响应文件。</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五、开标与</w:t>
      </w:r>
      <w:bookmarkEnd w:id="160"/>
      <w:r>
        <w:rPr>
          <w:rFonts w:hint="eastAsia" w:asciiTheme="minorEastAsia" w:hAnsiTheme="minorEastAsia" w:eastAsiaTheme="minorEastAsia" w:cstheme="minorEastAsia"/>
          <w:bCs/>
          <w:color w:val="000000" w:themeColor="text1"/>
          <w:szCs w:val="21"/>
          <w14:textFill>
            <w14:solidFill>
              <w14:schemeClr w14:val="tx1"/>
            </w14:solidFill>
          </w14:textFill>
        </w:rPr>
        <w:t>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1" w:name="_Toc8454"/>
      <w:r>
        <w:rPr>
          <w:rFonts w:hint="eastAsia" w:asciiTheme="minorEastAsia" w:hAnsiTheme="minorEastAsia" w:eastAsiaTheme="minorEastAsia" w:cstheme="minorEastAsia"/>
          <w:bCs/>
          <w:color w:val="000000" w:themeColor="text1"/>
          <w:szCs w:val="21"/>
          <w14:textFill>
            <w14:solidFill>
              <w14:schemeClr w14:val="tx1"/>
            </w14:solidFill>
          </w14:textFill>
        </w:rPr>
        <w:t>18．开标</w:t>
      </w:r>
      <w:bookmarkEnd w:id="16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2" w:name="_Toc12356"/>
      <w:r>
        <w:rPr>
          <w:rFonts w:hint="eastAsia" w:asciiTheme="minorEastAsia" w:hAnsiTheme="minorEastAsia" w:eastAsiaTheme="minorEastAsia" w:cstheme="minorEastAsia"/>
          <w:bCs/>
          <w:color w:val="000000" w:themeColor="text1"/>
          <w:szCs w:val="21"/>
          <w14:textFill>
            <w14:solidFill>
              <w14:schemeClr w14:val="tx1"/>
            </w14:solidFill>
          </w14:textFill>
        </w:rPr>
        <w:t>18.1 在第一章/比选公告所规定的开标时间和地点开标。</w:t>
      </w:r>
      <w:bookmarkEnd w:id="16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3" w:name="_Toc8579"/>
      <w:r>
        <w:rPr>
          <w:rFonts w:hint="eastAsia" w:asciiTheme="minorEastAsia" w:hAnsiTheme="minorEastAsia" w:eastAsiaTheme="minorEastAsia" w:cstheme="minorEastAsia"/>
          <w:bCs/>
          <w:color w:val="000000" w:themeColor="text1"/>
          <w:szCs w:val="21"/>
          <w14:textFill>
            <w14:solidFill>
              <w14:schemeClr w14:val="tx1"/>
            </w14:solidFill>
          </w14:textFill>
        </w:rPr>
        <w:t>18.2开标时，供应商法定代表人或法人授权的供应商授权代表须携带个人身份证（或其他有效证件）复印件和授权委托书原件亲自出席开标会并确认开标情况。如果不参加开标会议的，则视为认可开标情况。</w:t>
      </w:r>
      <w:bookmarkEnd w:id="16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4" w:name="_Toc26062"/>
      <w:r>
        <w:rPr>
          <w:rFonts w:hint="eastAsia" w:asciiTheme="minorEastAsia" w:hAnsiTheme="minorEastAsia" w:eastAsiaTheme="minorEastAsia" w:cstheme="minorEastAsia"/>
          <w:bCs/>
          <w:color w:val="000000" w:themeColor="text1"/>
          <w:szCs w:val="21"/>
          <w14:textFill>
            <w14:solidFill>
              <w14:schemeClr w14:val="tx1"/>
            </w14:solidFill>
          </w14:textFill>
        </w:rPr>
        <w:t>18.3 开标时，由供应商代表或采购人内部监督部门，检查响应文件的密封情况，。供应商认为响应文件存在密封有瑕疵情形的，现场应如实记录，由评审委员会对响应文件实质性有效与否作出判断，由此产生的风险由供应商自行承担。</w:t>
      </w:r>
      <w:bookmarkEnd w:id="16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5" w:name="_Toc12808"/>
      <w:r>
        <w:rPr>
          <w:rFonts w:hint="eastAsia" w:asciiTheme="minorEastAsia" w:hAnsiTheme="minorEastAsia" w:eastAsiaTheme="minorEastAsia" w:cstheme="minorEastAsia"/>
          <w:bCs/>
          <w:color w:val="000000" w:themeColor="text1"/>
          <w:szCs w:val="21"/>
          <w14:textFill>
            <w14:solidFill>
              <w14:schemeClr w14:val="tx1"/>
            </w14:solidFill>
          </w14:textFill>
        </w:rPr>
        <w:t>18.4开标程序详见“供应商须知前附表”。</w:t>
      </w:r>
      <w:bookmarkEnd w:id="16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6" w:name="_Toc7798"/>
      <w:r>
        <w:rPr>
          <w:rFonts w:hint="eastAsia" w:asciiTheme="minorEastAsia" w:hAnsiTheme="minorEastAsia" w:eastAsiaTheme="minorEastAsia" w:cstheme="minorEastAsia"/>
          <w:bCs/>
          <w:color w:val="000000" w:themeColor="text1"/>
          <w:szCs w:val="21"/>
          <w14:textFill>
            <w14:solidFill>
              <w14:schemeClr w14:val="tx1"/>
            </w14:solidFill>
          </w14:textFill>
        </w:rPr>
        <w:t>18.5唱标要求详见“供应商须知前附表”。</w:t>
      </w:r>
      <w:bookmarkEnd w:id="166"/>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7" w:name="_Toc20620"/>
      <w:r>
        <w:rPr>
          <w:rFonts w:hint="eastAsia" w:asciiTheme="minorEastAsia" w:hAnsiTheme="minorEastAsia" w:eastAsiaTheme="minorEastAsia" w:cstheme="minorEastAsia"/>
          <w:bCs/>
          <w:color w:val="000000" w:themeColor="text1"/>
          <w:szCs w:val="21"/>
          <w14:textFill>
            <w14:solidFill>
              <w14:schemeClr w14:val="tx1"/>
            </w14:solidFill>
          </w14:textFill>
        </w:rPr>
        <w:t>19、评审</w:t>
      </w:r>
      <w:bookmarkEnd w:id="167"/>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68" w:name="_Toc21530"/>
      <w:r>
        <w:rPr>
          <w:rFonts w:hint="eastAsia" w:asciiTheme="minorEastAsia" w:hAnsiTheme="minorEastAsia" w:eastAsiaTheme="minorEastAsia" w:cstheme="minorEastAsia"/>
          <w:bCs/>
          <w:color w:val="000000" w:themeColor="text1"/>
          <w:szCs w:val="21"/>
          <w14:textFill>
            <w14:solidFill>
              <w14:schemeClr w14:val="tx1"/>
            </w14:solidFill>
          </w14:textFill>
        </w:rPr>
        <w:t>19.1评审委员会</w:t>
      </w:r>
      <w:bookmarkEnd w:id="168"/>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19.1.1评审委员会由采购人自行组建，成员人数应当为3人以上单数。</w:t>
      </w:r>
    </w:p>
    <w:p>
      <w:pPr>
        <w:snapToGrid w:val="0"/>
        <w:spacing w:line="360" w:lineRule="auto"/>
        <w:ind w:firstLine="420" w:firstLineChars="200"/>
        <w:outlineLvl w:val="1"/>
        <w:rPr>
          <w:rFonts w:ascii="宋体" w:hAnsi="宋体" w:cs="宋体"/>
          <w:bCs/>
          <w:color w:val="000000" w:themeColor="text1"/>
          <w:szCs w:val="21"/>
          <w14:textFill>
            <w14:solidFill>
              <w14:schemeClr w14:val="tx1"/>
            </w14:solidFill>
          </w14:textFill>
        </w:rPr>
      </w:pPr>
      <w:bookmarkStart w:id="169" w:name="_Toc15402"/>
      <w:r>
        <w:rPr>
          <w:rFonts w:hint="eastAsia" w:ascii="宋体" w:hAnsi="宋体" w:cs="宋体"/>
          <w:bCs/>
          <w:color w:val="000000" w:themeColor="text1"/>
          <w:szCs w:val="21"/>
          <w14:textFill>
            <w14:solidFill>
              <w14:schemeClr w14:val="tx1"/>
            </w14:solidFill>
          </w14:textFill>
        </w:rPr>
        <w:t>19.1.2评审委员会成员与供应商有下列利害关系之一的，应当回避：</w:t>
      </w:r>
      <w:bookmarkEnd w:id="169"/>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170" w:name="_Toc30064"/>
      <w:bookmarkStart w:id="171" w:name="_Toc26521"/>
      <w:bookmarkStart w:id="172" w:name="_Toc11071"/>
      <w:r>
        <w:rPr>
          <w:rFonts w:hint="eastAsia" w:ascii="宋体" w:hAnsi="宋体" w:cs="宋体"/>
          <w:bCs/>
          <w:color w:val="000000" w:themeColor="text1"/>
          <w:szCs w:val="21"/>
          <w14:textFill>
            <w14:solidFill>
              <w14:schemeClr w14:val="tx1"/>
            </w14:solidFill>
          </w14:textFill>
        </w:rPr>
        <w:t>（1）参加采购活动前3年内与供应商存在劳动关系；</w:t>
      </w:r>
      <w:bookmarkEnd w:id="170"/>
      <w:bookmarkEnd w:id="171"/>
      <w:bookmarkEnd w:id="172"/>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173" w:name="_Toc29873"/>
      <w:bookmarkStart w:id="174" w:name="_Toc4164"/>
      <w:bookmarkStart w:id="175" w:name="_Toc10722"/>
      <w:r>
        <w:rPr>
          <w:rFonts w:hint="eastAsia" w:ascii="宋体" w:hAnsi="宋体" w:cs="宋体"/>
          <w:bCs/>
          <w:color w:val="000000" w:themeColor="text1"/>
          <w:szCs w:val="21"/>
          <w14:textFill>
            <w14:solidFill>
              <w14:schemeClr w14:val="tx1"/>
            </w14:solidFill>
          </w14:textFill>
        </w:rPr>
        <w:t>（2）参加采购活动前3年内担任供应商的董事、监事；</w:t>
      </w:r>
      <w:bookmarkEnd w:id="173"/>
      <w:bookmarkEnd w:id="174"/>
      <w:bookmarkEnd w:id="175"/>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176" w:name="_Toc30018"/>
      <w:bookmarkStart w:id="177" w:name="_Toc26147"/>
      <w:bookmarkStart w:id="178" w:name="_Toc17733"/>
      <w:r>
        <w:rPr>
          <w:rFonts w:hint="eastAsia" w:ascii="宋体" w:hAnsi="宋体" w:cs="宋体"/>
          <w:bCs/>
          <w:color w:val="000000" w:themeColor="text1"/>
          <w:szCs w:val="21"/>
          <w14:textFill>
            <w14:solidFill>
              <w14:schemeClr w14:val="tx1"/>
            </w14:solidFill>
          </w14:textFill>
        </w:rPr>
        <w:t>（3）参加采购活动前3年内是供应商的控股股东或者实际控制人；</w:t>
      </w:r>
      <w:bookmarkEnd w:id="176"/>
      <w:bookmarkEnd w:id="177"/>
      <w:bookmarkEnd w:id="178"/>
    </w:p>
    <w:p>
      <w:pPr>
        <w:snapToGrid w:val="0"/>
        <w:spacing w:line="360" w:lineRule="auto"/>
        <w:ind w:firstLine="420" w:firstLineChars="200"/>
        <w:outlineLvl w:val="1"/>
        <w:rPr>
          <w:rFonts w:ascii="宋体" w:hAnsi="宋体" w:cs="宋体"/>
          <w:bCs/>
          <w:color w:val="000000" w:themeColor="text1"/>
          <w:szCs w:val="21"/>
          <w14:textFill>
            <w14:solidFill>
              <w14:schemeClr w14:val="tx1"/>
            </w14:solidFill>
          </w14:textFill>
        </w:rPr>
      </w:pPr>
      <w:bookmarkStart w:id="179" w:name="_Toc31853"/>
      <w:r>
        <w:rPr>
          <w:rFonts w:hint="eastAsia" w:ascii="宋体" w:hAnsi="宋体" w:cs="宋体"/>
          <w:bCs/>
          <w:color w:val="000000" w:themeColor="text1"/>
          <w:szCs w:val="21"/>
          <w14:textFill>
            <w14:solidFill>
              <w14:schemeClr w14:val="tx1"/>
            </w14:solidFill>
          </w14:textFill>
        </w:rPr>
        <w:t>（4）与供应商的法定代表人或者负责人有夫妻、直系血亲、三代以内旁系血亲或者近姻亲关系；</w:t>
      </w:r>
      <w:bookmarkEnd w:id="179"/>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180" w:name="_Toc23958"/>
      <w:bookmarkStart w:id="181" w:name="_Toc3438"/>
      <w:bookmarkStart w:id="182" w:name="_Toc25273"/>
      <w:r>
        <w:rPr>
          <w:rFonts w:hint="eastAsia" w:ascii="宋体" w:hAnsi="宋体" w:cs="宋体"/>
          <w:bCs/>
          <w:color w:val="000000" w:themeColor="text1"/>
          <w:szCs w:val="21"/>
          <w14:textFill>
            <w14:solidFill>
              <w14:schemeClr w14:val="tx1"/>
            </w14:solidFill>
          </w14:textFill>
        </w:rPr>
        <w:t>（5）与供应商有其他可能影响政府采购活动公平、公正进行的关系。</w:t>
      </w:r>
      <w:bookmarkEnd w:id="180"/>
      <w:bookmarkEnd w:id="181"/>
      <w:bookmarkEnd w:id="182"/>
    </w:p>
    <w:p>
      <w:pPr>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3" w:name="_Toc32685"/>
      <w:r>
        <w:rPr>
          <w:rFonts w:hint="eastAsia" w:ascii="宋体" w:hAnsi="宋体" w:cs="宋体"/>
          <w:bCs/>
          <w:color w:val="000000" w:themeColor="text1"/>
          <w:szCs w:val="21"/>
          <w14:textFill>
            <w14:solidFill>
              <w14:schemeClr w14:val="tx1"/>
            </w14:solidFill>
          </w14:textFill>
        </w:rPr>
        <w:t>供应商认为评审委员会成员与其他供应商有利害关系的，可以向采购人书面提出回避申请，并说明理由。采购人应当及时询问被申请回避人员，有利害关系的被申请回避人员应当回避。评审专家发现本人与参加采购活动的供应商有利害关系的，应当主动提出回避。</w:t>
      </w:r>
      <w:bookmarkEnd w:id="183"/>
    </w:p>
    <w:p>
      <w:pPr>
        <w:pStyle w:val="7"/>
        <w:adjustRightInd w:val="0"/>
        <w:snapToGrid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19.1.3</w:t>
      </w:r>
      <w:r>
        <w:rPr>
          <w:rFonts w:hint="eastAsia" w:ascii="宋体" w:hAnsi="宋体" w:cs="宋体"/>
          <w:bCs/>
          <w:color w:val="000000" w:themeColor="text1"/>
          <w:szCs w:val="21"/>
          <w14:textFill>
            <w14:solidFill>
              <w14:schemeClr w14:val="tx1"/>
            </w14:solidFill>
          </w14:textFill>
        </w:rPr>
        <w:t>评审委员会将严格遵守评审工作纪律，按照客观、公正、审慎的原则，根据采购文件规定的评审程序、评审方法和评审标准进行独立评审。</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4" w:name="_Toc7965"/>
      <w:r>
        <w:rPr>
          <w:rFonts w:hint="eastAsia" w:asciiTheme="minorEastAsia" w:hAnsiTheme="minorEastAsia" w:eastAsiaTheme="minorEastAsia" w:cstheme="minorEastAsia"/>
          <w:bCs/>
          <w:color w:val="000000" w:themeColor="text1"/>
          <w:szCs w:val="21"/>
          <w14:textFill>
            <w14:solidFill>
              <w14:schemeClr w14:val="tx1"/>
            </w14:solidFill>
          </w14:textFill>
        </w:rPr>
        <w:t>19.2 响应文件的评审</w:t>
      </w:r>
      <w:bookmarkEnd w:id="18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5" w:name="_Toc27763"/>
      <w:r>
        <w:rPr>
          <w:rFonts w:hint="eastAsia" w:asciiTheme="minorEastAsia" w:hAnsiTheme="minorEastAsia" w:eastAsiaTheme="minorEastAsia" w:cstheme="minorEastAsia"/>
          <w:bCs/>
          <w:color w:val="000000" w:themeColor="text1"/>
          <w:szCs w:val="21"/>
          <w14:textFill>
            <w14:solidFill>
              <w14:schemeClr w14:val="tx1"/>
            </w14:solidFill>
          </w14:textFill>
        </w:rPr>
        <w:t>19.2.1 要求</w:t>
      </w:r>
      <w:bookmarkEnd w:id="18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6" w:name="_Toc5869"/>
      <w:r>
        <w:rPr>
          <w:rFonts w:hint="eastAsia" w:asciiTheme="minorEastAsia" w:hAnsiTheme="minorEastAsia" w:eastAsiaTheme="minorEastAsia" w:cstheme="minorEastAsia"/>
          <w:bCs/>
          <w:color w:val="000000" w:themeColor="text1"/>
          <w:szCs w:val="21"/>
          <w14:textFill>
            <w14:solidFill>
              <w14:schemeClr w14:val="tx1"/>
            </w14:solidFill>
          </w14:textFill>
        </w:rPr>
        <w:t>评审委员会对所有供应商的评审，都采用相同的程序和标准并严格按照采购文件的要求和条件进行。评审委员会决定响应文件是否实质性响应只根据响应文件本身的内容，以及述标和/或演示内容（如果有），而不寻求其他的外部证据。</w:t>
      </w:r>
      <w:bookmarkEnd w:id="186"/>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7" w:name="_Toc24508"/>
      <w:r>
        <w:rPr>
          <w:rFonts w:hint="eastAsia" w:asciiTheme="minorEastAsia" w:hAnsiTheme="minorEastAsia" w:eastAsiaTheme="minorEastAsia" w:cstheme="minorEastAsia"/>
          <w:bCs/>
          <w:color w:val="000000" w:themeColor="text1"/>
          <w:szCs w:val="21"/>
          <w14:textFill>
            <w14:solidFill>
              <w14:schemeClr w14:val="tx1"/>
            </w14:solidFill>
          </w14:textFill>
        </w:rPr>
        <w:t>19.2.2 符合性审查：依据采购文件的规定，评审委员会将从响应文件的有效性、完整性和对采购文件的响应程度进行审查，以确定是否符合对采购文件的实质性要求作出响应。</w:t>
      </w:r>
      <w:bookmarkEnd w:id="187"/>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8" w:name="_Toc28044"/>
      <w:r>
        <w:rPr>
          <w:rFonts w:hint="eastAsia" w:asciiTheme="minorEastAsia" w:hAnsiTheme="minorEastAsia" w:eastAsiaTheme="minorEastAsia" w:cstheme="minorEastAsia"/>
          <w:bCs/>
          <w:color w:val="000000" w:themeColor="text1"/>
          <w:szCs w:val="21"/>
          <w14:textFill>
            <w14:solidFill>
              <w14:schemeClr w14:val="tx1"/>
            </w14:solidFill>
          </w14:textFill>
        </w:rPr>
        <w:t>19.2.3 响应文件的澄清</w:t>
      </w:r>
      <w:bookmarkEnd w:id="188"/>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89" w:name="_Toc2194"/>
      <w:r>
        <w:rPr>
          <w:rFonts w:hint="eastAsia" w:asciiTheme="minorEastAsia" w:hAnsiTheme="minorEastAsia" w:eastAsiaTheme="minorEastAsia" w:cstheme="minorEastAsia"/>
          <w:bCs/>
          <w:color w:val="000000" w:themeColor="text1"/>
          <w:szCs w:val="21"/>
          <w14:textFill>
            <w14:solidFill>
              <w14:schemeClr w14:val="tx1"/>
            </w14:solidFill>
          </w14:textFill>
        </w:rPr>
        <w:t>19.2.3．1对响应文件中含义不明确、同类问题表述不一致或者有明显文字和计算错误的内容，评审委员会应当以书面形式要求供应商作出必要的澄清、说明或者补正。供应商的澄清、说明或者补正应当在评审委员会规定的时间内以书面形式作出，并加盖公章，或者由法定代表人或者其授权代表签字。供应商的澄清、说明或者补正不得超出响应文件的范围或者改变响应文件的实质性内容。</w:t>
      </w:r>
      <w:bookmarkEnd w:id="189"/>
    </w:p>
    <w:p>
      <w:pPr>
        <w:adjustRightInd w:val="0"/>
        <w:snapToGrid w:val="0"/>
        <w:spacing w:line="360" w:lineRule="auto"/>
        <w:ind w:firstLine="420" w:firstLineChars="200"/>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190" w:name="_Toc12939"/>
      <w:bookmarkStart w:id="191" w:name="_Toc22705"/>
      <w:bookmarkStart w:id="192" w:name="_Toc1939"/>
      <w:r>
        <w:rPr>
          <w:rFonts w:hint="eastAsia" w:asciiTheme="minorEastAsia" w:hAnsiTheme="minorEastAsia" w:eastAsiaTheme="minorEastAsia" w:cstheme="minorEastAsia"/>
          <w:bCs/>
          <w:color w:val="000000" w:themeColor="text1"/>
          <w:szCs w:val="21"/>
          <w14:textFill>
            <w14:solidFill>
              <w14:schemeClr w14:val="tx1"/>
            </w14:solidFill>
          </w14:textFill>
        </w:rPr>
        <w:t>19.2.3.2算术错误将按以下方法更正：</w:t>
      </w:r>
      <w:bookmarkEnd w:id="190"/>
      <w:bookmarkEnd w:id="191"/>
      <w:bookmarkEnd w:id="19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193" w:name="_Toc10801"/>
      <w:r>
        <w:rPr>
          <w:rFonts w:hint="eastAsia" w:asciiTheme="minorEastAsia" w:hAnsiTheme="minorEastAsia" w:eastAsiaTheme="minorEastAsia" w:cstheme="minorEastAsia"/>
          <w:bCs/>
          <w:color w:val="000000" w:themeColor="text1"/>
          <w:szCs w:val="21"/>
          <w14:textFill>
            <w14:solidFill>
              <w14:schemeClr w14:val="tx1"/>
            </w14:solidFill>
          </w14:textFill>
        </w:rPr>
        <w:t>（1）响应文件中开标一览表（报价表）内容与响应文件中相应内容不一致的，以开标一览表（报价表）为准；</w:t>
      </w:r>
      <w:bookmarkEnd w:id="193"/>
    </w:p>
    <w:p>
      <w:pPr>
        <w:adjustRightInd w:val="0"/>
        <w:snapToGrid w:val="0"/>
        <w:spacing w:line="360" w:lineRule="auto"/>
        <w:ind w:firstLine="420" w:firstLineChars="200"/>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194" w:name="_Toc15760"/>
      <w:bookmarkStart w:id="195" w:name="_Toc28281"/>
      <w:bookmarkStart w:id="196" w:name="_Toc16546"/>
      <w:r>
        <w:rPr>
          <w:rFonts w:hint="eastAsia" w:asciiTheme="minorEastAsia" w:hAnsiTheme="minorEastAsia" w:eastAsiaTheme="minorEastAsia" w:cstheme="minorEastAsia"/>
          <w:bCs/>
          <w:color w:val="000000" w:themeColor="text1"/>
          <w:szCs w:val="21"/>
          <w14:textFill>
            <w14:solidFill>
              <w14:schemeClr w14:val="tx1"/>
            </w14:solidFill>
          </w14:textFill>
        </w:rPr>
        <w:t>（2）大写金额和小写金额不一致的，以大写金额为准；</w:t>
      </w:r>
      <w:bookmarkEnd w:id="194"/>
      <w:bookmarkEnd w:id="195"/>
      <w:bookmarkEnd w:id="196"/>
    </w:p>
    <w:p>
      <w:pPr>
        <w:adjustRightInd w:val="0"/>
        <w:snapToGrid w:val="0"/>
        <w:spacing w:line="360" w:lineRule="auto"/>
        <w:ind w:firstLine="420" w:firstLineChars="200"/>
        <w:outlineLvl w:val="0"/>
        <w:rPr>
          <w:rFonts w:asciiTheme="minorEastAsia" w:hAnsiTheme="minorEastAsia" w:eastAsiaTheme="minorEastAsia" w:cstheme="minorEastAsia"/>
          <w:bCs/>
          <w:color w:val="000000" w:themeColor="text1"/>
          <w:szCs w:val="21"/>
          <w14:textFill>
            <w14:solidFill>
              <w14:schemeClr w14:val="tx1"/>
            </w14:solidFill>
          </w14:textFill>
        </w:rPr>
      </w:pPr>
      <w:bookmarkStart w:id="197" w:name="_Toc15399"/>
      <w:bookmarkStart w:id="198" w:name="_Toc4336"/>
      <w:bookmarkStart w:id="199" w:name="_Toc23665"/>
      <w:r>
        <w:rPr>
          <w:rFonts w:hint="eastAsia" w:asciiTheme="minorEastAsia" w:hAnsiTheme="minorEastAsia" w:eastAsiaTheme="minorEastAsia" w:cstheme="minorEastAsia"/>
          <w:bCs/>
          <w:color w:val="000000" w:themeColor="text1"/>
          <w:szCs w:val="21"/>
          <w14:textFill>
            <w14:solidFill>
              <w14:schemeClr w14:val="tx1"/>
            </w14:solidFill>
          </w14:textFill>
        </w:rPr>
        <w:t>（3）单价金额小数点或者百分比有明显错位的，以开标一览表的总价为准，并修改单价；</w:t>
      </w:r>
      <w:bookmarkEnd w:id="197"/>
      <w:bookmarkEnd w:id="198"/>
      <w:bookmarkEnd w:id="19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0" w:name="_Toc28415"/>
      <w:r>
        <w:rPr>
          <w:rFonts w:hint="eastAsia" w:asciiTheme="minorEastAsia" w:hAnsiTheme="minorEastAsia" w:eastAsiaTheme="minorEastAsia" w:cstheme="minorEastAsia"/>
          <w:bCs/>
          <w:color w:val="000000" w:themeColor="text1"/>
          <w:szCs w:val="21"/>
          <w14:textFill>
            <w14:solidFill>
              <w14:schemeClr w14:val="tx1"/>
            </w14:solidFill>
          </w14:textFill>
        </w:rPr>
        <w:t>（4）总价金额与按单价汇总金额不一致的，以单价金额计算结果为准；同时出现两种以上不一致的，按照前款规定的顺序修正。修正后的报价经供应商确认后产生约束力，供应商不确认的，其响应无效。</w:t>
      </w:r>
      <w:bookmarkEnd w:id="20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1" w:name="_Toc123"/>
      <w:r>
        <w:rPr>
          <w:rFonts w:hint="eastAsia" w:asciiTheme="minorEastAsia" w:hAnsiTheme="minorEastAsia" w:eastAsiaTheme="minorEastAsia" w:cstheme="minorEastAsia"/>
          <w:bCs/>
          <w:color w:val="000000" w:themeColor="text1"/>
          <w:szCs w:val="21"/>
          <w14:textFill>
            <w14:solidFill>
              <w14:schemeClr w14:val="tx1"/>
            </w14:solidFill>
          </w14:textFill>
        </w:rPr>
        <w:t>19.2.4 比较与评价</w:t>
      </w:r>
      <w:bookmarkEnd w:id="20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2" w:name="_Toc5353"/>
      <w:r>
        <w:rPr>
          <w:rFonts w:hint="eastAsia" w:asciiTheme="minorEastAsia" w:hAnsiTheme="minorEastAsia" w:eastAsiaTheme="minorEastAsia" w:cstheme="minorEastAsia"/>
          <w:bCs/>
          <w:color w:val="000000" w:themeColor="text1"/>
          <w:szCs w:val="21"/>
          <w14:textFill>
            <w14:solidFill>
              <w14:schemeClr w14:val="tx1"/>
            </w14:solidFill>
          </w14:textFill>
        </w:rPr>
        <w:t>19.2.4.1 评审委员会将按第四章所规定的评审方法与标准，对资格性审查和符合性检查合格的响应文件进行评审。</w:t>
      </w:r>
      <w:bookmarkEnd w:id="20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3" w:name="_Toc26669"/>
      <w:r>
        <w:rPr>
          <w:rFonts w:hint="eastAsia" w:asciiTheme="minorEastAsia" w:hAnsiTheme="minorEastAsia" w:eastAsiaTheme="minorEastAsia" w:cstheme="minorEastAsia"/>
          <w:bCs/>
          <w:color w:val="000000" w:themeColor="text1"/>
          <w:szCs w:val="21"/>
          <w14:textFill>
            <w14:solidFill>
              <w14:schemeClr w14:val="tx1"/>
            </w14:solidFill>
          </w14:textFill>
        </w:rPr>
        <w:t>19.2.4.2 评审委员会认为供应商的报价明显低于其他通过符合性审查供应商的报价，有可能影响产品质量或者不能诚信履约的，应当要求其在评审现场合理的时间内提供书面说明，必要时提交相关证明材料；供应商不能证明其报价合理性的，经评审委员会投票认定，超过半数将以无效响应处理。</w:t>
      </w:r>
      <w:bookmarkEnd w:id="20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4" w:name="_Toc15146"/>
      <w:r>
        <w:rPr>
          <w:rFonts w:hint="eastAsia" w:asciiTheme="minorEastAsia" w:hAnsiTheme="minorEastAsia" w:eastAsiaTheme="minorEastAsia" w:cstheme="minorEastAsia"/>
          <w:bCs/>
          <w:color w:val="000000" w:themeColor="text1"/>
          <w:szCs w:val="21"/>
          <w14:textFill>
            <w14:solidFill>
              <w14:schemeClr w14:val="tx1"/>
            </w14:solidFill>
          </w14:textFill>
        </w:rPr>
        <w:t>19.2.5有下列情形之一的，视为供应商串通响应，其响应无效：</w:t>
      </w:r>
      <w:bookmarkEnd w:id="20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5" w:name="_Toc8325"/>
      <w:r>
        <w:rPr>
          <w:rFonts w:hint="eastAsia" w:asciiTheme="minorEastAsia" w:hAnsiTheme="minorEastAsia" w:eastAsiaTheme="minorEastAsia" w:cstheme="minorEastAsia"/>
          <w:bCs/>
          <w:color w:val="000000" w:themeColor="text1"/>
          <w:szCs w:val="21"/>
          <w14:textFill>
            <w14:solidFill>
              <w14:schemeClr w14:val="tx1"/>
            </w14:solidFill>
          </w14:textFill>
        </w:rPr>
        <w:t>（一）不同供应商的响应文件由同一单位或者个人编制；</w:t>
      </w:r>
      <w:bookmarkEnd w:id="20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6" w:name="_Toc18282"/>
      <w:r>
        <w:rPr>
          <w:rFonts w:hint="eastAsia" w:asciiTheme="minorEastAsia" w:hAnsiTheme="minorEastAsia" w:eastAsiaTheme="minorEastAsia" w:cstheme="minorEastAsia"/>
          <w:bCs/>
          <w:color w:val="000000" w:themeColor="text1"/>
          <w:szCs w:val="21"/>
          <w14:textFill>
            <w14:solidFill>
              <w14:schemeClr w14:val="tx1"/>
            </w14:solidFill>
          </w14:textFill>
        </w:rPr>
        <w:t>（二）不同供应商委托同一单位或者个人办理项目响应相关事宜；</w:t>
      </w:r>
      <w:bookmarkEnd w:id="206"/>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7" w:name="_Toc14350"/>
      <w:r>
        <w:rPr>
          <w:rFonts w:hint="eastAsia" w:asciiTheme="minorEastAsia" w:hAnsiTheme="minorEastAsia" w:eastAsiaTheme="minorEastAsia" w:cstheme="minorEastAsia"/>
          <w:bCs/>
          <w:color w:val="000000" w:themeColor="text1"/>
          <w:szCs w:val="21"/>
          <w14:textFill>
            <w14:solidFill>
              <w14:schemeClr w14:val="tx1"/>
            </w14:solidFill>
          </w14:textFill>
        </w:rPr>
        <w:t>（三）不同供应商的响应文件载明的项目管理成员或者联系人员为同一人；</w:t>
      </w:r>
      <w:bookmarkEnd w:id="207"/>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8" w:name="_Toc14237"/>
      <w:r>
        <w:rPr>
          <w:rFonts w:hint="eastAsia" w:asciiTheme="minorEastAsia" w:hAnsiTheme="minorEastAsia" w:eastAsiaTheme="minorEastAsia" w:cstheme="minorEastAsia"/>
          <w:bCs/>
          <w:color w:val="000000" w:themeColor="text1"/>
          <w:szCs w:val="21"/>
          <w14:textFill>
            <w14:solidFill>
              <w14:schemeClr w14:val="tx1"/>
            </w14:solidFill>
          </w14:textFill>
        </w:rPr>
        <w:t>（四）不同供应商的响应文件异常一致或者响应报价呈规律性差异；</w:t>
      </w:r>
      <w:bookmarkEnd w:id="208"/>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09" w:name="_Toc45"/>
      <w:r>
        <w:rPr>
          <w:rFonts w:hint="eastAsia" w:asciiTheme="minorEastAsia" w:hAnsiTheme="minorEastAsia" w:eastAsiaTheme="minorEastAsia" w:cstheme="minorEastAsia"/>
          <w:bCs/>
          <w:color w:val="000000" w:themeColor="text1"/>
          <w:szCs w:val="21"/>
          <w14:textFill>
            <w14:solidFill>
              <w14:schemeClr w14:val="tx1"/>
            </w14:solidFill>
          </w14:textFill>
        </w:rPr>
        <w:t>（五）不同供应商的响应文件相互混装；</w:t>
      </w:r>
      <w:bookmarkEnd w:id="20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10" w:name="_Toc23985"/>
      <w:r>
        <w:rPr>
          <w:rFonts w:hint="eastAsia" w:asciiTheme="minorEastAsia" w:hAnsiTheme="minorEastAsia" w:eastAsiaTheme="minorEastAsia" w:cstheme="minorEastAsia"/>
          <w:bCs/>
          <w:color w:val="000000" w:themeColor="text1"/>
          <w:szCs w:val="21"/>
          <w14:textFill>
            <w14:solidFill>
              <w14:schemeClr w14:val="tx1"/>
            </w14:solidFill>
          </w14:textFill>
        </w:rPr>
        <w:t>（六）不同供应商的响应保证金从同一单位或者个人的账户转出。</w:t>
      </w:r>
      <w:bookmarkEnd w:id="21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11" w:name="_Toc14520"/>
      <w:r>
        <w:rPr>
          <w:rFonts w:hint="eastAsia" w:asciiTheme="minorEastAsia" w:hAnsiTheme="minorEastAsia" w:eastAsiaTheme="minorEastAsia" w:cstheme="minorEastAsia"/>
          <w:bCs/>
          <w:color w:val="000000" w:themeColor="text1"/>
          <w:szCs w:val="21"/>
          <w14:textFill>
            <w14:solidFill>
              <w14:schemeClr w14:val="tx1"/>
            </w14:solidFill>
          </w14:textFill>
        </w:rPr>
        <w:t>20、废标</w:t>
      </w:r>
      <w:bookmarkStart w:id="212" w:name="_Toc217446072"/>
      <w:r>
        <w:rPr>
          <w:rFonts w:hint="eastAsia" w:asciiTheme="minorEastAsia" w:hAnsiTheme="minorEastAsia" w:eastAsiaTheme="minorEastAsia" w:cstheme="minorEastAsia"/>
          <w:bCs/>
          <w:color w:val="000000" w:themeColor="text1"/>
          <w:szCs w:val="21"/>
          <w14:textFill>
            <w14:solidFill>
              <w14:schemeClr w14:val="tx1"/>
            </w14:solidFill>
          </w14:textFill>
        </w:rPr>
        <w:t>的情形</w:t>
      </w:r>
      <w:bookmarkEnd w:id="211"/>
      <w:bookmarkEnd w:id="212"/>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招标采购中，出现下列情形之一的，予以废标：</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（1）出现影响采购公正的违法、违规行为的；</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（2）供应商的报价均超过了预算，采购人不能支付的；</w:t>
      </w:r>
    </w:p>
    <w:p>
      <w:pPr>
        <w:pStyle w:val="6"/>
        <w:adjustRightInd w:val="0"/>
        <w:snapToGrid w:val="0"/>
        <w:spacing w:line="360" w:lineRule="auto"/>
        <w:ind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（3）因重大变故，采购任务取消的。</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21、纪律和监督</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213" w:name="_Toc144974543"/>
      <w:bookmarkStart w:id="214" w:name="_Toc152045575"/>
      <w:bookmarkStart w:id="215" w:name="_Toc296602462"/>
      <w:bookmarkStart w:id="216" w:name="_Toc296590983"/>
      <w:bookmarkStart w:id="217" w:name="_Toc246996962"/>
      <w:bookmarkStart w:id="218" w:name="_Toc246996219"/>
      <w:bookmarkStart w:id="219" w:name="_Toc152042351"/>
      <w:bookmarkStart w:id="220" w:name="_Toc179632593"/>
      <w:bookmarkStart w:id="221" w:name="_Toc247085733"/>
      <w:r>
        <w:rPr>
          <w:rFonts w:hint="eastAsia" w:asciiTheme="minorEastAsia" w:hAnsiTheme="minorEastAsia" w:eastAsiaTheme="minorEastAsia" w:cstheme="minorEastAsia"/>
          <w:bCs/>
          <w:color w:val="000000" w:themeColor="text1"/>
          <w:szCs w:val="21"/>
          <w14:textFill>
            <w14:solidFill>
              <w14:schemeClr w14:val="tx1"/>
            </w14:solidFill>
          </w14:textFill>
        </w:rPr>
        <w:t>21.1 对采购人的纪律要求</w:t>
      </w:r>
      <w:bookmarkEnd w:id="213"/>
      <w:bookmarkEnd w:id="214"/>
      <w:bookmarkEnd w:id="215"/>
      <w:bookmarkEnd w:id="216"/>
      <w:bookmarkEnd w:id="217"/>
      <w:bookmarkEnd w:id="218"/>
      <w:bookmarkEnd w:id="219"/>
      <w:bookmarkEnd w:id="220"/>
      <w:bookmarkEnd w:id="221"/>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采购人不得泄漏招标采购活动中应当保密的情况和资料，不得与供应商串通损害国家利益、社会公共利益或者他人合法权益。</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222" w:name="_Toc246996220"/>
      <w:bookmarkStart w:id="223" w:name="_Toc296602463"/>
      <w:bookmarkStart w:id="224" w:name="_Toc144974544"/>
      <w:bookmarkStart w:id="225" w:name="_Toc247085734"/>
      <w:bookmarkStart w:id="226" w:name="_Toc179632594"/>
      <w:bookmarkStart w:id="227" w:name="_Toc152042352"/>
      <w:bookmarkStart w:id="228" w:name="_Toc246996963"/>
      <w:bookmarkStart w:id="229" w:name="_Toc152045576"/>
      <w:r>
        <w:rPr>
          <w:rFonts w:hint="eastAsia" w:asciiTheme="minorEastAsia" w:hAnsiTheme="minorEastAsia" w:eastAsiaTheme="minorEastAsia" w:cstheme="minorEastAsia"/>
          <w:bCs/>
          <w:color w:val="000000" w:themeColor="text1"/>
          <w:szCs w:val="21"/>
          <w14:textFill>
            <w14:solidFill>
              <w14:schemeClr w14:val="tx1"/>
            </w14:solidFill>
          </w14:textFill>
        </w:rPr>
        <w:t>21.2对供应商的纪律要求</w:t>
      </w:r>
      <w:bookmarkEnd w:id="222"/>
      <w:bookmarkEnd w:id="223"/>
      <w:bookmarkEnd w:id="224"/>
      <w:bookmarkEnd w:id="225"/>
      <w:bookmarkEnd w:id="226"/>
      <w:bookmarkEnd w:id="227"/>
      <w:bookmarkEnd w:id="228"/>
      <w:bookmarkEnd w:id="229"/>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供应商不得相互串通响应或者与采购人串通响应，不得向采购人或者评审委员会成员行贿谋取成交，不得以他人名义响应或者以其他方式弄虚作假骗取成交；供应商不得以任何方式干扰、影响评审工作。</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230" w:name="_Toc246996964"/>
      <w:bookmarkStart w:id="231" w:name="_Toc296602464"/>
      <w:bookmarkStart w:id="232" w:name="_Toc152042353"/>
      <w:bookmarkStart w:id="233" w:name="_Toc179632595"/>
      <w:bookmarkStart w:id="234" w:name="_Toc247085735"/>
      <w:bookmarkStart w:id="235" w:name="_Toc144974545"/>
      <w:bookmarkStart w:id="236" w:name="_Toc152045577"/>
      <w:bookmarkStart w:id="237" w:name="_Toc246996221"/>
      <w:r>
        <w:rPr>
          <w:rFonts w:hint="eastAsia" w:asciiTheme="minorEastAsia" w:hAnsiTheme="minorEastAsia" w:eastAsiaTheme="minorEastAsia" w:cstheme="minorEastAsia"/>
          <w:bCs/>
          <w:color w:val="000000" w:themeColor="text1"/>
          <w:szCs w:val="21"/>
          <w14:textFill>
            <w14:solidFill>
              <w14:schemeClr w14:val="tx1"/>
            </w14:solidFill>
          </w14:textFill>
        </w:rPr>
        <w:t>21.3对评审委员会成员的纪律要求</w:t>
      </w:r>
      <w:bookmarkEnd w:id="230"/>
      <w:bookmarkEnd w:id="231"/>
      <w:bookmarkEnd w:id="232"/>
      <w:bookmarkEnd w:id="233"/>
      <w:bookmarkEnd w:id="234"/>
      <w:bookmarkEnd w:id="235"/>
      <w:bookmarkEnd w:id="236"/>
      <w:bookmarkEnd w:id="237"/>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评审委员会成员不得收受他人的财物或者其他好处，不得向他人透漏对响应文件的评审和比较、成交候选人的推荐情况以及评审有关的其他情况。在评审活动中，评审委员会成员应当客观、公正地履行职责，独立评审，遵守职业道德，不得擅离职守，影响评审程序正常进行，不得使用采购文件没有规定的评审因素和标准进行评审。</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238" w:name="_Toc247085736"/>
      <w:bookmarkStart w:id="239" w:name="_Toc296602465"/>
      <w:bookmarkStart w:id="240" w:name="_Toc152042354"/>
      <w:bookmarkStart w:id="241" w:name="_Toc179632596"/>
      <w:bookmarkStart w:id="242" w:name="_Toc246996222"/>
      <w:bookmarkStart w:id="243" w:name="_Toc246996965"/>
      <w:bookmarkStart w:id="244" w:name="_Toc152045578"/>
      <w:r>
        <w:rPr>
          <w:rFonts w:hint="eastAsia" w:asciiTheme="minorEastAsia" w:hAnsiTheme="minorEastAsia" w:eastAsiaTheme="minorEastAsia" w:cstheme="minorEastAsia"/>
          <w:bCs/>
          <w:color w:val="000000" w:themeColor="text1"/>
          <w:szCs w:val="21"/>
          <w14:textFill>
            <w14:solidFill>
              <w14:schemeClr w14:val="tx1"/>
            </w14:solidFill>
          </w14:textFill>
        </w:rPr>
        <w:t>21.4对与评审活动有关的工作人员的纪律要求</w:t>
      </w:r>
      <w:bookmarkEnd w:id="238"/>
      <w:bookmarkEnd w:id="239"/>
      <w:bookmarkEnd w:id="240"/>
      <w:bookmarkEnd w:id="241"/>
      <w:bookmarkEnd w:id="242"/>
      <w:bookmarkEnd w:id="243"/>
      <w:bookmarkEnd w:id="244"/>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bookmarkStart w:id="245" w:name="_Toc152042355"/>
      <w:r>
        <w:rPr>
          <w:rFonts w:hint="eastAsia" w:asciiTheme="minorEastAsia" w:hAnsiTheme="minorEastAsia" w:eastAsiaTheme="minorEastAsia" w:cstheme="minorEastAsia"/>
          <w:bCs/>
          <w:color w:val="000000" w:themeColor="text1"/>
          <w:szCs w:val="21"/>
          <w14:textFill>
            <w14:solidFill>
              <w14:schemeClr w14:val="tx1"/>
            </w14:solidFill>
          </w14:textFill>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bookmarkEnd w:id="24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46" w:name="_Toc246826113"/>
      <w:bookmarkStart w:id="247" w:name="_Toc16731"/>
      <w:r>
        <w:rPr>
          <w:rFonts w:hint="eastAsia" w:asciiTheme="minorEastAsia" w:hAnsiTheme="minorEastAsia" w:eastAsiaTheme="minorEastAsia" w:cstheme="minorEastAsia"/>
          <w:bCs/>
          <w:color w:val="000000" w:themeColor="text1"/>
          <w:szCs w:val="21"/>
          <w14:textFill>
            <w14:solidFill>
              <w14:schemeClr w14:val="tx1"/>
            </w14:solidFill>
          </w14:textFill>
        </w:rPr>
        <w:t>六、定标、合同</w:t>
      </w:r>
      <w:bookmarkEnd w:id="246"/>
      <w:r>
        <w:rPr>
          <w:rFonts w:hint="eastAsia" w:asciiTheme="minorEastAsia" w:hAnsiTheme="minorEastAsia" w:eastAsiaTheme="minorEastAsia" w:cstheme="minorEastAsia"/>
          <w:bCs/>
          <w:color w:val="000000" w:themeColor="text1"/>
          <w:szCs w:val="21"/>
          <w14:textFill>
            <w14:solidFill>
              <w14:schemeClr w14:val="tx1"/>
            </w14:solidFill>
          </w14:textFill>
        </w:rPr>
        <w:t>与验收</w:t>
      </w:r>
      <w:bookmarkEnd w:id="247"/>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48" w:name="_Toc15608"/>
      <w:r>
        <w:rPr>
          <w:rFonts w:hint="eastAsia" w:asciiTheme="minorEastAsia" w:hAnsiTheme="minorEastAsia" w:eastAsiaTheme="minorEastAsia" w:cstheme="minorEastAsia"/>
          <w:bCs/>
          <w:color w:val="000000" w:themeColor="text1"/>
          <w:szCs w:val="21"/>
          <w14:textFill>
            <w14:solidFill>
              <w14:schemeClr w14:val="tx1"/>
            </w14:solidFill>
          </w14:textFill>
        </w:rPr>
        <w:t>22、定标准则</w:t>
      </w:r>
      <w:bookmarkEnd w:id="248"/>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22.1任何单项因素的最优不能作为成交的保证。</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49" w:name="_Toc8578"/>
      <w:r>
        <w:rPr>
          <w:rFonts w:hint="eastAsia" w:asciiTheme="minorEastAsia" w:hAnsiTheme="minorEastAsia" w:eastAsiaTheme="minorEastAsia" w:cstheme="minorEastAsia"/>
          <w:bCs/>
          <w:color w:val="000000" w:themeColor="text1"/>
          <w:szCs w:val="21"/>
          <w14:textFill>
            <w14:solidFill>
              <w14:schemeClr w14:val="tx1"/>
            </w14:solidFill>
          </w14:textFill>
        </w:rPr>
        <w:t>22.2评审委员会推荐排名第一且经采购人确认的供应商即为成交供应商。</w:t>
      </w:r>
      <w:bookmarkEnd w:id="249"/>
    </w:p>
    <w:p>
      <w:pPr>
        <w:adjustRightInd w:val="0"/>
        <w:snapToGrid w:val="0"/>
        <w:spacing w:line="360" w:lineRule="auto"/>
        <w:ind w:left="420" w:left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0" w:name="_Toc26100"/>
      <w:r>
        <w:rPr>
          <w:rFonts w:hint="eastAsia" w:asciiTheme="minorEastAsia" w:hAnsiTheme="minorEastAsia" w:eastAsiaTheme="minorEastAsia" w:cstheme="minorEastAsia"/>
          <w:bCs/>
          <w:color w:val="000000" w:themeColor="text1"/>
          <w:szCs w:val="21"/>
          <w14:textFill>
            <w14:solidFill>
              <w14:schemeClr w14:val="tx1"/>
            </w14:solidFill>
          </w14:textFill>
        </w:rPr>
        <w:t>23、成交通知</w:t>
      </w:r>
      <w:bookmarkEnd w:id="25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1" w:name="_Toc6624"/>
      <w:r>
        <w:rPr>
          <w:rFonts w:hint="eastAsia" w:asciiTheme="minorEastAsia" w:hAnsiTheme="minorEastAsia" w:eastAsiaTheme="minorEastAsia" w:cstheme="minorEastAsia"/>
          <w:bCs/>
          <w:color w:val="000000" w:themeColor="text1"/>
          <w:szCs w:val="21"/>
          <w14:textFill>
            <w14:solidFill>
              <w14:schemeClr w14:val="tx1"/>
            </w14:solidFill>
          </w14:textFill>
        </w:rPr>
        <w:t>23.1由采购人在比选公告发布媒体上公布成交结果，并向成交供应商发送《成交通知书》。</w:t>
      </w:r>
      <w:bookmarkEnd w:id="25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2" w:name="_Toc13316"/>
      <w:r>
        <w:rPr>
          <w:rFonts w:hint="eastAsia" w:asciiTheme="minorEastAsia" w:hAnsiTheme="minorEastAsia" w:eastAsiaTheme="minorEastAsia" w:cstheme="minorEastAsia"/>
          <w:bCs/>
          <w:color w:val="000000" w:themeColor="text1"/>
          <w:szCs w:val="21"/>
          <w14:textFill>
            <w14:solidFill>
              <w14:schemeClr w14:val="tx1"/>
            </w14:solidFill>
          </w14:textFill>
        </w:rPr>
        <w:t>23.2成交通知书为签订政府采购合同的依据，是合同的有效组成部分。</w:t>
      </w:r>
      <w:bookmarkEnd w:id="25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3" w:name="_Toc22224"/>
      <w:r>
        <w:rPr>
          <w:rFonts w:hint="eastAsia" w:asciiTheme="minorEastAsia" w:hAnsiTheme="minorEastAsia" w:eastAsiaTheme="minorEastAsia" w:cstheme="minorEastAsia"/>
          <w:bCs/>
          <w:color w:val="000000" w:themeColor="text1"/>
          <w:szCs w:val="21"/>
          <w14:textFill>
            <w14:solidFill>
              <w14:schemeClr w14:val="tx1"/>
            </w14:solidFill>
          </w14:textFill>
        </w:rPr>
        <w:t>23.3成交通知书对采购人和成交人均具有法律效力。成交通知书发出后，采购人改变成交结果，或者成交人无正当理由放弃成交的，应当承担相应的法律责任。</w:t>
      </w:r>
      <w:bookmarkEnd w:id="25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4" w:name="_Toc8691"/>
      <w:r>
        <w:rPr>
          <w:rFonts w:hint="eastAsia" w:asciiTheme="minorEastAsia" w:hAnsiTheme="minorEastAsia" w:eastAsiaTheme="minorEastAsia" w:cstheme="minorEastAsia"/>
          <w:bCs/>
          <w:color w:val="000000" w:themeColor="text1"/>
          <w:szCs w:val="21"/>
          <w14:textFill>
            <w14:solidFill>
              <w14:schemeClr w14:val="tx1"/>
            </w14:solidFill>
          </w14:textFill>
        </w:rPr>
        <w:t>24、合同签订</w:t>
      </w:r>
      <w:bookmarkEnd w:id="25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5" w:name="_Toc20578"/>
      <w:r>
        <w:rPr>
          <w:rFonts w:hint="eastAsia" w:asciiTheme="minorEastAsia" w:hAnsiTheme="minorEastAsia" w:eastAsiaTheme="minorEastAsia" w:cstheme="minorEastAsia"/>
          <w:bCs/>
          <w:color w:val="000000" w:themeColor="text1"/>
          <w:szCs w:val="21"/>
          <w14:textFill>
            <w14:solidFill>
              <w14:schemeClr w14:val="tx1"/>
            </w14:solidFill>
          </w14:textFill>
        </w:rPr>
        <w:t>24.1成交人在收到《成交通知书》后，应在规定的时间内与采购人签订采购合同。由于成交人的原因逾期未与采购人签订采购合同的，将视为放弃成交，取消其成交资格并将按相关规定进行处理。</w:t>
      </w:r>
      <w:bookmarkEnd w:id="25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6" w:name="_Toc22078"/>
      <w:r>
        <w:rPr>
          <w:rFonts w:hint="eastAsia" w:asciiTheme="minorEastAsia" w:hAnsiTheme="minorEastAsia" w:eastAsiaTheme="minorEastAsia" w:cstheme="minorEastAsia"/>
          <w:bCs/>
          <w:color w:val="000000" w:themeColor="text1"/>
          <w:szCs w:val="21"/>
          <w14:textFill>
            <w14:solidFill>
              <w14:schemeClr w14:val="tx1"/>
            </w14:solidFill>
          </w14:textFill>
        </w:rPr>
        <w:t>24.2采购人不得向成交人提出任何不合理的要求作为签订合同的条件，不得与成交人私下订立背离合同实质性内容的任何协议，所签订的合同不得对采购文件和成交人响应文件作实质性修改。</w:t>
      </w:r>
      <w:bookmarkEnd w:id="256"/>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7" w:name="_Toc217446069"/>
      <w:bookmarkStart w:id="258" w:name="_Toc3878"/>
      <w:r>
        <w:rPr>
          <w:rFonts w:hint="eastAsia" w:asciiTheme="minorEastAsia" w:hAnsiTheme="minorEastAsia" w:eastAsiaTheme="minorEastAsia" w:cstheme="minorEastAsia"/>
          <w:bCs/>
          <w:color w:val="000000" w:themeColor="text1"/>
          <w:szCs w:val="21"/>
          <w14:textFill>
            <w14:solidFill>
              <w14:schemeClr w14:val="tx1"/>
            </w14:solidFill>
          </w14:textFill>
        </w:rPr>
        <w:t>25、合同</w:t>
      </w:r>
      <w:bookmarkEnd w:id="257"/>
      <w:r>
        <w:rPr>
          <w:rFonts w:hint="eastAsia" w:asciiTheme="minorEastAsia" w:hAnsiTheme="minorEastAsia" w:eastAsiaTheme="minorEastAsia" w:cstheme="minorEastAsia"/>
          <w:bCs/>
          <w:color w:val="000000" w:themeColor="text1"/>
          <w:szCs w:val="21"/>
          <w14:textFill>
            <w14:solidFill>
              <w14:schemeClr w14:val="tx1"/>
            </w14:solidFill>
          </w14:textFill>
        </w:rPr>
        <w:t>履行</w:t>
      </w:r>
      <w:bookmarkEnd w:id="258"/>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59" w:name="_Toc19242"/>
      <w:r>
        <w:rPr>
          <w:rFonts w:hint="eastAsia" w:asciiTheme="minorEastAsia" w:hAnsiTheme="minorEastAsia" w:eastAsiaTheme="minorEastAsia" w:cstheme="minorEastAsia"/>
          <w:bCs/>
          <w:color w:val="000000" w:themeColor="text1"/>
          <w:szCs w:val="21"/>
          <w14:textFill>
            <w14:solidFill>
              <w14:schemeClr w14:val="tx1"/>
            </w14:solidFill>
          </w14:textFill>
        </w:rPr>
        <w:t>25.1成交人与采购人签订合同后，合同双方应严格执行合同条款，履行合同规定的义务，保证合同的顺利完成。</w:t>
      </w:r>
      <w:bookmarkEnd w:id="25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0" w:name="_Toc20566"/>
      <w:r>
        <w:rPr>
          <w:rFonts w:hint="eastAsia" w:asciiTheme="minorEastAsia" w:hAnsiTheme="minorEastAsia" w:eastAsiaTheme="minorEastAsia" w:cstheme="minorEastAsia"/>
          <w:bCs/>
          <w:color w:val="000000" w:themeColor="text1"/>
          <w:szCs w:val="21"/>
          <w14:textFill>
            <w14:solidFill>
              <w14:schemeClr w14:val="tx1"/>
            </w14:solidFill>
          </w14:textFill>
        </w:rPr>
        <w:t>25.2采购人应严格按照合同约定事项，制定科学合理的验收方案开展验收；</w:t>
      </w:r>
      <w:bookmarkEnd w:id="26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1" w:name="_Toc3284"/>
      <w:r>
        <w:rPr>
          <w:rFonts w:hint="eastAsia" w:asciiTheme="minorEastAsia" w:hAnsiTheme="minorEastAsia" w:eastAsiaTheme="minorEastAsia" w:cstheme="minorEastAsia"/>
          <w:bCs/>
          <w:color w:val="000000" w:themeColor="text1"/>
          <w:szCs w:val="21"/>
          <w14:textFill>
            <w14:solidFill>
              <w14:schemeClr w14:val="tx1"/>
            </w14:solidFill>
          </w14:textFill>
        </w:rPr>
        <w:t>25.3在合同履行过程中，如发生合同纠纷，合同双方应按照《民法典》的有关规定进行处理。</w:t>
      </w:r>
      <w:bookmarkEnd w:id="261"/>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2" w:name="_Toc19525"/>
      <w:r>
        <w:rPr>
          <w:rFonts w:hint="eastAsia" w:asciiTheme="minorEastAsia" w:hAnsiTheme="minorEastAsia" w:eastAsiaTheme="minorEastAsia" w:cstheme="minorEastAsia"/>
          <w:bCs/>
          <w:color w:val="000000" w:themeColor="text1"/>
          <w:szCs w:val="21"/>
          <w14:textFill>
            <w14:solidFill>
              <w14:schemeClr w14:val="tx1"/>
            </w14:solidFill>
          </w14:textFill>
        </w:rPr>
        <w:t>七、评审方法</w:t>
      </w:r>
      <w:bookmarkEnd w:id="262"/>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3" w:name="_Toc25697"/>
      <w:r>
        <w:rPr>
          <w:rFonts w:hint="eastAsia" w:asciiTheme="minorEastAsia" w:hAnsiTheme="minorEastAsia" w:eastAsiaTheme="minorEastAsia" w:cstheme="minorEastAsia"/>
          <w:bCs/>
          <w:color w:val="000000" w:themeColor="text1"/>
          <w:szCs w:val="21"/>
          <w14:textFill>
            <w14:solidFill>
              <w14:schemeClr w14:val="tx1"/>
            </w14:solidFill>
          </w14:textFill>
        </w:rPr>
        <w:t>26、采购比选评审方法分为:综合评分法。</w:t>
      </w:r>
      <w:bookmarkEnd w:id="263"/>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4" w:name="_Toc14646"/>
      <w:r>
        <w:rPr>
          <w:rFonts w:hint="eastAsia" w:asciiTheme="minorEastAsia" w:hAnsiTheme="minorEastAsia" w:eastAsiaTheme="minorEastAsia" w:cstheme="minorEastAsia"/>
          <w:bCs/>
          <w:color w:val="000000" w:themeColor="text1"/>
          <w:szCs w:val="21"/>
          <w14:textFill>
            <w14:solidFill>
              <w14:schemeClr w14:val="tx1"/>
            </w14:solidFill>
          </w14:textFill>
        </w:rPr>
        <w:t>综合评分法，是指响应文件满足采购文件全部实质性要求且按照评审因素的量化指标评审得分最高的供应商为成交候选人的评审方法。</w:t>
      </w:r>
      <w:bookmarkEnd w:id="264"/>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5" w:name="_Toc16878"/>
      <w:r>
        <w:rPr>
          <w:rFonts w:hint="eastAsia" w:asciiTheme="minorEastAsia" w:hAnsiTheme="minorEastAsia" w:eastAsiaTheme="minorEastAsia" w:cstheme="minorEastAsia"/>
          <w:bCs/>
          <w:color w:val="000000" w:themeColor="text1"/>
          <w:szCs w:val="21"/>
          <w14:textFill>
            <w14:solidFill>
              <w14:schemeClr w14:val="tx1"/>
            </w14:solidFill>
          </w14:textFill>
        </w:rPr>
        <w:t>其中价格分统一采用低价优先法计算，即满足采购文件要求且响应价格最低的响应报价为评审基准价，其价格分为满分。其他供应商的价格分统一按照下列公式计算：</w:t>
      </w:r>
      <w:bookmarkEnd w:id="265"/>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6" w:name="_Toc13839"/>
      <w:r>
        <w:rPr>
          <w:rFonts w:hint="eastAsia" w:asciiTheme="minorEastAsia" w:hAnsiTheme="minorEastAsia" w:eastAsiaTheme="minorEastAsia" w:cstheme="minorEastAsia"/>
          <w:bCs/>
          <w:color w:val="000000" w:themeColor="text1"/>
          <w:szCs w:val="21"/>
          <w14:textFill>
            <w14:solidFill>
              <w14:schemeClr w14:val="tx1"/>
            </w14:solidFill>
          </w14:textFill>
        </w:rPr>
        <w:t>响应报价得分＝（评审基准价／响应报价）×价格权值×100</w:t>
      </w:r>
      <w:bookmarkEnd w:id="266"/>
      <w:r>
        <w:rPr>
          <w:rFonts w:hint="eastAsia" w:asciiTheme="minorEastAsia" w:hAnsiTheme="minorEastAsia" w:eastAsiaTheme="minorEastAsia" w:cstheme="minorEastAsia"/>
          <w:bCs/>
          <w:color w:val="000000" w:themeColor="text1"/>
          <w:szCs w:val="21"/>
          <w14:textFill>
            <w14:solidFill>
              <w14:schemeClr w14:val="tx1"/>
            </w14:solidFill>
          </w14:textFill>
        </w:rPr>
        <w:t>　　</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7" w:name="_Toc774"/>
      <w:r>
        <w:rPr>
          <w:rFonts w:hint="eastAsia" w:asciiTheme="minorEastAsia" w:hAnsiTheme="minorEastAsia" w:eastAsiaTheme="minorEastAsia" w:cstheme="minorEastAsia"/>
          <w:bCs/>
          <w:color w:val="000000" w:themeColor="text1"/>
          <w:szCs w:val="21"/>
          <w14:textFill>
            <w14:solidFill>
              <w14:schemeClr w14:val="tx1"/>
            </w14:solidFill>
          </w14:textFill>
        </w:rPr>
        <w:t>八、质疑</w:t>
      </w:r>
      <w:bookmarkEnd w:id="267"/>
    </w:p>
    <w:p>
      <w:pPr>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27、供应商认为采购文件、采购过程和成交或者成交结果使自己的合法权益受到损害的，应当在知道或者应知其权益受到损害之日起七个工作日（质疑有效期）内，向采购人提出询问或以书面形式向其质疑。 </w:t>
      </w:r>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8" w:name="_Toc25474"/>
      <w:r>
        <w:rPr>
          <w:rFonts w:hint="eastAsia" w:asciiTheme="minorEastAsia" w:hAnsiTheme="minorEastAsia" w:eastAsiaTheme="minorEastAsia" w:cstheme="minorEastAsia"/>
          <w:bCs/>
          <w:color w:val="000000" w:themeColor="text1"/>
          <w:szCs w:val="21"/>
          <w14:textFill>
            <w14:solidFill>
              <w14:schemeClr w14:val="tx1"/>
            </w14:solidFill>
          </w14:textFill>
        </w:rPr>
        <w:t>28、采购人关于质疑受理事项依照</w:t>
      </w:r>
      <w:r>
        <w:rPr>
          <w:rFonts w:asciiTheme="minorEastAsia" w:hAnsiTheme="minorEastAsia" w:eastAsiaTheme="minorEastAsia" w:cstheme="minorEastAsia"/>
          <w:bCs/>
          <w:color w:val="000000" w:themeColor="text1"/>
          <w:szCs w:val="21"/>
          <w14:textFill>
            <w14:solidFill>
              <w14:schemeClr w14:val="tx1"/>
            </w14:solidFill>
          </w14:textFill>
        </w:rPr>
        <w:t>《中华人民共和国政府采购法》</w:t>
      </w:r>
      <w:r>
        <w:rPr>
          <w:rFonts w:hint="eastAsia" w:asciiTheme="minorEastAsia" w:hAnsiTheme="minorEastAsia" w:eastAsiaTheme="minorEastAsia" w:cstheme="minorEastAsia"/>
          <w:bCs/>
          <w:color w:val="000000" w:themeColor="text1"/>
          <w:szCs w:val="21"/>
          <w14:textFill>
            <w14:solidFill>
              <w14:schemeClr w14:val="tx1"/>
            </w14:solidFill>
          </w14:textFill>
        </w:rPr>
        <w:t>《政府采购实施条例》《政府采购质疑和投诉办法》等法律法规及规章制度执行。供应商在法定质疑期内必须一次性提出针对同一采购程序环节的质疑，否则不予受理。供应商不按质疑函格式要求填写或不符合质疑函制作说明的，将不予受理。</w:t>
      </w:r>
      <w:bookmarkEnd w:id="268"/>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69" w:name="_Toc24985"/>
      <w:r>
        <w:rPr>
          <w:rFonts w:hint="eastAsia" w:asciiTheme="minorEastAsia" w:hAnsiTheme="minorEastAsia" w:eastAsiaTheme="minorEastAsia" w:cstheme="minorEastAsia"/>
          <w:bCs/>
          <w:color w:val="000000" w:themeColor="text1"/>
          <w:szCs w:val="21"/>
          <w14:textFill>
            <w14:solidFill>
              <w14:schemeClr w14:val="tx1"/>
            </w14:solidFill>
          </w14:textFill>
        </w:rPr>
        <w:t>29、质疑有效期的计算</w:t>
      </w:r>
      <w:bookmarkEnd w:id="26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0" w:name="_Toc26531"/>
      <w:r>
        <w:rPr>
          <w:rFonts w:hint="eastAsia" w:asciiTheme="minorEastAsia" w:hAnsiTheme="minorEastAsia" w:eastAsiaTheme="minorEastAsia" w:cstheme="minorEastAsia"/>
          <w:bCs/>
          <w:color w:val="000000" w:themeColor="text1"/>
          <w:szCs w:val="21"/>
          <w14:textFill>
            <w14:solidFill>
              <w14:schemeClr w14:val="tx1"/>
            </w14:solidFill>
          </w14:textFill>
        </w:rPr>
        <w:t>采购文件的质疑有效期为采购文件公告期限届满之日起3个工作日内；采购过程的质疑有效期为各采购程序环节结束之日起3个工作日内；采购结果的质疑有效期为采购结果公告期限届满之日起3个工作日内。</w:t>
      </w:r>
      <w:bookmarkEnd w:id="27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1" w:name="_Toc30662"/>
      <w:r>
        <w:rPr>
          <w:rFonts w:hint="eastAsia" w:asciiTheme="minorEastAsia" w:hAnsiTheme="minorEastAsia" w:eastAsiaTheme="minorEastAsia" w:cstheme="minorEastAsia"/>
          <w:bCs/>
          <w:color w:val="000000" w:themeColor="text1"/>
          <w:szCs w:val="21"/>
          <w14:textFill>
            <w14:solidFill>
              <w14:schemeClr w14:val="tx1"/>
            </w14:solidFill>
          </w14:textFill>
        </w:rPr>
        <w:t>九、无效响应的其他有关规定：</w:t>
      </w:r>
      <w:bookmarkEnd w:id="271"/>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2" w:name="_Toc14085"/>
      <w:r>
        <w:rPr>
          <w:rFonts w:hint="eastAsia" w:asciiTheme="minorEastAsia" w:hAnsiTheme="minorEastAsia" w:eastAsiaTheme="minorEastAsia" w:cstheme="minorEastAsia"/>
          <w:bCs/>
          <w:color w:val="000000" w:themeColor="text1"/>
          <w:szCs w:val="21"/>
          <w14:textFill>
            <w14:solidFill>
              <w14:schemeClr w14:val="tx1"/>
            </w14:solidFill>
          </w14:textFill>
        </w:rPr>
        <w:t>30、除符合采购文件中载明的无效响应规定外，如果发现下列情况之一者，同样作无效响应处理，其中30.1至30.3款情形的所有相关供应商均作无效响应处理。因此产生其他法律责任的由供应商自行承担：</w:t>
      </w:r>
      <w:bookmarkEnd w:id="272"/>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3" w:name="_Toc26371"/>
      <w:r>
        <w:rPr>
          <w:rFonts w:hint="eastAsia" w:asciiTheme="minorEastAsia" w:hAnsiTheme="minorEastAsia" w:eastAsiaTheme="minorEastAsia" w:cstheme="minorEastAsia"/>
          <w:bCs/>
          <w:color w:val="000000" w:themeColor="text1"/>
          <w:szCs w:val="21"/>
          <w14:textFill>
            <w14:solidFill>
              <w14:schemeClr w14:val="tx1"/>
            </w14:solidFill>
          </w14:textFill>
        </w:rPr>
        <w:t>30.1不同供应商的法定代表人、委托代理人等由同一个单位缴纳社会保险的；</w:t>
      </w:r>
      <w:bookmarkEnd w:id="273"/>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4" w:name="_Toc6090"/>
      <w:r>
        <w:rPr>
          <w:rFonts w:hint="eastAsia" w:asciiTheme="minorEastAsia" w:hAnsiTheme="minorEastAsia" w:eastAsiaTheme="minorEastAsia" w:cstheme="minorEastAsia"/>
          <w:bCs/>
          <w:color w:val="000000" w:themeColor="text1"/>
          <w:szCs w:val="21"/>
          <w14:textFill>
            <w14:solidFill>
              <w14:schemeClr w14:val="tx1"/>
            </w14:solidFill>
          </w14:textFill>
        </w:rPr>
        <w:t>30.2由同一人携带两个及以上供应商的企业资料参与开标会议的；</w:t>
      </w:r>
      <w:bookmarkEnd w:id="274"/>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5" w:name="_Toc25951"/>
      <w:r>
        <w:rPr>
          <w:rFonts w:hint="eastAsia" w:asciiTheme="minorEastAsia" w:hAnsiTheme="minorEastAsia" w:eastAsiaTheme="minorEastAsia" w:cstheme="minorEastAsia"/>
          <w:bCs/>
          <w:color w:val="000000" w:themeColor="text1"/>
          <w:szCs w:val="21"/>
          <w14:textFill>
            <w14:solidFill>
              <w14:schemeClr w14:val="tx1"/>
            </w14:solidFill>
          </w14:textFill>
        </w:rPr>
        <w:t>30.3单位负责人为同一人或者存在直接控股、管理关系的不同供应商，同时参加同一合同项下的政府采购活动的；</w:t>
      </w:r>
      <w:bookmarkEnd w:id="275"/>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6" w:name="_Toc13913"/>
      <w:r>
        <w:rPr>
          <w:rFonts w:hint="eastAsia" w:asciiTheme="minorEastAsia" w:hAnsiTheme="minorEastAsia" w:eastAsiaTheme="minorEastAsia" w:cstheme="minorEastAsia"/>
          <w:bCs/>
          <w:color w:val="000000" w:themeColor="text1"/>
          <w:szCs w:val="21"/>
          <w14:textFill>
            <w14:solidFill>
              <w14:schemeClr w14:val="tx1"/>
            </w14:solidFill>
          </w14:textFill>
        </w:rPr>
        <w:t>30.4为采购项目提供整体设计、规范编制或者项目管理、监理、检测等服务的供应商，再参加该采购项目的其他采购活动的；</w:t>
      </w:r>
      <w:bookmarkEnd w:id="276"/>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7" w:name="_Toc18926"/>
      <w:r>
        <w:rPr>
          <w:rFonts w:hint="eastAsia" w:asciiTheme="minorEastAsia" w:hAnsiTheme="minorEastAsia" w:eastAsiaTheme="minorEastAsia" w:cstheme="minorEastAsia"/>
          <w:bCs/>
          <w:color w:val="000000" w:themeColor="text1"/>
          <w:szCs w:val="21"/>
          <w14:textFill>
            <w14:solidFill>
              <w14:schemeClr w14:val="tx1"/>
            </w14:solidFill>
          </w14:textFill>
        </w:rPr>
        <w:t>30.5属于采购人任何不具有独立法人资格的附属机构（单位）；</w:t>
      </w:r>
      <w:bookmarkEnd w:id="277"/>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8" w:name="_Toc8338"/>
      <w:r>
        <w:rPr>
          <w:rFonts w:hint="eastAsia" w:asciiTheme="minorEastAsia" w:hAnsiTheme="minorEastAsia" w:eastAsiaTheme="minorEastAsia" w:cstheme="minorEastAsia"/>
          <w:bCs/>
          <w:color w:val="000000" w:themeColor="text1"/>
          <w:szCs w:val="21"/>
          <w14:textFill>
            <w14:solidFill>
              <w14:schemeClr w14:val="tx1"/>
            </w14:solidFill>
          </w14:textFill>
        </w:rPr>
        <w:t>30.6没有按要求提供补充文件，或调整补充内容超出规定范围。</w:t>
      </w:r>
      <w:bookmarkEnd w:id="278"/>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79" w:name="_Toc14767"/>
      <w:r>
        <w:rPr>
          <w:rFonts w:hint="eastAsia" w:asciiTheme="minorEastAsia" w:hAnsiTheme="minorEastAsia" w:eastAsiaTheme="minorEastAsia" w:cstheme="minorEastAsia"/>
          <w:bCs/>
          <w:color w:val="000000" w:themeColor="text1"/>
          <w:szCs w:val="21"/>
          <w14:textFill>
            <w14:solidFill>
              <w14:schemeClr w14:val="tx1"/>
            </w14:solidFill>
          </w14:textFill>
        </w:rPr>
        <w:t>30.7</w:t>
      </w:r>
      <w:r>
        <w:rPr>
          <w:rFonts w:asciiTheme="minorEastAsia" w:hAnsiTheme="minorEastAsia" w:eastAsiaTheme="minorEastAsia" w:cstheme="minorEastAsia"/>
          <w:bCs/>
          <w:color w:val="000000" w:themeColor="text1"/>
          <w:szCs w:val="21"/>
          <w14:textFill>
            <w14:solidFill>
              <w14:schemeClr w14:val="tx1"/>
            </w14:solidFill>
          </w14:textFill>
        </w:rPr>
        <w:t>未按照</w:t>
      </w:r>
      <w:r>
        <w:rPr>
          <w:rFonts w:hint="eastAsia" w:asciiTheme="minorEastAsia" w:hAnsiTheme="minorEastAsia" w:eastAsiaTheme="minorEastAsia" w:cstheme="minorEastAsia"/>
          <w:bCs/>
          <w:color w:val="000000" w:themeColor="text1"/>
          <w:szCs w:val="21"/>
          <w14:textFill>
            <w14:solidFill>
              <w14:schemeClr w14:val="tx1"/>
            </w14:solidFill>
          </w14:textFill>
        </w:rPr>
        <w:t>采购</w:t>
      </w:r>
      <w:r>
        <w:rPr>
          <w:rFonts w:asciiTheme="minorEastAsia" w:hAnsiTheme="minorEastAsia" w:eastAsiaTheme="minorEastAsia" w:cstheme="minorEastAsia"/>
          <w:bCs/>
          <w:color w:val="000000" w:themeColor="text1"/>
          <w:szCs w:val="21"/>
          <w14:textFill>
            <w14:solidFill>
              <w14:schemeClr w14:val="tx1"/>
            </w14:solidFill>
          </w14:textFill>
        </w:rPr>
        <w:t>文件的规定提交</w:t>
      </w:r>
      <w:r>
        <w:rPr>
          <w:rFonts w:hint="eastAsia" w:asciiTheme="minorEastAsia" w:hAnsiTheme="minorEastAsia" w:eastAsiaTheme="minorEastAsia" w:cstheme="minorEastAsia"/>
          <w:bCs/>
          <w:color w:val="000000" w:themeColor="text1"/>
          <w:szCs w:val="21"/>
          <w14:textFill>
            <w14:solidFill>
              <w14:schemeClr w14:val="tx1"/>
            </w14:solidFill>
          </w14:textFill>
        </w:rPr>
        <w:t>响应</w:t>
      </w:r>
      <w:r>
        <w:rPr>
          <w:rFonts w:asciiTheme="minorEastAsia" w:hAnsiTheme="minorEastAsia" w:eastAsiaTheme="minorEastAsia" w:cstheme="minorEastAsia"/>
          <w:bCs/>
          <w:color w:val="000000" w:themeColor="text1"/>
          <w:szCs w:val="21"/>
          <w14:textFill>
            <w14:solidFill>
              <w14:schemeClr w14:val="tx1"/>
            </w14:solidFill>
          </w14:textFill>
        </w:rPr>
        <w:t>保证金的；</w:t>
      </w:r>
      <w:bookmarkEnd w:id="279"/>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0" w:name="_Toc25517"/>
      <w:r>
        <w:rPr>
          <w:rFonts w:hint="eastAsia" w:asciiTheme="minorEastAsia" w:hAnsiTheme="minorEastAsia" w:eastAsiaTheme="minorEastAsia" w:cstheme="minorEastAsia"/>
          <w:bCs/>
          <w:color w:val="000000" w:themeColor="text1"/>
          <w:szCs w:val="21"/>
          <w14:textFill>
            <w14:solidFill>
              <w14:schemeClr w14:val="tx1"/>
            </w14:solidFill>
          </w14:textFill>
        </w:rPr>
        <w:t>30.8响应文件</w:t>
      </w:r>
      <w:r>
        <w:rPr>
          <w:rFonts w:asciiTheme="minorEastAsia" w:hAnsiTheme="minorEastAsia" w:eastAsiaTheme="minorEastAsia" w:cstheme="minorEastAsia"/>
          <w:bCs/>
          <w:color w:val="000000" w:themeColor="text1"/>
          <w:szCs w:val="21"/>
          <w14:textFill>
            <w14:solidFill>
              <w14:schemeClr w14:val="tx1"/>
            </w14:solidFill>
          </w14:textFill>
        </w:rPr>
        <w:t>未按</w:t>
      </w:r>
      <w:r>
        <w:rPr>
          <w:rFonts w:hint="eastAsia" w:asciiTheme="minorEastAsia" w:hAnsiTheme="minorEastAsia" w:eastAsiaTheme="minorEastAsia" w:cstheme="minorEastAsia"/>
          <w:bCs/>
          <w:color w:val="000000" w:themeColor="text1"/>
          <w:szCs w:val="21"/>
          <w14:textFill>
            <w14:solidFill>
              <w14:schemeClr w14:val="tx1"/>
            </w14:solidFill>
          </w14:textFill>
        </w:rPr>
        <w:t>采购</w:t>
      </w:r>
      <w:r>
        <w:rPr>
          <w:rFonts w:asciiTheme="minorEastAsia" w:hAnsiTheme="minorEastAsia" w:eastAsiaTheme="minorEastAsia" w:cstheme="minorEastAsia"/>
          <w:bCs/>
          <w:color w:val="000000" w:themeColor="text1"/>
          <w:szCs w:val="21"/>
          <w14:textFill>
            <w14:solidFill>
              <w14:schemeClr w14:val="tx1"/>
            </w14:solidFill>
          </w14:textFill>
        </w:rPr>
        <w:t>文件要求签署、盖章的；</w:t>
      </w:r>
      <w:bookmarkEnd w:id="280"/>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1" w:name="_Toc24671"/>
      <w:r>
        <w:rPr>
          <w:rFonts w:hint="eastAsia" w:asciiTheme="minorEastAsia" w:hAnsiTheme="minorEastAsia" w:eastAsiaTheme="minorEastAsia" w:cstheme="minorEastAsia"/>
          <w:bCs/>
          <w:color w:val="000000" w:themeColor="text1"/>
          <w:szCs w:val="21"/>
          <w14:textFill>
            <w14:solidFill>
              <w14:schemeClr w14:val="tx1"/>
            </w14:solidFill>
          </w14:textFill>
        </w:rPr>
        <w:t>30.9</w:t>
      </w:r>
      <w:r>
        <w:rPr>
          <w:rFonts w:asciiTheme="minorEastAsia" w:hAnsiTheme="minorEastAsia" w:eastAsiaTheme="minorEastAsia" w:cstheme="minorEastAsia"/>
          <w:bCs/>
          <w:color w:val="000000" w:themeColor="text1"/>
          <w:szCs w:val="21"/>
          <w14:textFill>
            <w14:solidFill>
              <w14:schemeClr w14:val="tx1"/>
            </w14:solidFill>
          </w14:textFill>
        </w:rPr>
        <w:t>不具备</w:t>
      </w:r>
      <w:r>
        <w:rPr>
          <w:rFonts w:hint="eastAsia" w:asciiTheme="minorEastAsia" w:hAnsiTheme="minorEastAsia" w:eastAsiaTheme="minorEastAsia" w:cstheme="minorEastAsia"/>
          <w:bCs/>
          <w:color w:val="000000" w:themeColor="text1"/>
          <w:szCs w:val="21"/>
          <w14:textFill>
            <w14:solidFill>
              <w14:schemeClr w14:val="tx1"/>
            </w14:solidFill>
          </w14:textFill>
        </w:rPr>
        <w:t>采购</w:t>
      </w:r>
      <w:r>
        <w:rPr>
          <w:rFonts w:asciiTheme="minorEastAsia" w:hAnsiTheme="minorEastAsia" w:eastAsiaTheme="minorEastAsia" w:cstheme="minorEastAsia"/>
          <w:bCs/>
          <w:color w:val="000000" w:themeColor="text1"/>
          <w:szCs w:val="21"/>
          <w14:textFill>
            <w14:solidFill>
              <w14:schemeClr w14:val="tx1"/>
            </w14:solidFill>
          </w14:textFill>
        </w:rPr>
        <w:t>文件中规定的资格要求的；</w:t>
      </w:r>
      <w:bookmarkEnd w:id="281"/>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2" w:name="_Toc10808"/>
      <w:r>
        <w:rPr>
          <w:rFonts w:hint="eastAsia" w:asciiTheme="minorEastAsia" w:hAnsiTheme="minorEastAsia" w:eastAsiaTheme="minorEastAsia" w:cstheme="minorEastAsia"/>
          <w:bCs/>
          <w:color w:val="000000" w:themeColor="text1"/>
          <w:szCs w:val="21"/>
          <w14:textFill>
            <w14:solidFill>
              <w14:schemeClr w14:val="tx1"/>
            </w14:solidFill>
          </w14:textFill>
        </w:rPr>
        <w:t>30.10</w:t>
      </w:r>
      <w:r>
        <w:rPr>
          <w:rFonts w:asciiTheme="minorEastAsia" w:hAnsiTheme="minorEastAsia" w:eastAsiaTheme="minorEastAsia" w:cstheme="minorEastAsia"/>
          <w:bCs/>
          <w:color w:val="000000" w:themeColor="text1"/>
          <w:szCs w:val="21"/>
          <w14:textFill>
            <w14:solidFill>
              <w14:schemeClr w14:val="tx1"/>
            </w14:solidFill>
          </w14:textFill>
        </w:rPr>
        <w:t>报价超过</w:t>
      </w:r>
      <w:r>
        <w:rPr>
          <w:rFonts w:hint="eastAsia" w:asciiTheme="minorEastAsia" w:hAnsiTheme="minorEastAsia" w:eastAsiaTheme="minorEastAsia" w:cstheme="minorEastAsia"/>
          <w:bCs/>
          <w:color w:val="000000" w:themeColor="text1"/>
          <w:szCs w:val="21"/>
          <w14:textFill>
            <w14:solidFill>
              <w14:schemeClr w14:val="tx1"/>
            </w14:solidFill>
          </w14:textFill>
        </w:rPr>
        <w:t>采购</w:t>
      </w:r>
      <w:r>
        <w:rPr>
          <w:rFonts w:asciiTheme="minorEastAsia" w:hAnsiTheme="minorEastAsia" w:eastAsiaTheme="minorEastAsia" w:cstheme="minorEastAsia"/>
          <w:bCs/>
          <w:color w:val="000000" w:themeColor="text1"/>
          <w:szCs w:val="21"/>
          <w14:textFill>
            <w14:solidFill>
              <w14:schemeClr w14:val="tx1"/>
            </w14:solidFill>
          </w14:textFill>
        </w:rPr>
        <w:t>文件中规定的预算金额或者最高限价的；</w:t>
      </w:r>
      <w:bookmarkEnd w:id="282"/>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3" w:name="_Toc15633"/>
      <w:r>
        <w:rPr>
          <w:rFonts w:hint="eastAsia" w:asciiTheme="minorEastAsia" w:hAnsiTheme="minorEastAsia" w:eastAsiaTheme="minorEastAsia" w:cstheme="minorEastAsia"/>
          <w:bCs/>
          <w:color w:val="000000" w:themeColor="text1"/>
          <w:szCs w:val="21"/>
          <w14:textFill>
            <w14:solidFill>
              <w14:schemeClr w14:val="tx1"/>
            </w14:solidFill>
          </w14:textFill>
        </w:rPr>
        <w:t>30.11响应文件</w:t>
      </w:r>
      <w:r>
        <w:rPr>
          <w:rFonts w:asciiTheme="minorEastAsia" w:hAnsiTheme="minorEastAsia" w:eastAsiaTheme="minorEastAsia" w:cstheme="minorEastAsia"/>
          <w:bCs/>
          <w:color w:val="000000" w:themeColor="text1"/>
          <w:szCs w:val="21"/>
          <w14:textFill>
            <w14:solidFill>
              <w14:schemeClr w14:val="tx1"/>
            </w14:solidFill>
          </w14:textFill>
        </w:rPr>
        <w:t>含有采购人不能接受的附加条件的；</w:t>
      </w:r>
      <w:bookmarkEnd w:id="283"/>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4" w:name="_Toc25286"/>
      <w:r>
        <w:rPr>
          <w:rFonts w:hint="eastAsia" w:asciiTheme="minorEastAsia" w:hAnsiTheme="minorEastAsia" w:eastAsiaTheme="minorEastAsia" w:cstheme="minorEastAsia"/>
          <w:bCs/>
          <w:color w:val="000000" w:themeColor="text1"/>
          <w:szCs w:val="21"/>
          <w14:textFill>
            <w14:solidFill>
              <w14:schemeClr w14:val="tx1"/>
            </w14:solidFill>
          </w14:textFill>
        </w:rPr>
        <w:t>30.12</w:t>
      </w:r>
      <w:r>
        <w:rPr>
          <w:rFonts w:asciiTheme="minorEastAsia" w:hAnsiTheme="minorEastAsia" w:eastAsiaTheme="minorEastAsia" w:cstheme="minorEastAsia"/>
          <w:bCs/>
          <w:color w:val="000000" w:themeColor="text1"/>
          <w:szCs w:val="21"/>
          <w14:textFill>
            <w14:solidFill>
              <w14:schemeClr w14:val="tx1"/>
            </w14:solidFill>
          </w14:textFill>
        </w:rPr>
        <w:t>法律、法规和</w:t>
      </w:r>
      <w:r>
        <w:rPr>
          <w:rFonts w:hint="eastAsia" w:asciiTheme="minorEastAsia" w:hAnsiTheme="minorEastAsia" w:eastAsiaTheme="minorEastAsia" w:cstheme="minorEastAsia"/>
          <w:bCs/>
          <w:color w:val="000000" w:themeColor="text1"/>
          <w:szCs w:val="21"/>
          <w14:textFill>
            <w14:solidFill>
              <w14:schemeClr w14:val="tx1"/>
            </w14:solidFill>
          </w14:textFill>
        </w:rPr>
        <w:t>采购</w:t>
      </w:r>
      <w:r>
        <w:rPr>
          <w:rFonts w:asciiTheme="minorEastAsia" w:hAnsiTheme="minorEastAsia" w:eastAsiaTheme="minorEastAsia" w:cstheme="minorEastAsia"/>
          <w:bCs/>
          <w:color w:val="000000" w:themeColor="text1"/>
          <w:szCs w:val="21"/>
          <w14:textFill>
            <w14:solidFill>
              <w14:schemeClr w14:val="tx1"/>
            </w14:solidFill>
          </w14:textFill>
        </w:rPr>
        <w:t>文件规定的其他无效情形。</w:t>
      </w:r>
      <w:bookmarkEnd w:id="284"/>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5" w:name="_Toc2198"/>
      <w:r>
        <w:rPr>
          <w:rFonts w:hint="eastAsia" w:asciiTheme="minorEastAsia" w:hAnsiTheme="minorEastAsia" w:eastAsiaTheme="minorEastAsia" w:cstheme="minorEastAsia"/>
          <w:bCs/>
          <w:color w:val="000000" w:themeColor="text1"/>
          <w:szCs w:val="21"/>
          <w14:textFill>
            <w14:solidFill>
              <w14:schemeClr w14:val="tx1"/>
            </w14:solidFill>
          </w14:textFill>
        </w:rPr>
        <w:t>31、其他法律法规及规章制度认定参加政府采购无效的情形等。</w:t>
      </w:r>
      <w:bookmarkEnd w:id="285"/>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6" w:name="_Toc32075"/>
      <w:r>
        <w:rPr>
          <w:rFonts w:hint="eastAsia" w:asciiTheme="minorEastAsia" w:hAnsiTheme="minorEastAsia" w:eastAsiaTheme="minorEastAsia" w:cstheme="minorEastAsia"/>
          <w:bCs/>
          <w:color w:val="000000" w:themeColor="text1"/>
          <w:szCs w:val="21"/>
          <w14:textFill>
            <w14:solidFill>
              <w14:schemeClr w14:val="tx1"/>
            </w14:solidFill>
          </w14:textFill>
        </w:rPr>
        <w:t>31.1存在恶意串通响应行为的；</w:t>
      </w:r>
      <w:bookmarkEnd w:id="286"/>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7" w:name="_Toc11242"/>
      <w:r>
        <w:rPr>
          <w:rFonts w:hint="eastAsia" w:asciiTheme="minorEastAsia" w:hAnsiTheme="minorEastAsia" w:eastAsiaTheme="minorEastAsia" w:cstheme="minorEastAsia"/>
          <w:bCs/>
          <w:color w:val="000000" w:themeColor="text1"/>
          <w:szCs w:val="21"/>
          <w14:textFill>
            <w14:solidFill>
              <w14:schemeClr w14:val="tx1"/>
            </w14:solidFill>
          </w14:textFill>
        </w:rPr>
        <w:t>31.2参与政府采购活动有不良行为记录且正处于处罚期内并适用于海口行政区域的；</w:t>
      </w:r>
      <w:bookmarkEnd w:id="287"/>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8" w:name="_Toc31812"/>
      <w:r>
        <w:rPr>
          <w:rFonts w:hint="eastAsia" w:asciiTheme="minorEastAsia" w:hAnsiTheme="minorEastAsia" w:eastAsiaTheme="minorEastAsia" w:cstheme="minorEastAsia"/>
          <w:bCs/>
          <w:color w:val="000000" w:themeColor="text1"/>
          <w:szCs w:val="21"/>
          <w14:textFill>
            <w14:solidFill>
              <w14:schemeClr w14:val="tx1"/>
            </w14:solidFill>
          </w14:textFill>
        </w:rPr>
        <w:t>31.3企业在经营活动中存在不诚信记录且正处于处罚期内并适用于海口行政区域政府采购领域的；</w:t>
      </w:r>
      <w:bookmarkEnd w:id="288"/>
    </w:p>
    <w:p>
      <w:pPr>
        <w:tabs>
          <w:tab w:val="left" w:pos="540"/>
        </w:tabs>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89" w:name="_Toc12099"/>
      <w:r>
        <w:rPr>
          <w:rFonts w:hint="eastAsia" w:asciiTheme="minorEastAsia" w:hAnsiTheme="minorEastAsia" w:eastAsiaTheme="minorEastAsia" w:cstheme="minorEastAsia"/>
          <w:bCs/>
          <w:color w:val="000000" w:themeColor="text1"/>
          <w:szCs w:val="21"/>
          <w14:textFill>
            <w14:solidFill>
              <w14:schemeClr w14:val="tx1"/>
            </w14:solidFill>
          </w14:textFill>
        </w:rPr>
        <w:t>31.4其他法律法规及规章制度认定参加政府采购活动无效并适用海口行政区域的情形等。</w:t>
      </w:r>
      <w:bookmarkEnd w:id="289"/>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pPr>
      <w:bookmarkStart w:id="290" w:name="_Toc16399"/>
      <w:r>
        <w:rPr>
          <w:rFonts w:hint="eastAsia" w:asciiTheme="minorEastAsia" w:hAnsiTheme="minorEastAsia" w:eastAsiaTheme="minorEastAsia" w:cstheme="minorEastAsia"/>
          <w:bCs/>
          <w:color w:val="000000" w:themeColor="text1"/>
          <w:szCs w:val="21"/>
          <w14:textFill>
            <w14:solidFill>
              <w14:schemeClr w14:val="tx1"/>
            </w14:solidFill>
          </w14:textFill>
        </w:rPr>
        <w:t>十、适用法律</w:t>
      </w:r>
      <w:bookmarkEnd w:id="290"/>
    </w:p>
    <w:p>
      <w:pPr>
        <w:adjustRightInd w:val="0"/>
        <w:snapToGrid w:val="0"/>
        <w:spacing w:line="360" w:lineRule="auto"/>
        <w:ind w:firstLine="420" w:firstLineChars="200"/>
        <w:outlineLvl w:val="1"/>
        <w:rPr>
          <w:rFonts w:asciiTheme="minorEastAsia" w:hAnsiTheme="minorEastAsia" w:eastAsiaTheme="minorEastAsia" w:cstheme="minorEastAsia"/>
          <w:bCs/>
          <w:color w:val="000000" w:themeColor="text1"/>
          <w:szCs w:val="21"/>
          <w14:textFill>
            <w14:solidFill>
              <w14:schemeClr w14:val="tx1"/>
            </w14:solidFill>
          </w14:textFill>
        </w:rPr>
        <w:sectPr>
          <w:footerReference r:id="rId12" w:type="default"/>
          <w:pgSz w:w="11906" w:h="16838"/>
          <w:pgMar w:top="1440" w:right="1800" w:bottom="1440" w:left="1800" w:header="794" w:footer="992" w:gutter="0"/>
          <w:cols w:space="425" w:num="1"/>
          <w:docGrid w:type="lines" w:linePitch="312" w:charSpace="0"/>
        </w:sectPr>
      </w:pPr>
      <w:bookmarkStart w:id="291" w:name="_Toc3711"/>
      <w:r>
        <w:rPr>
          <w:rFonts w:hint="eastAsia" w:asciiTheme="minorEastAsia" w:hAnsiTheme="minorEastAsia" w:eastAsiaTheme="minorEastAsia" w:cstheme="minorEastAsia"/>
          <w:bCs/>
          <w:color w:val="000000" w:themeColor="text1"/>
          <w:szCs w:val="21"/>
          <w14:textFill>
            <w14:solidFill>
              <w14:schemeClr w14:val="tx1"/>
            </w14:solidFill>
          </w14:textFill>
        </w:rPr>
        <w:t>32、采购人、采购人及供应商的一切采购活动均适用</w:t>
      </w:r>
      <w:r>
        <w:rPr>
          <w:rFonts w:asciiTheme="minorEastAsia" w:hAnsiTheme="minorEastAsia" w:eastAsiaTheme="minorEastAsia" w:cstheme="minorEastAsia"/>
          <w:bCs/>
          <w:color w:val="000000" w:themeColor="text1"/>
          <w:szCs w:val="21"/>
          <w14:textFill>
            <w14:solidFill>
              <w14:schemeClr w14:val="tx1"/>
            </w14:solidFill>
          </w14:textFill>
        </w:rPr>
        <w:t>《中华人民共和国政府采购法》</w:t>
      </w:r>
      <w:r>
        <w:rPr>
          <w:rFonts w:hint="eastAsia" w:asciiTheme="minorEastAsia" w:hAnsiTheme="minorEastAsia" w:eastAsiaTheme="minorEastAsia" w:cstheme="minorEastAsia"/>
          <w:bCs/>
          <w:color w:val="000000" w:themeColor="text1"/>
          <w:szCs w:val="21"/>
          <w14:textFill>
            <w14:solidFill>
              <w14:schemeClr w14:val="tx1"/>
            </w14:solidFill>
          </w14:textFill>
        </w:rPr>
        <w:t>、《政府采购法实施条例》及其配套的法规、规章、政策。</w:t>
      </w:r>
      <w:bookmarkEnd w:id="291"/>
    </w:p>
    <w:p>
      <w:pPr>
        <w:pStyle w:val="6"/>
        <w:adjustRightInd w:val="0"/>
        <w:snapToGrid w:val="0"/>
        <w:spacing w:line="360" w:lineRule="auto"/>
        <w:ind w:firstLine="0"/>
        <w:jc w:val="center"/>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292" w:name="_Toc14994"/>
      <w:bookmarkStart w:id="293" w:name="_Toc26151"/>
      <w:r>
        <w:rPr>
          <w:rFonts w:hint="eastAsia" w:asciiTheme="minorEastAsia" w:hAnsiTheme="minorEastAsia" w:eastAsiaTheme="minorEastAsia" w:cstheme="minorEastAsia"/>
          <w:b/>
          <w:color w:val="000000" w:themeColor="text1"/>
          <w:szCs w:val="21"/>
          <w14:textFill>
            <w14:solidFill>
              <w14:schemeClr w14:val="tx1"/>
            </w14:solidFill>
          </w14:textFill>
        </w:rPr>
        <w:t xml:space="preserve">第四章  </w:t>
      </w:r>
      <w:bookmarkEnd w:id="119"/>
      <w:r>
        <w:rPr>
          <w:rFonts w:hint="eastAsia" w:asciiTheme="minorEastAsia" w:hAnsiTheme="minorEastAsia" w:eastAsiaTheme="minorEastAsia" w:cstheme="minorEastAsia"/>
          <w:b/>
          <w:color w:val="000000" w:themeColor="text1"/>
          <w:szCs w:val="21"/>
          <w14:textFill>
            <w14:solidFill>
              <w14:schemeClr w14:val="tx1"/>
            </w14:solidFill>
          </w14:textFill>
        </w:rPr>
        <w:t>审查标准和</w:t>
      </w:r>
      <w:bookmarkStart w:id="294" w:name="_Toc246826116"/>
      <w:r>
        <w:rPr>
          <w:rFonts w:hint="eastAsia" w:asciiTheme="minorEastAsia" w:hAnsiTheme="minorEastAsia" w:eastAsiaTheme="minorEastAsia" w:cstheme="minorEastAsia"/>
          <w:b/>
          <w:color w:val="000000" w:themeColor="text1"/>
          <w:szCs w:val="21"/>
          <w14:textFill>
            <w14:solidFill>
              <w14:schemeClr w14:val="tx1"/>
            </w14:solidFill>
          </w14:textFill>
        </w:rPr>
        <w:t>评审标准</w:t>
      </w:r>
      <w:bookmarkEnd w:id="292"/>
      <w:bookmarkEnd w:id="293"/>
    </w:p>
    <w:bookmarkEnd w:id="294"/>
    <w:p>
      <w:pPr>
        <w:spacing w:line="360" w:lineRule="auto"/>
        <w:ind w:firstLine="422" w:firstLineChars="200"/>
        <w:outlineLvl w:val="0"/>
        <w:rPr>
          <w:rFonts w:ascii="宋体" w:hAnsi="宋体" w:cs="宋体"/>
          <w:b/>
          <w:color w:val="000000" w:themeColor="text1"/>
          <w:szCs w:val="21"/>
          <w14:textFill>
            <w14:solidFill>
              <w14:schemeClr w14:val="tx1"/>
            </w14:solidFill>
          </w14:textFill>
        </w:rPr>
      </w:pPr>
      <w:bookmarkStart w:id="295" w:name="_Toc17971"/>
      <w:bookmarkStart w:id="296" w:name="_Toc1527"/>
      <w:bookmarkStart w:id="297" w:name="_Toc246826117"/>
      <w:r>
        <w:rPr>
          <w:rFonts w:hint="eastAsia" w:ascii="宋体" w:hAnsi="宋体" w:cs="宋体"/>
          <w:b/>
          <w:color w:val="000000" w:themeColor="text1"/>
          <w:szCs w:val="21"/>
          <w14:textFill>
            <w14:solidFill>
              <w14:schemeClr w14:val="tx1"/>
            </w14:solidFill>
          </w14:textFill>
        </w:rPr>
        <w:t>一、基本要求：</w:t>
      </w:r>
      <w:bookmarkEnd w:id="295"/>
      <w:bookmarkEnd w:id="296"/>
    </w:p>
    <w:p>
      <w:pPr>
        <w:pStyle w:val="6"/>
        <w:snapToGrid w:val="0"/>
        <w:spacing w:line="360" w:lineRule="auto"/>
        <w:ind w:firstLineChars="200"/>
        <w:outlineLvl w:val="0"/>
        <w:rPr>
          <w:rFonts w:ascii="宋体" w:hAnsi="宋体" w:cs="宋体"/>
          <w:bCs/>
          <w:color w:val="000000" w:themeColor="text1"/>
          <w:szCs w:val="21"/>
          <w14:textFill>
            <w14:solidFill>
              <w14:schemeClr w14:val="tx1"/>
            </w14:solidFill>
          </w14:textFill>
        </w:rPr>
      </w:pPr>
      <w:bookmarkStart w:id="298" w:name="_Toc8992"/>
      <w:bookmarkStart w:id="299" w:name="_Toc16695"/>
      <w:r>
        <w:rPr>
          <w:rFonts w:hint="eastAsia" w:ascii="宋体" w:hAnsi="宋体" w:cs="宋体"/>
          <w:bCs/>
          <w:color w:val="000000" w:themeColor="text1"/>
          <w:szCs w:val="21"/>
          <w14:textFill>
            <w14:solidFill>
              <w14:schemeClr w14:val="tx1"/>
            </w14:solidFill>
          </w14:textFill>
        </w:rPr>
        <w:t>（一）资格审查、符合性审查或评审标准中凡涉及到提供针对本项目授权书、承诺书的，均须以原件为准，否则不予认可。</w:t>
      </w:r>
      <w:bookmarkEnd w:id="298"/>
      <w:bookmarkEnd w:id="299"/>
    </w:p>
    <w:p>
      <w:pPr>
        <w:pStyle w:val="6"/>
        <w:snapToGrid w:val="0"/>
        <w:spacing w:line="360" w:lineRule="auto"/>
        <w:ind w:firstLineChars="200"/>
        <w:outlineLvl w:val="0"/>
        <w:rPr>
          <w:rFonts w:ascii="宋体" w:hAnsi="宋体" w:cs="宋体"/>
          <w:bCs/>
          <w:color w:val="000000" w:themeColor="text1"/>
          <w:szCs w:val="21"/>
          <w14:textFill>
            <w14:solidFill>
              <w14:schemeClr w14:val="tx1"/>
            </w14:solidFill>
          </w14:textFill>
        </w:rPr>
      </w:pPr>
      <w:bookmarkStart w:id="300" w:name="_Toc1704"/>
      <w:bookmarkStart w:id="301" w:name="_Toc17162"/>
      <w:r>
        <w:rPr>
          <w:rFonts w:hint="eastAsia" w:ascii="宋体" w:hAnsi="宋体" w:cs="宋体"/>
          <w:bCs/>
          <w:color w:val="000000" w:themeColor="text1"/>
          <w:szCs w:val="21"/>
          <w14:textFill>
            <w14:solidFill>
              <w14:schemeClr w14:val="tx1"/>
            </w14:solidFill>
          </w14:textFill>
        </w:rPr>
        <w:t>（二）资格审查、符合性审查或评审标准中凡涉及到提供合同、报告、证书或认证等证明材料的，须提供清晰可见且在有效期内的复印件并加盖供应商单位公章。如提供的证明材料不清晰或者无法明确证明的将不予认可。如提供的证明材料与原件不一致的，无论是在评审过程中乃至成交后，其响应将以无效响应或取消成交资格论处，并上报政府采购监督管理部门。</w:t>
      </w:r>
      <w:bookmarkEnd w:id="300"/>
      <w:bookmarkEnd w:id="301"/>
    </w:p>
    <w:p>
      <w:pPr>
        <w:snapToGrid w:val="0"/>
        <w:spacing w:line="360" w:lineRule="auto"/>
        <w:ind w:firstLine="420" w:firstLineChars="200"/>
        <w:outlineLvl w:val="0"/>
        <w:rPr>
          <w:rFonts w:ascii="宋体" w:hAnsi="宋体" w:cs="宋体"/>
          <w:b/>
          <w:color w:val="000000" w:themeColor="text1"/>
          <w:szCs w:val="21"/>
          <w14:textFill>
            <w14:solidFill>
              <w14:schemeClr w14:val="tx1"/>
            </w14:solidFill>
          </w14:textFill>
        </w:rPr>
      </w:pPr>
      <w:bookmarkStart w:id="302" w:name="_Toc8780"/>
      <w:bookmarkStart w:id="303" w:name="_Toc30097"/>
      <w:r>
        <w:rPr>
          <w:rFonts w:hint="eastAsia" w:ascii="宋体" w:hAnsi="宋体" w:cs="宋体"/>
          <w:bCs/>
          <w:color w:val="000000" w:themeColor="text1"/>
          <w:szCs w:val="21"/>
          <w14:textFill>
            <w14:solidFill>
              <w14:schemeClr w14:val="tx1"/>
            </w14:solidFill>
          </w14:textFill>
        </w:rPr>
        <w:t>（三）凡小微型企业或视同小微企业参与采购活动的，依照第三章5.1款规定执行。</w:t>
      </w:r>
      <w:bookmarkEnd w:id="302"/>
      <w:bookmarkEnd w:id="303"/>
    </w:p>
    <w:p>
      <w:pPr>
        <w:pStyle w:val="6"/>
        <w:snapToGrid w:val="0"/>
        <w:spacing w:line="360" w:lineRule="auto"/>
        <w:ind w:firstLine="422" w:firstLineChars="200"/>
        <w:outlineLvl w:val="1"/>
        <w:rPr>
          <w:rFonts w:ascii="宋体" w:hAnsi="宋体" w:cs="宋体"/>
          <w:b/>
          <w:color w:val="000000" w:themeColor="text1"/>
          <w:szCs w:val="21"/>
          <w14:textFill>
            <w14:solidFill>
              <w14:schemeClr w14:val="tx1"/>
            </w14:solidFill>
          </w14:textFill>
        </w:rPr>
      </w:pPr>
      <w:bookmarkStart w:id="304" w:name="_Toc32217"/>
      <w:r>
        <w:rPr>
          <w:rFonts w:hint="eastAsia" w:ascii="宋体" w:hAnsi="宋体" w:cs="宋体"/>
          <w:b/>
          <w:color w:val="000000" w:themeColor="text1"/>
          <w:szCs w:val="21"/>
          <w14:textFill>
            <w14:solidFill>
              <w14:schemeClr w14:val="tx1"/>
            </w14:solidFill>
          </w14:textFill>
        </w:rPr>
        <w:t>二、审查标准</w:t>
      </w:r>
      <w:bookmarkEnd w:id="304"/>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305" w:name="_Toc7461"/>
      <w:bookmarkStart w:id="306" w:name="_Toc16727"/>
      <w:r>
        <w:rPr>
          <w:rFonts w:hint="eastAsia" w:ascii="宋体" w:hAnsi="宋体" w:cs="宋体"/>
          <w:bCs/>
          <w:color w:val="000000" w:themeColor="text1"/>
          <w:szCs w:val="21"/>
          <w14:textFill>
            <w14:solidFill>
              <w14:schemeClr w14:val="tx1"/>
            </w14:solidFill>
          </w14:textFill>
        </w:rPr>
        <w:t>1、资格审查表和符合性审查表中所列内容全部审查意见为“合格”，方视为“合格”，其中有一项不合格，将视为不合格供应商。</w:t>
      </w:r>
      <w:bookmarkEnd w:id="305"/>
      <w:bookmarkEnd w:id="306"/>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307" w:name="_Toc28172"/>
      <w:bookmarkStart w:id="308" w:name="_Toc20025"/>
      <w:r>
        <w:rPr>
          <w:rFonts w:hint="eastAsia" w:ascii="宋体" w:hAnsi="宋体" w:cs="宋体"/>
          <w:bCs/>
          <w:color w:val="000000" w:themeColor="text1"/>
          <w:szCs w:val="21"/>
          <w14:textFill>
            <w14:solidFill>
              <w14:schemeClr w14:val="tx1"/>
            </w14:solidFill>
          </w14:textFill>
        </w:rPr>
        <w:t>2、在审查意见汇总的过程中，如存在不同审查意见，则按照少数服从多数的原则做出结论。</w:t>
      </w:r>
      <w:bookmarkEnd w:id="307"/>
      <w:bookmarkEnd w:id="308"/>
    </w:p>
    <w:p>
      <w:pPr>
        <w:snapToGrid w:val="0"/>
        <w:spacing w:line="360" w:lineRule="auto"/>
        <w:ind w:firstLine="420" w:firstLineChars="200"/>
        <w:outlineLvl w:val="0"/>
        <w:rPr>
          <w:rFonts w:ascii="宋体" w:hAnsi="宋体" w:cs="宋体"/>
          <w:bCs/>
          <w:color w:val="000000" w:themeColor="text1"/>
          <w:szCs w:val="21"/>
          <w14:textFill>
            <w14:solidFill>
              <w14:schemeClr w14:val="tx1"/>
            </w14:solidFill>
          </w14:textFill>
        </w:rPr>
      </w:pPr>
      <w:bookmarkStart w:id="309" w:name="_Toc7629"/>
      <w:bookmarkStart w:id="310" w:name="_Toc30036"/>
      <w:r>
        <w:rPr>
          <w:rFonts w:hint="eastAsia" w:ascii="宋体" w:hAnsi="宋体" w:cs="宋体"/>
          <w:bCs/>
          <w:color w:val="000000" w:themeColor="text1"/>
          <w:szCs w:val="21"/>
          <w14:textFill>
            <w14:solidFill>
              <w14:schemeClr w14:val="tx1"/>
            </w14:solidFill>
          </w14:textFill>
        </w:rPr>
        <w:t>3、本表格“审查意见”栏默认“√”视为合格标示，“×”视为不合格标示。</w:t>
      </w:r>
      <w:bookmarkEnd w:id="309"/>
      <w:bookmarkEnd w:id="310"/>
    </w:p>
    <w:p>
      <w:pPr>
        <w:snapToGrid w:val="0"/>
        <w:spacing w:line="360" w:lineRule="auto"/>
        <w:ind w:firstLine="211" w:firstLineChars="100"/>
        <w:jc w:val="left"/>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（一）资格审查表</w:t>
      </w:r>
    </w:p>
    <w:tbl>
      <w:tblPr>
        <w:tblStyle w:val="22"/>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650"/>
        <w:gridCol w:w="213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资格审查内容</w:t>
            </w:r>
          </w:p>
        </w:tc>
        <w:tc>
          <w:tcPr>
            <w:tcW w:w="213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1</w:t>
            </w:r>
          </w:p>
        </w:tc>
        <w:tc>
          <w:tcPr>
            <w:tcW w:w="46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具有独立承担民事责任的能力。</w:t>
            </w:r>
          </w:p>
        </w:tc>
        <w:tc>
          <w:tcPr>
            <w:tcW w:w="2130"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pPr>
              <w:snapToGrid w:val="0"/>
              <w:spacing w:line="360" w:lineRule="auto"/>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2</w:t>
            </w:r>
          </w:p>
        </w:tc>
        <w:tc>
          <w:tcPr>
            <w:tcW w:w="465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具有良好的商业信誉和健全的财务会计制度。</w:t>
            </w:r>
          </w:p>
        </w:tc>
        <w:tc>
          <w:tcPr>
            <w:tcW w:w="2130" w:type="dxa"/>
            <w:tcBorders>
              <w:top w:val="single" w:color="auto" w:sz="4" w:space="0"/>
              <w:left w:val="single" w:color="auto" w:sz="4" w:space="0"/>
              <w:right w:val="single" w:color="auto" w:sz="4" w:space="0"/>
            </w:tcBorders>
            <w:noWrap/>
            <w:vAlign w:val="center"/>
          </w:tcPr>
          <w:p>
            <w:pPr>
              <w:snapToGrid w:val="0"/>
              <w:spacing w:line="360" w:lineRule="auto"/>
              <w:jc w:val="left"/>
              <w:rPr>
                <w:rFonts w:ascii="宋体" w:hAnsi="宋体" w:cs="宋体"/>
                <w:bCs/>
                <w:color w:val="000000" w:themeColor="text1"/>
                <w:kern w:val="0"/>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7"/>
              <w:spacing w:line="360" w:lineRule="auto"/>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szCs w:val="21"/>
                <w:lang w:val="zh-CN"/>
                <w14:textFill>
                  <w14:solidFill>
                    <w14:schemeClr w14:val="tx1"/>
                  </w14:solidFill>
                </w14:textFill>
              </w:rPr>
              <w:t>有依法缴纳税收和社会保障资金的良好记录。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pacing w:line="360" w:lineRule="auto"/>
              <w:rPr>
                <w:rFonts w:ascii="宋体" w:hAnsi="宋体" w:cs="宋体"/>
                <w:bCs/>
                <w:color w:val="000000" w:themeColor="text1"/>
                <w:szCs w:val="21"/>
                <w:lang w:val="zh-CN"/>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4</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参加政府采购活动前三年内，在经营活动中没有重大违法记录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5</w:t>
            </w:r>
          </w:p>
        </w:tc>
        <w:tc>
          <w:tcPr>
            <w:tcW w:w="465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jc w:val="both"/>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未被“信用中国”列入失信被执行人和重大税收违法失信主体名单、未被中国政府采购网列入政府采购严重违法失信行为记录名单</w:t>
            </w:r>
          </w:p>
        </w:tc>
        <w:tc>
          <w:tcPr>
            <w:tcW w:w="2130" w:type="dxa"/>
            <w:tcBorders>
              <w:top w:val="single" w:color="auto" w:sz="4" w:space="0"/>
              <w:left w:val="single" w:color="auto" w:sz="4" w:space="0"/>
              <w:bottom w:val="single" w:color="auto" w:sz="4" w:space="0"/>
              <w:right w:val="single" w:color="auto" w:sz="4" w:space="0"/>
            </w:tcBorders>
            <w:noWrap/>
            <w:vAlign w:val="center"/>
          </w:tcPr>
          <w:p>
            <w:pPr>
              <w:pStyle w:val="7"/>
              <w:snapToGrid w:val="0"/>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kern w:val="0"/>
                <w:szCs w:val="21"/>
                <w:lang w:val="zh-CN"/>
                <w14:textFill>
                  <w14:solidFill>
                    <w14:schemeClr w14:val="tx1"/>
                  </w14:solidFill>
                </w14:textFill>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firstLine="420" w:firstLineChars="200"/>
              <w:jc w:val="center"/>
              <w:rPr>
                <w:rFonts w:ascii="宋体" w:hAnsi="宋体" w:cs="宋体"/>
                <w:bCs/>
                <w:color w:val="000000" w:themeColor="text1"/>
                <w:szCs w:val="21"/>
                <w14:textFill>
                  <w14:solidFill>
                    <w14:schemeClr w14:val="tx1"/>
                  </w14:solidFill>
                </w14:textFill>
              </w:rPr>
            </w:pPr>
          </w:p>
        </w:tc>
      </w:tr>
    </w:tbl>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pStyle w:val="36"/>
        <w:ind w:firstLine="0" w:firstLineChars="0"/>
        <w:rPr>
          <w:rFonts w:asciiTheme="minorEastAsia" w:hAnsiTheme="minorEastAsia" w:eastAsiaTheme="minorEastAsia" w:cstheme="minorEastAsia"/>
          <w:b/>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（二）符合性审查表</w:t>
      </w:r>
    </w:p>
    <w:tbl>
      <w:tblPr>
        <w:tblStyle w:val="22"/>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4260"/>
        <w:gridCol w:w="25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序号</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符合性审查内容</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响应文件的有效性、完整性。</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服务期限。</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质量标准。</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报价。</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6</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cstheme="minorEastAsia"/>
                <w:bCs/>
                <w:color w:val="000000" w:themeColor="text1"/>
                <w:szCs w:val="21"/>
                <w14:textFill>
                  <w14:solidFill>
                    <w14:schemeClr w14:val="tx1"/>
                  </w14:solidFill>
                </w14:textFill>
              </w:rPr>
            </w:pPr>
            <w:r>
              <w:rPr>
                <w:rFonts w:hint="eastAsia" w:asciiTheme="minorEastAsia" w:hAnsiTheme="minorEastAsia" w:cstheme="minorEastAsia"/>
                <w:bCs/>
                <w:color w:val="000000" w:themeColor="text1"/>
                <w:szCs w:val="21"/>
                <w14:textFill>
                  <w14:solidFill>
                    <w14:schemeClr w14:val="tx1"/>
                  </w14:solidFill>
                </w14:textFill>
              </w:rPr>
              <w:t>响应有效期</w:t>
            </w:r>
          </w:p>
        </w:tc>
        <w:tc>
          <w:tcPr>
            <w:tcW w:w="253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7</w:t>
            </w:r>
          </w:p>
        </w:tc>
        <w:tc>
          <w:tcPr>
            <w:tcW w:w="426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采购比选文件规定的其它条件</w:t>
            </w:r>
          </w:p>
        </w:tc>
        <w:tc>
          <w:tcPr>
            <w:tcW w:w="253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tc>
      </w:tr>
    </w:tbl>
    <w:p>
      <w:pPr>
        <w:pStyle w:val="10"/>
        <w:ind w:left="0" w:leftChars="0" w:firstLine="0" w:firstLineChars="0"/>
        <w:rPr>
          <w:color w:val="000000" w:themeColor="text1"/>
          <w14:textFill>
            <w14:solidFill>
              <w14:schemeClr w14:val="tx1"/>
            </w14:solidFill>
          </w14:textFill>
        </w:rPr>
      </w:pPr>
    </w:p>
    <w:bookmarkEnd w:id="297"/>
    <w:p>
      <w:pPr>
        <w:adjustRightInd w:val="0"/>
        <w:snapToGrid w:val="0"/>
        <w:spacing w:line="360" w:lineRule="auto"/>
        <w:outlineLvl w:val="1"/>
        <w:rPr>
          <w:rFonts w:asciiTheme="minorEastAsia" w:hAnsiTheme="minorEastAsia" w:eastAsiaTheme="minorEastAsia" w:cstheme="minorEastAsia"/>
          <w:b/>
          <w:szCs w:val="21"/>
        </w:rPr>
      </w:pPr>
      <w:bookmarkStart w:id="311" w:name="_Toc23194"/>
      <w:bookmarkStart w:id="312" w:name="_Toc246826118"/>
      <w:r>
        <w:rPr>
          <w:rFonts w:hint="eastAsia" w:asciiTheme="minorEastAsia" w:hAnsiTheme="minorEastAsia" w:eastAsiaTheme="minorEastAsia" w:cstheme="minorEastAsia"/>
          <w:b/>
          <w:szCs w:val="21"/>
        </w:rPr>
        <w:t>三、评审标准</w:t>
      </w:r>
      <w:bookmarkEnd w:id="311"/>
    </w:p>
    <w:p>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313" w:name="_Toc14065"/>
      <w:r>
        <w:rPr>
          <w:rFonts w:hint="eastAsia" w:asciiTheme="minorEastAsia" w:hAnsiTheme="minorEastAsia" w:eastAsiaTheme="minorEastAsia" w:cstheme="minorEastAsia"/>
          <w:b/>
          <w:szCs w:val="21"/>
        </w:rPr>
        <w:t>（一）评审方法及评审结果排列顺序规定如下：</w:t>
      </w:r>
      <w:bookmarkEnd w:id="313"/>
    </w:p>
    <w:p>
      <w:pPr>
        <w:pStyle w:val="7"/>
        <w:spacing w:line="360" w:lineRule="auto"/>
        <w:ind w:firstLine="420" w:firstLineChars="200"/>
        <w:jc w:val="both"/>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本项目采用综合评分法，评审结果按评审后得分由高到低顺序排列。得分相同的，按响应报价由低到高顺序排列。得分且响应报价相同的并列或者评审委员会根据响应情况推荐评审结果排列顺序或予以授标建议。</w:t>
      </w:r>
    </w:p>
    <w:p>
      <w:pPr>
        <w:numPr>
          <w:ilvl w:val="0"/>
          <w:numId w:val="2"/>
        </w:numPr>
        <w:adjustRightInd w:val="0"/>
        <w:snapToGrid w:val="0"/>
        <w:spacing w:line="360" w:lineRule="auto"/>
        <w:ind w:firstLine="422"/>
        <w:outlineLvl w:val="1"/>
        <w:rPr>
          <w:rFonts w:asciiTheme="minorEastAsia" w:hAnsiTheme="minorEastAsia" w:eastAsiaTheme="minorEastAsia" w:cstheme="minorEastAsia"/>
          <w:b/>
          <w:szCs w:val="21"/>
        </w:rPr>
      </w:pPr>
      <w:bookmarkStart w:id="314" w:name="_Toc17636"/>
      <w:r>
        <w:rPr>
          <w:rFonts w:hint="eastAsia" w:asciiTheme="minorEastAsia" w:hAnsiTheme="minorEastAsia" w:eastAsiaTheme="minorEastAsia" w:cstheme="minorEastAsia"/>
          <w:b/>
          <w:szCs w:val="21"/>
        </w:rPr>
        <w:t>评审因素及分值分配</w:t>
      </w:r>
      <w:bookmarkEnd w:id="314"/>
    </w:p>
    <w:tbl>
      <w:tblPr>
        <w:tblStyle w:val="22"/>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评审因素</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技术商务</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价格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分值</w:t>
            </w:r>
          </w:p>
        </w:tc>
        <w:tc>
          <w:tcPr>
            <w:tcW w:w="286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90分</w:t>
            </w:r>
          </w:p>
        </w:tc>
        <w:tc>
          <w:tcPr>
            <w:tcW w:w="291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s="宋体"/>
                <w:bCs/>
                <w:szCs w:val="21"/>
              </w:rPr>
            </w:pPr>
            <w:r>
              <w:rPr>
                <w:rFonts w:hint="eastAsia" w:ascii="宋体" w:hAnsi="宋体" w:cs="宋体"/>
                <w:bCs/>
                <w:szCs w:val="21"/>
              </w:rPr>
              <w:t>10分</w:t>
            </w:r>
          </w:p>
        </w:tc>
      </w:tr>
    </w:tbl>
    <w:p>
      <w:pPr>
        <w:adjustRightInd w:val="0"/>
        <w:snapToGrid w:val="0"/>
        <w:spacing w:line="360" w:lineRule="auto"/>
        <w:ind w:firstLine="422" w:firstLineChars="200"/>
        <w:outlineLvl w:val="1"/>
        <w:rPr>
          <w:rFonts w:asciiTheme="minorEastAsia" w:hAnsiTheme="minorEastAsia" w:eastAsiaTheme="minorEastAsia" w:cstheme="minorEastAsia"/>
          <w:b/>
          <w:szCs w:val="21"/>
        </w:rPr>
      </w:pPr>
      <w:bookmarkStart w:id="315" w:name="_Toc24721"/>
      <w:r>
        <w:rPr>
          <w:rFonts w:hint="eastAsia" w:asciiTheme="minorEastAsia" w:hAnsiTheme="minorEastAsia" w:eastAsiaTheme="minorEastAsia" w:cstheme="minorEastAsia"/>
          <w:b/>
          <w:szCs w:val="21"/>
        </w:rPr>
        <w:t>（三）响应报价的评审要求</w:t>
      </w:r>
      <w:bookmarkEnd w:id="315"/>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316" w:name="_Toc29099"/>
      <w:r>
        <w:rPr>
          <w:rFonts w:hint="eastAsia" w:asciiTheme="minorEastAsia" w:hAnsiTheme="minorEastAsia" w:eastAsiaTheme="minorEastAsia" w:cstheme="minorEastAsia"/>
          <w:bCs/>
          <w:szCs w:val="21"/>
        </w:rPr>
        <w:t>1、价格核准：评审委员会对符合性审查合格的供应商的响应报价明细进行复核，看其是否有计算错误，如有则按供应商须知有关规定修正或澄清。</w:t>
      </w:r>
      <w:bookmarkEnd w:id="316"/>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317" w:name="_Toc13294"/>
      <w:r>
        <w:rPr>
          <w:rFonts w:hint="eastAsia" w:asciiTheme="minorEastAsia" w:hAnsiTheme="minorEastAsia" w:eastAsiaTheme="minorEastAsia" w:cstheme="minorEastAsia"/>
          <w:bCs/>
          <w:szCs w:val="21"/>
        </w:rPr>
        <w:t>2、价格评审：</w:t>
      </w:r>
      <w:bookmarkEnd w:id="317"/>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318" w:name="_Toc4992"/>
      <w:r>
        <w:rPr>
          <w:rFonts w:hint="eastAsia" w:asciiTheme="minorEastAsia" w:hAnsiTheme="minorEastAsia" w:eastAsiaTheme="minorEastAsia" w:cstheme="minorEastAsia"/>
          <w:bCs/>
          <w:szCs w:val="21"/>
        </w:rPr>
        <w:t>综合评分法，价格分统一采用低价优先法计算，即满足采购比选文件要求（通过资格审查和符合性审查）且评审价(指修正及价格扣除后的价格，下同)最低的为评审基准价，其价格分为满分。其他供应商的价格分统一按照下列公式计算：</w:t>
      </w:r>
      <w:bookmarkEnd w:id="318"/>
    </w:p>
    <w:p>
      <w:pPr>
        <w:adjustRightInd w:val="0"/>
        <w:snapToGrid w:val="0"/>
        <w:spacing w:line="360" w:lineRule="auto"/>
        <w:ind w:firstLine="420" w:firstLineChars="200"/>
        <w:outlineLvl w:val="1"/>
        <w:rPr>
          <w:rFonts w:asciiTheme="minorEastAsia" w:hAnsiTheme="minorEastAsia" w:eastAsiaTheme="minorEastAsia" w:cstheme="minorEastAsia"/>
          <w:bCs/>
          <w:szCs w:val="21"/>
        </w:rPr>
      </w:pPr>
      <w:bookmarkStart w:id="319" w:name="_Toc27053"/>
      <w:r>
        <w:rPr>
          <w:rFonts w:hint="eastAsia" w:asciiTheme="minorEastAsia" w:hAnsiTheme="minorEastAsia" w:eastAsiaTheme="minorEastAsia" w:cstheme="minorEastAsia"/>
          <w:bCs/>
          <w:szCs w:val="21"/>
        </w:rPr>
        <w:t>价格评分=（评审基准价／评审价）×价格分值</w:t>
      </w:r>
      <w:bookmarkEnd w:id="319"/>
    </w:p>
    <w:p>
      <w:pPr>
        <w:adjustRightInd w:val="0"/>
        <w:snapToGrid w:val="0"/>
        <w:spacing w:line="360" w:lineRule="auto"/>
        <w:ind w:firstLine="561"/>
        <w:outlineLvl w:val="1"/>
        <w:rPr>
          <w:rFonts w:asciiTheme="minorEastAsia" w:hAnsiTheme="minorEastAsia" w:eastAsiaTheme="minorEastAsia" w:cstheme="minorEastAsia"/>
          <w:b/>
          <w:szCs w:val="21"/>
        </w:rPr>
      </w:pPr>
      <w:bookmarkStart w:id="320" w:name="_Toc3512"/>
      <w:r>
        <w:rPr>
          <w:rFonts w:hint="eastAsia" w:asciiTheme="minorEastAsia" w:hAnsiTheme="minorEastAsia" w:eastAsiaTheme="minorEastAsia" w:cstheme="minorEastAsia"/>
          <w:b/>
          <w:szCs w:val="21"/>
        </w:rPr>
        <w:t>（四）评审细则</w:t>
      </w:r>
      <w:bookmarkEnd w:id="320"/>
    </w:p>
    <w:tbl>
      <w:tblPr>
        <w:tblStyle w:val="22"/>
        <w:tblW w:w="54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2202"/>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Cs w:val="21"/>
              </w:rPr>
            </w:pPr>
            <w:r>
              <w:rPr>
                <w:rFonts w:hint="eastAsia" w:ascii="宋体" w:hAnsi="宋体" w:cs="宋体"/>
                <w:b/>
                <w:szCs w:val="21"/>
              </w:rPr>
              <w:t>条款号</w:t>
            </w: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Cs w:val="21"/>
              </w:rPr>
            </w:pPr>
            <w:r>
              <w:rPr>
                <w:rFonts w:hint="eastAsia" w:ascii="宋体" w:hAnsi="宋体" w:cs="宋体"/>
                <w:b/>
                <w:szCs w:val="21"/>
              </w:rPr>
              <w:t>评审因素</w:t>
            </w:r>
          </w:p>
        </w:tc>
        <w:tc>
          <w:tcPr>
            <w:tcW w:w="603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szCs w:val="21"/>
              </w:rPr>
            </w:pPr>
            <w:r>
              <w:rPr>
                <w:rFonts w:hint="eastAsia" w:ascii="宋体" w:hAnsi="宋体" w:cs="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分值构成</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(总分100分)</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价格评审</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asciiTheme="minorEastAsia" w:hAnsiTheme="minorEastAsia" w:eastAsiaTheme="minorEastAsia" w:cstheme="minorEastAsia"/>
                <w:szCs w:val="21"/>
              </w:rPr>
              <w:t>4</w:t>
            </w:r>
            <w:r>
              <w:rPr>
                <w:rFonts w:hint="eastAsia" w:asciiTheme="minorEastAsia" w:hAnsiTheme="minorEastAsia" w:eastAsiaTheme="minorEastAsia" w:cstheme="minorEastAsia"/>
                <w:szCs w:val="21"/>
                <w:u w:val="single"/>
              </w:rPr>
              <w:t>5</w:t>
            </w:r>
            <w:r>
              <w:rPr>
                <w:rFonts w:hint="eastAsia" w:asciiTheme="minorEastAsia" w:hAnsiTheme="minorEastAsia" w:eastAsiaTheme="minorEastAsia" w:cstheme="minorEastAsia"/>
                <w:szCs w:val="21"/>
              </w:rPr>
              <w:t>分</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asciiTheme="minorEastAsia" w:hAnsiTheme="minorEastAsia" w:eastAsiaTheme="minorEastAsia" w:cstheme="minorEastAsia"/>
                <w:szCs w:val="21"/>
                <w:u w:val="single"/>
              </w:rPr>
              <w:t>4</w:t>
            </w:r>
            <w:r>
              <w:rPr>
                <w:rFonts w:hint="eastAsia" w:asciiTheme="minorEastAsia" w:hAnsiTheme="minorEastAsia" w:eastAsiaTheme="minorEastAsia" w:cstheme="minorEastAsia"/>
                <w:szCs w:val="21"/>
                <w:u w:val="single"/>
              </w:rPr>
              <w:t>5</w:t>
            </w:r>
            <w:r>
              <w:rPr>
                <w:rFonts w:hint="eastAsia" w:asciiTheme="minorEastAsia" w:hAnsiTheme="minorEastAsia" w:eastAsiaTheme="minorEastAsia" w:cs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价格评审</w:t>
            </w:r>
          </w:p>
          <w:p>
            <w:pPr>
              <w:jc w:val="center"/>
              <w:rPr>
                <w:rFonts w:asciiTheme="minorEastAsia" w:hAnsiTheme="minorEastAsia" w:eastAsiaTheme="minorEastAsia" w:cstheme="minorEastAsia"/>
                <w:szCs w:val="21"/>
              </w:rPr>
            </w:pPr>
            <w:r>
              <w:rPr>
                <w:rFonts w:hint="eastAsia" w:ascii="宋体" w:hAnsi="宋体" w:cs="宋体"/>
                <w:color w:val="000000"/>
                <w:kern w:val="0"/>
                <w:szCs w:val="21"/>
              </w:rPr>
              <w:t>（10分）</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响应报价得分以满分</w:t>
            </w:r>
            <w:r>
              <w:rPr>
                <w:rFonts w:hint="eastAsia" w:asciiTheme="minorEastAsia" w:hAnsiTheme="minorEastAsia" w:eastAsiaTheme="minorEastAsia" w:cstheme="minorEastAsia"/>
                <w:szCs w:val="21"/>
                <w:u w:val="single"/>
              </w:rPr>
              <w:t>10分</w:t>
            </w:r>
            <w:r>
              <w:rPr>
                <w:rFonts w:hint="eastAsia" w:asciiTheme="minorEastAsia" w:hAnsiTheme="minorEastAsia" w:eastAsiaTheme="minorEastAsia" w:cstheme="minorEastAsia"/>
                <w:szCs w:val="21"/>
              </w:rPr>
              <w:t>计算。满足比选文件要求且响应报价最低的响应报价为评审基准价，其价格分为满分。其他供应商的价格分统一按照下列公式计算：</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响应报价得分=（评审基准价/响应报价）×10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2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技术部分</w:t>
            </w:r>
          </w:p>
          <w:p>
            <w:pPr>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5分）</w:t>
            </w:r>
          </w:p>
          <w:p>
            <w:pPr>
              <w:jc w:val="center"/>
              <w:rPr>
                <w:rFonts w:ascii="宋体" w:hAnsi="宋体" w:cs="宋体"/>
                <w:szCs w:val="21"/>
              </w:rPr>
            </w:pPr>
          </w:p>
        </w:tc>
        <w:tc>
          <w:tcPr>
            <w:tcW w:w="2200" w:type="dxa"/>
            <w:tcBorders>
              <w:top w:val="single" w:color="auto" w:sz="4" w:space="0"/>
              <w:left w:val="single" w:color="auto" w:sz="4" w:space="0"/>
              <w:bottom w:val="nil"/>
              <w:right w:val="single" w:color="auto" w:sz="4" w:space="0"/>
            </w:tcBorders>
            <w:noWrap/>
            <w:vAlign w:val="center"/>
          </w:tcPr>
          <w:p>
            <w:pPr>
              <w:jc w:val="center"/>
              <w:rPr>
                <w:rFonts w:ascii="宋体" w:hAnsi="宋体" w:cs="宋体"/>
                <w:szCs w:val="21"/>
              </w:rPr>
            </w:pPr>
            <w:r>
              <w:rPr>
                <w:rFonts w:hint="eastAsia" w:ascii="宋体" w:hAnsi="宋体" w:cs="宋体"/>
                <w:color w:val="000000"/>
                <w:kern w:val="0"/>
                <w:szCs w:val="21"/>
              </w:rPr>
              <w:t xml:space="preserve"> 总体服务方案（18分）</w:t>
            </w:r>
          </w:p>
        </w:tc>
        <w:tc>
          <w:tcPr>
            <w:tcW w:w="6031" w:type="dxa"/>
            <w:tcBorders>
              <w:top w:val="single" w:color="auto" w:sz="4" w:space="0"/>
              <w:left w:val="single" w:color="auto" w:sz="4" w:space="0"/>
              <w:bottom w:val="nil"/>
              <w:right w:val="single" w:color="auto" w:sz="4" w:space="0"/>
            </w:tcBorders>
            <w:noWrap/>
            <w:vAlign w:val="center"/>
          </w:tcPr>
          <w:p>
            <w:pPr>
              <w:rPr>
                <w:rFonts w:ascii="宋体" w:hAnsi="宋体" w:cs="宋体"/>
                <w:kern w:val="0"/>
                <w:szCs w:val="21"/>
              </w:rPr>
            </w:pPr>
            <w:r>
              <w:rPr>
                <w:rFonts w:hint="eastAsia" w:ascii="宋体" w:hAnsi="宋体" w:cs="宋体"/>
                <w:kern w:val="0"/>
                <w:szCs w:val="21"/>
              </w:rPr>
              <w:t>需结合本项目采购需求实际情况提供项目实施方案，内容至少包括:1、对项目的理解2、</w:t>
            </w:r>
            <w:r>
              <w:rPr>
                <w:rFonts w:hint="eastAsia"/>
              </w:rPr>
              <w:t>实施参考依据3、总体技术方案实施流程4、</w:t>
            </w:r>
            <w:r>
              <w:rPr>
                <w:rFonts w:hint="eastAsia" w:ascii="宋体" w:hAnsi="宋体" w:cs="宋体"/>
                <w:color w:val="000000"/>
                <w:kern w:val="0"/>
                <w:szCs w:val="21"/>
              </w:rPr>
              <w:t>重难点分析及对策5</w:t>
            </w:r>
            <w:r>
              <w:rPr>
                <w:rFonts w:hint="eastAsia"/>
              </w:rPr>
              <w:t>、模型建立6、信号覆盖及质量分析</w:t>
            </w:r>
          </w:p>
          <w:p>
            <w:pPr>
              <w:rPr>
                <w:rFonts w:ascii="宋体" w:hAnsi="宋体" w:cs="宋体"/>
                <w:kern w:val="0"/>
                <w:szCs w:val="21"/>
              </w:rPr>
            </w:pPr>
            <w:r>
              <w:rPr>
                <w:rFonts w:hint="eastAsia" w:ascii="宋体" w:hAnsi="宋体" w:cs="宋体"/>
                <w:kern w:val="0"/>
                <w:szCs w:val="21"/>
              </w:rPr>
              <w:t>上述内容满分18分;每有一项缺项的扣3分，每有一处内容在不足的扣1.5分，每项最多扣3分，扣完为止。</w:t>
            </w:r>
            <w:r>
              <w:commentReference w:id="6"/>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28" w:type="dxa"/>
            <w:vMerge w:val="continue"/>
            <w:tcBorders>
              <w:left w:val="single" w:color="auto" w:sz="4" w:space="0"/>
              <w:right w:val="single" w:color="auto" w:sz="4" w:space="0"/>
            </w:tcBorders>
            <w:noWrap/>
            <w:vAlign w:val="center"/>
          </w:tcPr>
          <w:p>
            <w:pPr>
              <w:jc w:val="center"/>
              <w:rPr>
                <w:rFonts w:ascii="宋体" w:hAnsi="宋体" w:cs="宋体"/>
                <w:szCs w:val="21"/>
              </w:rPr>
            </w:pP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计划安排及服务保障措施（18分）</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Cs w:val="21"/>
              </w:rPr>
            </w:pPr>
            <w:r>
              <w:rPr>
                <w:rFonts w:hint="eastAsia" w:ascii="宋体" w:hAnsi="宋体" w:cs="宋体"/>
                <w:color w:val="000000"/>
                <w:kern w:val="0"/>
                <w:szCs w:val="21"/>
              </w:rPr>
              <w:t>1、总体进度计划安排合理，关键节点定位准确得3分。计划安排不合理，关键节点划分不清晰该项不得分。</w:t>
            </w:r>
          </w:p>
          <w:p>
            <w:pPr>
              <w:rPr>
                <w:rFonts w:ascii="宋体" w:hAnsi="宋体" w:cs="宋体"/>
                <w:color w:val="000000"/>
                <w:kern w:val="0"/>
                <w:szCs w:val="21"/>
              </w:rPr>
            </w:pPr>
            <w:r>
              <w:rPr>
                <w:rFonts w:hint="eastAsia" w:ascii="宋体" w:hAnsi="宋体" w:cs="宋体"/>
                <w:color w:val="000000"/>
                <w:kern w:val="0"/>
                <w:szCs w:val="21"/>
              </w:rPr>
              <w:t>2、服务保障措施得当，统筹考虑相关协调服务工作。内容至少应包含：（1）技术准备（2）物资准备（3）人员准备（4）</w:t>
            </w:r>
            <w:r>
              <w:t>技术交底</w:t>
            </w:r>
            <w:r>
              <w:rPr>
                <w:rFonts w:hint="eastAsia"/>
              </w:rPr>
              <w:t>（5）</w:t>
            </w:r>
            <w:r>
              <w:t>预防措施</w:t>
            </w:r>
            <w:r>
              <w:rPr>
                <w:rFonts w:hint="eastAsia" w:ascii="宋体" w:hAnsi="宋体" w:cs="宋体"/>
                <w:color w:val="000000"/>
                <w:kern w:val="0"/>
                <w:szCs w:val="21"/>
              </w:rPr>
              <w:t>。该项满分为15分，</w:t>
            </w:r>
            <w:r>
              <w:rPr>
                <w:rFonts w:hint="eastAsia" w:ascii="宋体" w:hAnsi="宋体" w:cs="宋体"/>
                <w:kern w:val="0"/>
                <w:szCs w:val="21"/>
              </w:rPr>
              <w:t>每一小项缺项的扣3分，每有一处内容在不足的扣1.5分，扣完为止。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128" w:type="dxa"/>
            <w:vMerge w:val="continue"/>
            <w:tcBorders>
              <w:left w:val="single" w:color="auto" w:sz="4" w:space="0"/>
              <w:right w:val="single" w:color="auto" w:sz="4" w:space="0"/>
            </w:tcBorders>
            <w:noWrap/>
            <w:vAlign w:val="center"/>
          </w:tcPr>
          <w:p>
            <w:pPr>
              <w:jc w:val="center"/>
              <w:rPr>
                <w:rFonts w:ascii="宋体" w:hAnsi="宋体" w:cs="宋体"/>
                <w:szCs w:val="21"/>
              </w:rPr>
            </w:pP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质量保证措施（9分）</w:t>
            </w:r>
          </w:p>
        </w:tc>
        <w:tc>
          <w:tcPr>
            <w:tcW w:w="6031" w:type="dxa"/>
            <w:tcBorders>
              <w:top w:val="single" w:color="auto" w:sz="4" w:space="0"/>
              <w:left w:val="single" w:color="auto" w:sz="4" w:space="0"/>
              <w:bottom w:val="single" w:color="auto" w:sz="4" w:space="0"/>
              <w:right w:val="single" w:color="auto" w:sz="4" w:space="0"/>
            </w:tcBorders>
            <w:noWrap/>
            <w:vAlign w:val="center"/>
          </w:tcPr>
          <w:p>
            <w:pPr>
              <w:rPr>
                <w:bCs/>
              </w:rPr>
            </w:pPr>
            <w:r>
              <w:rPr>
                <w:rFonts w:hint="eastAsia" w:ascii="宋体" w:hAnsi="宋体" w:cs="宋体"/>
                <w:color w:val="000000"/>
                <w:kern w:val="0"/>
                <w:szCs w:val="21"/>
              </w:rPr>
              <w:t>评估工作有完整可靠的质量保证措施，符合项目要求、科学合理。内容应包含：</w:t>
            </w:r>
            <w:r>
              <w:rPr>
                <w:rFonts w:hint="eastAsia"/>
                <w:bCs/>
              </w:rPr>
              <w:t>1、</w:t>
            </w:r>
            <w:r>
              <w:rPr>
                <w:bCs/>
              </w:rPr>
              <w:t>事前控制</w:t>
            </w:r>
            <w:r>
              <w:rPr>
                <w:rFonts w:hint="eastAsia"/>
                <w:bCs/>
              </w:rPr>
              <w:t>2、</w:t>
            </w:r>
            <w:r>
              <w:rPr>
                <w:bCs/>
              </w:rPr>
              <w:t>事中控制</w:t>
            </w:r>
            <w:r>
              <w:rPr>
                <w:rFonts w:hint="eastAsia"/>
                <w:bCs/>
              </w:rPr>
              <w:t>3、</w:t>
            </w:r>
            <w:r>
              <w:rPr>
                <w:bCs/>
              </w:rPr>
              <w:t>事后控制</w:t>
            </w:r>
            <w:r>
              <w:rPr>
                <w:rFonts w:hint="eastAsia"/>
                <w:bCs/>
              </w:rPr>
              <w:t>。</w:t>
            </w:r>
          </w:p>
          <w:p>
            <w:pPr>
              <w:rPr>
                <w:rFonts w:ascii="宋体" w:hAnsi="宋体" w:cs="宋体"/>
                <w:color w:val="000000"/>
                <w:kern w:val="0"/>
                <w:szCs w:val="21"/>
              </w:rPr>
            </w:pPr>
            <w:r>
              <w:rPr>
                <w:rFonts w:hint="eastAsia" w:ascii="宋体" w:hAnsi="宋体" w:cs="宋体"/>
                <w:kern w:val="0"/>
                <w:szCs w:val="21"/>
              </w:rPr>
              <w:t>上述内容满分9分;每有一项缺项的扣3分，每有一处内容存在不足的扣1.5分，每项最多扣3分，扣完为止。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28"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商务部分</w:t>
            </w:r>
          </w:p>
          <w:p>
            <w:pPr>
              <w:jc w:val="center"/>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5分）</w:t>
            </w:r>
          </w:p>
          <w:p>
            <w:pPr>
              <w:jc w:val="center"/>
              <w:rPr>
                <w:rFonts w:ascii="宋体" w:hAnsi="宋体" w:cs="宋体"/>
                <w:szCs w:val="21"/>
              </w:rPr>
            </w:pP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color w:val="000000"/>
                <w:kern w:val="0"/>
                <w:szCs w:val="21"/>
              </w:rPr>
              <w:t>企业实力（15分）</w:t>
            </w:r>
          </w:p>
        </w:tc>
        <w:tc>
          <w:tcPr>
            <w:tcW w:w="6031" w:type="dxa"/>
            <w:tcBorders>
              <w:top w:val="single" w:color="auto" w:sz="4" w:space="0"/>
              <w:left w:val="single" w:color="auto" w:sz="4" w:space="0"/>
              <w:bottom w:val="single" w:color="auto" w:sz="4" w:space="0"/>
              <w:right w:val="single" w:color="auto" w:sz="4" w:space="0"/>
            </w:tcBorders>
            <w:noWrap/>
            <w:vAlign w:val="center"/>
          </w:tcPr>
          <w:p>
            <w:pPr>
              <w:jc w:val="left"/>
              <w:rPr>
                <w:rFonts w:ascii="宋体" w:hAnsi="宋体" w:cs="宋体"/>
                <w:color w:val="000000"/>
                <w:kern w:val="0"/>
                <w:szCs w:val="21"/>
              </w:rPr>
            </w:pPr>
            <w:r>
              <w:rPr>
                <w:rFonts w:hint="eastAsia" w:ascii="宋体" w:hAnsi="宋体" w:cs="宋体"/>
                <w:color w:val="000000"/>
                <w:kern w:val="0"/>
                <w:szCs w:val="21"/>
              </w:rPr>
              <w:t>1</w:t>
            </w:r>
            <w:commentRangeStart w:id="7"/>
            <w:commentRangeStart w:id="8"/>
            <w:r>
              <w:rPr>
                <w:rFonts w:hint="eastAsia" w:ascii="宋体" w:hAnsi="宋体" w:cs="宋体"/>
                <w:color w:val="000000"/>
                <w:kern w:val="0"/>
                <w:szCs w:val="21"/>
              </w:rPr>
              <w:t>、具有有效的中国合格评定国家认可委员会（CNAS）颁发的检验机构认可证书，且证书附件所列检验能力至少包括空间信号影响评估相关标准GB6364-2013和MH/T4046-2017，加5分。</w:t>
            </w:r>
          </w:p>
          <w:p>
            <w:pPr>
              <w:jc w:val="left"/>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kern w:val="0"/>
                <w:szCs w:val="21"/>
              </w:rPr>
              <w:tab/>
            </w:r>
            <w:r>
              <w:rPr>
                <w:rFonts w:hint="eastAsia" w:ascii="宋体" w:hAnsi="宋体" w:cs="宋体"/>
                <w:color w:val="000000"/>
                <w:kern w:val="0"/>
                <w:szCs w:val="21"/>
              </w:rPr>
              <w:t>具有中国国家认证认可监督管理委员会颁发的检验检测机构资质认定（CMA）证书，加5分。</w:t>
            </w:r>
            <w:commentRangeEnd w:id="7"/>
            <w:r>
              <w:commentReference w:id="7"/>
            </w:r>
            <w:commentRangeEnd w:id="8"/>
            <w:r>
              <w:rPr>
                <w:rStyle w:val="31"/>
              </w:rPr>
              <w:commentReference w:id="8"/>
            </w:r>
          </w:p>
          <w:p>
            <w:pPr>
              <w:jc w:val="left"/>
              <w:rPr>
                <w:rFonts w:ascii="宋体" w:hAnsi="宋体" w:cs="宋体"/>
                <w:color w:val="000000"/>
                <w:kern w:val="0"/>
                <w:szCs w:val="21"/>
              </w:rPr>
            </w:pPr>
            <w:r>
              <w:rPr>
                <w:rFonts w:hint="eastAsia" w:ascii="宋体" w:hAnsi="宋体" w:cs="宋体"/>
                <w:color w:val="000000"/>
                <w:kern w:val="0"/>
                <w:szCs w:val="21"/>
              </w:rPr>
              <w:t>3、</w:t>
            </w:r>
            <w:commentRangeStart w:id="9"/>
            <w:r>
              <w:rPr>
                <w:rFonts w:hint="eastAsia" w:ascii="宋体" w:hAnsi="宋体" w:cs="宋体"/>
                <w:color w:val="000000"/>
                <w:kern w:val="0"/>
                <w:szCs w:val="21"/>
              </w:rPr>
              <w:t>具备省部级的</w:t>
            </w:r>
            <w:bookmarkStart w:id="321" w:name="_Hlk166155640"/>
            <w:r>
              <w:rPr>
                <w:rFonts w:hint="eastAsia" w:ascii="宋体" w:hAnsi="宋体" w:cs="宋体"/>
                <w:color w:val="000000"/>
                <w:kern w:val="0"/>
                <w:szCs w:val="21"/>
              </w:rPr>
              <w:t>民航空管设备测试评估</w:t>
            </w:r>
            <w:bookmarkEnd w:id="321"/>
            <w:r>
              <w:rPr>
                <w:rFonts w:hint="eastAsia" w:ascii="宋体" w:hAnsi="宋体" w:cs="宋体"/>
                <w:color w:val="000000"/>
                <w:kern w:val="0"/>
                <w:szCs w:val="21"/>
              </w:rPr>
              <w:t>工程研究中心资质</w:t>
            </w:r>
            <w:commentRangeEnd w:id="9"/>
            <w:r>
              <w:commentReference w:id="9"/>
            </w:r>
            <w:r>
              <w:rPr>
                <w:rFonts w:hint="eastAsia" w:ascii="宋体" w:hAnsi="宋体" w:cs="宋体"/>
                <w:color w:val="000000"/>
                <w:kern w:val="0"/>
                <w:szCs w:val="21"/>
              </w:rPr>
              <w:t>，加5分。</w:t>
            </w:r>
          </w:p>
          <w:p>
            <w:pPr>
              <w:jc w:val="left"/>
              <w:rPr>
                <w:rFonts w:ascii="宋体" w:hAnsi="宋体" w:cs="宋体"/>
                <w:color w:val="000000"/>
                <w:kern w:val="0"/>
                <w:szCs w:val="21"/>
              </w:rPr>
            </w:pPr>
            <w:r>
              <w:rPr>
                <w:rFonts w:hint="eastAsia" w:ascii="宋体" w:hAnsi="宋体" w:cs="宋体"/>
                <w:color w:val="000000"/>
                <w:kern w:val="0"/>
                <w:szCs w:val="21"/>
              </w:rPr>
              <w:t>本项最高得15分。</w:t>
            </w:r>
          </w:p>
          <w:p>
            <w:pPr>
              <w:jc w:val="left"/>
              <w:rPr>
                <w:rFonts w:ascii="宋体" w:hAnsi="宋体" w:cs="宋体"/>
                <w:color w:val="000000"/>
                <w:kern w:val="0"/>
                <w:szCs w:val="21"/>
              </w:rPr>
            </w:pPr>
            <w:r>
              <w:rPr>
                <w:rFonts w:hint="eastAsia" w:ascii="宋体" w:hAnsi="宋体" w:cs="宋体"/>
                <w:color w:val="000000"/>
                <w:kern w:val="0"/>
                <w:szCs w:val="21"/>
              </w:rPr>
              <w:t>以上加分需提供相关证明材料的扫描件，不提供或提供的证明材料无法得到评委认可的不加分。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28" w:type="dxa"/>
            <w:vMerge w:val="continue"/>
            <w:tcBorders>
              <w:top w:val="single" w:color="auto" w:sz="4" w:space="0"/>
              <w:left w:val="single" w:color="auto" w:sz="4" w:space="0"/>
              <w:right w:val="single" w:color="auto" w:sz="4" w:space="0"/>
            </w:tcBorders>
            <w:noWrap/>
            <w:vAlign w:val="center"/>
          </w:tcPr>
          <w:p>
            <w:pPr>
              <w:jc w:val="center"/>
              <w:rPr>
                <w:rFonts w:ascii="宋体" w:hAnsi="宋体" w:cs="宋体"/>
                <w:szCs w:val="21"/>
              </w:rPr>
            </w:pP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kern w:val="0"/>
                <w:szCs w:val="21"/>
              </w:rPr>
            </w:pPr>
            <w:r>
              <w:rPr>
                <w:rFonts w:hint="eastAsia" w:ascii="宋体" w:hAnsi="宋体" w:cs="宋体"/>
                <w:color w:val="000000"/>
                <w:kern w:val="0"/>
                <w:szCs w:val="21"/>
              </w:rPr>
              <w:t>项目业绩（</w:t>
            </w:r>
            <w:r>
              <w:rPr>
                <w:rFonts w:ascii="宋体" w:hAnsi="宋体" w:cs="宋体"/>
                <w:color w:val="000000"/>
                <w:kern w:val="0"/>
                <w:szCs w:val="21"/>
              </w:rPr>
              <w:t>15</w:t>
            </w:r>
            <w:r>
              <w:rPr>
                <w:rFonts w:hint="eastAsia" w:ascii="宋体" w:hAnsi="宋体" w:cs="宋体"/>
                <w:color w:val="000000"/>
                <w:kern w:val="0"/>
                <w:szCs w:val="21"/>
              </w:rPr>
              <w:t>分）</w:t>
            </w:r>
          </w:p>
        </w:tc>
        <w:tc>
          <w:tcPr>
            <w:tcW w:w="6031"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000000"/>
                <w:kern w:val="0"/>
                <w:szCs w:val="21"/>
              </w:rPr>
            </w:pPr>
            <w:r>
              <w:rPr>
                <w:rFonts w:hint="eastAsia" w:ascii="宋体" w:hAnsi="宋体" w:cs="宋体"/>
                <w:color w:val="000000"/>
                <w:kern w:val="0"/>
                <w:szCs w:val="21"/>
              </w:rPr>
              <w:t>供应商</w:t>
            </w:r>
            <w:commentRangeStart w:id="10"/>
            <w:r>
              <w:rPr>
                <w:rFonts w:hint="eastAsia" w:ascii="宋体" w:hAnsi="宋体" w:cs="宋体"/>
                <w:color w:val="000000"/>
                <w:kern w:val="0"/>
                <w:szCs w:val="21"/>
              </w:rPr>
              <w:t>已完成或正在实施或新承接的飞行区等级4E级机场及以上的机场空管设备电磁环境测试空间信号影响仿真评估业绩，每增加1个得</w:t>
            </w:r>
            <w:r>
              <w:rPr>
                <w:rFonts w:ascii="宋体" w:hAnsi="宋体" w:cs="宋体"/>
                <w:color w:val="000000"/>
                <w:kern w:val="0"/>
                <w:szCs w:val="21"/>
              </w:rPr>
              <w:t>3</w:t>
            </w:r>
            <w:r>
              <w:rPr>
                <w:rFonts w:hint="eastAsia" w:ascii="宋体" w:hAnsi="宋体" w:cs="宋体"/>
                <w:color w:val="000000"/>
                <w:kern w:val="0"/>
                <w:szCs w:val="21"/>
              </w:rPr>
              <w:t>分，本项最高得</w:t>
            </w:r>
            <w:r>
              <w:rPr>
                <w:rFonts w:ascii="宋体" w:hAnsi="宋体" w:cs="宋体"/>
                <w:color w:val="000000"/>
                <w:kern w:val="0"/>
                <w:szCs w:val="21"/>
              </w:rPr>
              <w:t>15</w:t>
            </w:r>
            <w:r>
              <w:rPr>
                <w:rFonts w:hint="eastAsia" w:ascii="宋体" w:hAnsi="宋体" w:cs="宋体"/>
                <w:color w:val="000000"/>
                <w:kern w:val="0"/>
                <w:szCs w:val="21"/>
              </w:rPr>
              <w:t>分。</w:t>
            </w:r>
            <w:commentRangeEnd w:id="10"/>
            <w:r>
              <w:commentReference w:id="10"/>
            </w:r>
          </w:p>
          <w:p>
            <w:pPr>
              <w:rPr>
                <w:rFonts w:ascii="宋体" w:hAnsi="宋体" w:cs="宋体"/>
                <w:color w:val="000000"/>
                <w:kern w:val="0"/>
                <w:szCs w:val="21"/>
              </w:rPr>
            </w:pPr>
            <w:r>
              <w:rPr>
                <w:rFonts w:hint="eastAsia" w:ascii="宋体" w:hAnsi="宋体" w:cs="宋体"/>
                <w:color w:val="000000"/>
                <w:kern w:val="0"/>
                <w:szCs w:val="21"/>
              </w:rPr>
              <w:t>注：附中标通知书或合同协议书的复印件（或扫描件）关键页（要求必须提供与最终用户签订的合同，包括但仅不限于合同首页、合同价款、签字盖章页作为证明）。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28" w:type="dxa"/>
            <w:vMerge w:val="continue"/>
            <w:tcBorders>
              <w:left w:val="single" w:color="auto" w:sz="4" w:space="0"/>
              <w:bottom w:val="single" w:color="auto" w:sz="4" w:space="0"/>
              <w:right w:val="single" w:color="auto" w:sz="4" w:space="0"/>
            </w:tcBorders>
            <w:noWrap/>
            <w:vAlign w:val="center"/>
          </w:tcPr>
          <w:p>
            <w:pPr>
              <w:jc w:val="center"/>
              <w:rPr>
                <w:rFonts w:ascii="宋体" w:hAnsi="宋体" w:cs="宋体"/>
                <w:szCs w:val="21"/>
              </w:rPr>
            </w:pPr>
          </w:p>
        </w:tc>
        <w:tc>
          <w:tcPr>
            <w:tcW w:w="220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color w:val="000000"/>
                <w:kern w:val="0"/>
                <w:szCs w:val="21"/>
              </w:rPr>
              <w:t>项目负责人及人员配备（</w:t>
            </w:r>
            <w:r>
              <w:rPr>
                <w:rFonts w:ascii="宋体" w:hAnsi="宋体" w:cs="宋体"/>
                <w:color w:val="000000"/>
                <w:kern w:val="0"/>
                <w:szCs w:val="21"/>
              </w:rPr>
              <w:t>15</w:t>
            </w:r>
            <w:r>
              <w:rPr>
                <w:rFonts w:hint="eastAsia" w:ascii="宋体" w:hAnsi="宋体" w:cs="宋体"/>
                <w:color w:val="000000"/>
                <w:kern w:val="0"/>
                <w:szCs w:val="21"/>
              </w:rPr>
              <w:t>分）</w:t>
            </w:r>
          </w:p>
        </w:tc>
        <w:tc>
          <w:tcPr>
            <w:tcW w:w="603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Cs w:val="21"/>
              </w:rPr>
            </w:pPr>
            <w:commentRangeStart w:id="11"/>
            <w:r>
              <w:rPr>
                <w:rFonts w:hint="eastAsia" w:ascii="宋体" w:hAnsi="宋体" w:cs="宋体"/>
                <w:color w:val="000000"/>
                <w:kern w:val="0"/>
                <w:szCs w:val="21"/>
              </w:rPr>
              <w:t>1、项目负责人每增加1项飞行区等级4E级机场及以上的机场航向信标台空间信号影响评估</w:t>
            </w:r>
            <w:commentRangeEnd w:id="11"/>
            <w:r>
              <w:commentReference w:id="11"/>
            </w:r>
            <w:r>
              <w:rPr>
                <w:rFonts w:hint="eastAsia" w:ascii="宋体" w:hAnsi="宋体" w:cs="宋体"/>
                <w:color w:val="000000"/>
                <w:kern w:val="0"/>
                <w:szCs w:val="21"/>
              </w:rPr>
              <w:t>相关业绩任职经历加</w:t>
            </w:r>
            <w:r>
              <w:rPr>
                <w:rFonts w:ascii="宋体" w:hAnsi="宋体" w:cs="宋体"/>
                <w:color w:val="000000"/>
                <w:kern w:val="0"/>
                <w:szCs w:val="21"/>
              </w:rPr>
              <w:t>2</w:t>
            </w:r>
            <w:r>
              <w:rPr>
                <w:rFonts w:hint="eastAsia" w:ascii="宋体" w:hAnsi="宋体" w:cs="宋体"/>
                <w:color w:val="000000"/>
                <w:kern w:val="0"/>
                <w:szCs w:val="21"/>
              </w:rPr>
              <w:t>分，最多加</w:t>
            </w:r>
            <w:r>
              <w:rPr>
                <w:rFonts w:ascii="宋体" w:hAnsi="宋体" w:cs="宋体"/>
                <w:color w:val="000000"/>
                <w:kern w:val="0"/>
                <w:szCs w:val="21"/>
              </w:rPr>
              <w:t>10</w:t>
            </w:r>
            <w:r>
              <w:rPr>
                <w:rFonts w:hint="eastAsia" w:ascii="宋体" w:hAnsi="宋体" w:cs="宋体"/>
                <w:color w:val="000000"/>
                <w:kern w:val="0"/>
                <w:szCs w:val="21"/>
              </w:rPr>
              <w:t>分。（附中标通知书或合同协议书的复印件（或扫描件）关键页（要求必须提供与最终用户签订的合同，包括但仅不限于合同首页、合同价款、签字盖章页、项目负责人任职情况作为证明。该业绩不能与“项目业绩”中的内容重复）。</w:t>
            </w:r>
          </w:p>
          <w:p>
            <w:pPr>
              <w:widowControl/>
              <w:jc w:val="left"/>
              <w:rPr>
                <w:rFonts w:ascii="宋体" w:hAnsi="宋体" w:cs="宋体"/>
                <w:color w:val="000000"/>
                <w:kern w:val="0"/>
                <w:szCs w:val="21"/>
              </w:rPr>
            </w:pPr>
            <w:r>
              <w:rPr>
                <w:rFonts w:ascii="宋体" w:hAnsi="宋体" w:cs="宋体"/>
                <w:color w:val="000000"/>
                <w:kern w:val="0"/>
                <w:szCs w:val="21"/>
              </w:rPr>
              <w:t>2</w:t>
            </w:r>
            <w:commentRangeStart w:id="12"/>
            <w:r>
              <w:rPr>
                <w:rFonts w:hint="eastAsia" w:ascii="宋体" w:hAnsi="宋体" w:cs="宋体"/>
                <w:color w:val="000000"/>
                <w:kern w:val="0"/>
                <w:szCs w:val="21"/>
              </w:rPr>
              <w:t>、项目负责人具有空中交通管理或交通运输规划与管理或电工理论与新技术专业或自然科学高级及以上职称的加2分，最多加2分。</w:t>
            </w:r>
          </w:p>
          <w:p>
            <w:pPr>
              <w:widowControl/>
              <w:jc w:val="left"/>
              <w:rPr>
                <w:rFonts w:ascii="宋体" w:hAnsi="宋体" w:cs="宋体"/>
                <w:color w:val="000000"/>
                <w:kern w:val="0"/>
                <w:szCs w:val="21"/>
              </w:rPr>
            </w:pPr>
            <w:r>
              <w:rPr>
                <w:rFonts w:hint="eastAsia" w:ascii="宋体" w:hAnsi="宋体" w:cs="宋体"/>
                <w:color w:val="000000"/>
                <w:kern w:val="0"/>
                <w:szCs w:val="21"/>
              </w:rPr>
              <w:t>3、项目组成员（不包括项目负责人）中每有一个相关专业高级及以上职称（含研究员序列）成员加1分，最多</w:t>
            </w:r>
            <w:r>
              <w:rPr>
                <w:rFonts w:ascii="宋体" w:hAnsi="宋体" w:cs="宋体"/>
                <w:color w:val="000000"/>
                <w:kern w:val="0"/>
                <w:szCs w:val="21"/>
              </w:rPr>
              <w:t>3</w:t>
            </w:r>
            <w:r>
              <w:rPr>
                <w:rFonts w:hint="eastAsia" w:ascii="宋体" w:hAnsi="宋体" w:cs="宋体"/>
                <w:color w:val="000000"/>
                <w:kern w:val="0"/>
                <w:szCs w:val="21"/>
              </w:rPr>
              <w:t>分。</w:t>
            </w:r>
            <w:commentRangeEnd w:id="12"/>
            <w:r>
              <w:commentReference w:id="12"/>
            </w:r>
          </w:p>
          <w:p>
            <w:pPr>
              <w:widowControl/>
              <w:jc w:val="left"/>
              <w:rPr>
                <w:rFonts w:ascii="宋体" w:hAnsi="宋体" w:cs="宋体"/>
                <w:color w:val="000000"/>
                <w:kern w:val="0"/>
                <w:szCs w:val="21"/>
              </w:rPr>
            </w:pPr>
            <w:r>
              <w:rPr>
                <w:rFonts w:hint="eastAsia" w:ascii="宋体" w:hAnsi="宋体" w:cs="宋体"/>
                <w:color w:val="000000"/>
                <w:kern w:val="0"/>
                <w:szCs w:val="21"/>
              </w:rPr>
              <w:t>本项最高得1</w:t>
            </w:r>
            <w:r>
              <w:rPr>
                <w:rFonts w:ascii="宋体" w:hAnsi="宋体" w:cs="宋体"/>
                <w:color w:val="000000"/>
                <w:kern w:val="0"/>
                <w:szCs w:val="21"/>
              </w:rPr>
              <w:t>5</w:t>
            </w:r>
            <w:r>
              <w:rPr>
                <w:rFonts w:hint="eastAsia" w:ascii="宋体" w:hAnsi="宋体" w:cs="宋体"/>
                <w:color w:val="000000"/>
                <w:kern w:val="0"/>
                <w:szCs w:val="21"/>
              </w:rPr>
              <w:t>分。</w:t>
            </w:r>
          </w:p>
          <w:p>
            <w:pPr>
              <w:widowControl/>
              <w:jc w:val="left"/>
              <w:rPr>
                <w:rFonts w:ascii="宋体" w:hAnsi="宋体" w:cs="宋体"/>
                <w:color w:val="000000"/>
                <w:kern w:val="0"/>
                <w:szCs w:val="21"/>
              </w:rPr>
            </w:pPr>
            <w:r>
              <w:rPr>
                <w:rFonts w:hint="eastAsia" w:ascii="宋体" w:hAnsi="宋体" w:cs="宋体"/>
                <w:color w:val="000000"/>
                <w:kern w:val="0"/>
                <w:szCs w:val="21"/>
              </w:rPr>
              <w:t>（注：提供人员职称证书复印件加盖供应商公章，同一人员证书不重复加分。）</w:t>
            </w:r>
          </w:p>
        </w:tc>
      </w:tr>
    </w:tbl>
    <w:p>
      <w:pPr>
        <w:pStyle w:val="10"/>
        <w:ind w:left="0" w:leftChars="0" w:firstLine="0" w:firstLineChars="0"/>
        <w:rPr>
          <w:rFonts w:asciiTheme="minorEastAsia" w:hAnsiTheme="minorEastAsia" w:eastAsiaTheme="minorEastAsia" w:cstheme="minorEastAsia"/>
          <w:b/>
        </w:rPr>
        <w:sectPr>
          <w:pgSz w:w="11906" w:h="16838"/>
          <w:pgMar w:top="1440" w:right="1800" w:bottom="1440" w:left="1800" w:header="794" w:footer="992" w:gutter="0"/>
          <w:cols w:space="425" w:num="1"/>
          <w:docGrid w:type="lines" w:linePitch="312" w:charSpace="0"/>
        </w:sectPr>
      </w:pPr>
    </w:p>
    <w:p>
      <w:pPr>
        <w:pStyle w:val="10"/>
        <w:ind w:left="0" w:leftChars="0" w:firstLine="0" w:firstLineChars="0"/>
        <w:rPr>
          <w:rFonts w:asciiTheme="minorEastAsia" w:hAnsiTheme="minorEastAsia" w:eastAsiaTheme="minorEastAsia" w:cstheme="minorEastAsia"/>
          <w:b/>
          <w:color w:val="000000" w:themeColor="text1"/>
          <w14:textFill>
            <w14:solidFill>
              <w14:schemeClr w14:val="tx1"/>
            </w14:solidFill>
          </w14:textFill>
        </w:rPr>
      </w:pPr>
    </w:p>
    <w:p>
      <w:pPr>
        <w:rPr>
          <w:color w:val="000000" w:themeColor="text1"/>
          <w14:textFill>
            <w14:solidFill>
              <w14:schemeClr w14:val="tx1"/>
            </w14:solidFill>
          </w14:textFill>
        </w:rPr>
      </w:pPr>
    </w:p>
    <w:p>
      <w:pPr>
        <w:adjustRightInd w:val="0"/>
        <w:snapToGrid w:val="0"/>
        <w:spacing w:line="360" w:lineRule="auto"/>
        <w:jc w:val="center"/>
        <w:outlineLvl w:val="1"/>
        <w:rPr>
          <w:rFonts w:asciiTheme="minorEastAsia" w:hAnsiTheme="minorEastAsia" w:eastAsiaTheme="minorEastAsia" w:cstheme="minorEastAsia"/>
          <w:b/>
          <w:color w:val="000000" w:themeColor="text1"/>
          <w:szCs w:val="21"/>
          <w14:textFill>
            <w14:solidFill>
              <w14:schemeClr w14:val="tx1"/>
            </w14:solidFill>
          </w14:textFill>
        </w:rPr>
      </w:pPr>
      <w:bookmarkStart w:id="322" w:name="_Toc14101"/>
      <w:r>
        <w:rPr>
          <w:rFonts w:hint="eastAsia" w:asciiTheme="minorEastAsia" w:hAnsiTheme="minorEastAsia" w:eastAsiaTheme="minorEastAsia" w:cstheme="minorEastAsia"/>
          <w:b/>
          <w:color w:val="000000" w:themeColor="text1"/>
          <w:szCs w:val="21"/>
          <w14:textFill>
            <w14:solidFill>
              <w14:schemeClr w14:val="tx1"/>
            </w14:solidFill>
          </w14:textFill>
        </w:rPr>
        <w:t>第五章  采购合同格式</w:t>
      </w:r>
      <w:bookmarkEnd w:id="322"/>
    </w:p>
    <w:bookmarkEnd w:id="312"/>
    <w:p>
      <w:pPr>
        <w:spacing w:line="560" w:lineRule="exact"/>
        <w:ind w:firstLine="422" w:firstLineChars="200"/>
        <w:jc w:val="center"/>
        <w:rPr>
          <w:rFonts w:ascii="宋体" w:hAnsi="宋体" w:cs="宋体"/>
          <w:b/>
          <w:bCs/>
          <w:szCs w:val="21"/>
        </w:rPr>
      </w:pPr>
      <w:r>
        <w:rPr>
          <w:rFonts w:hint="eastAsia" w:ascii="宋体" w:hAnsi="宋体" w:cs="宋体"/>
          <w:b/>
          <w:bCs/>
          <w:szCs w:val="21"/>
        </w:rPr>
        <w:t>委托合同（范本）</w:t>
      </w:r>
    </w:p>
    <w:p>
      <w:pPr>
        <w:spacing w:line="560" w:lineRule="exact"/>
        <w:ind w:firstLine="420" w:firstLineChars="200"/>
        <w:rPr>
          <w:rFonts w:ascii="宋体" w:hAnsi="宋体" w:cs="宋体"/>
          <w:szCs w:val="21"/>
        </w:rPr>
      </w:pPr>
    </w:p>
    <w:p>
      <w:pPr>
        <w:spacing w:line="560" w:lineRule="exact"/>
        <w:ind w:firstLine="420" w:firstLineChars="200"/>
        <w:rPr>
          <w:rFonts w:ascii="宋体" w:hAnsi="宋体" w:cs="宋体"/>
          <w:szCs w:val="21"/>
        </w:rPr>
      </w:pPr>
      <w:commentRangeStart w:id="13"/>
      <w:r>
        <w:rPr>
          <w:rFonts w:hint="eastAsia" w:ascii="宋体" w:hAnsi="宋体" w:cs="宋体"/>
          <w:szCs w:val="21"/>
        </w:rPr>
        <w:t>名称： 服务采购合</w:t>
      </w:r>
      <w:commentRangeEnd w:id="13"/>
      <w:r>
        <w:commentReference w:id="13"/>
      </w:r>
      <w:r>
        <w:rPr>
          <w:rFonts w:hint="eastAsia" w:ascii="宋体" w:hAnsi="宋体" w:cs="宋体"/>
          <w:szCs w:val="21"/>
        </w:rPr>
        <w:t>同</w:t>
      </w:r>
    </w:p>
    <w:p>
      <w:pPr>
        <w:spacing w:line="560" w:lineRule="exact"/>
        <w:ind w:firstLine="420" w:firstLineChars="200"/>
        <w:rPr>
          <w:rFonts w:ascii="宋体" w:hAnsi="宋体" w:cs="宋体"/>
          <w:szCs w:val="21"/>
        </w:rPr>
      </w:pPr>
      <w:r>
        <w:rPr>
          <w:rFonts w:hint="eastAsia" w:ascii="宋体" w:hAnsi="宋体" w:cs="宋体"/>
          <w:szCs w:val="21"/>
        </w:rPr>
        <w:t xml:space="preserve">委托方（甲方)： </w:t>
      </w:r>
    </w:p>
    <w:p>
      <w:pPr>
        <w:spacing w:line="560" w:lineRule="exact"/>
        <w:ind w:firstLine="420" w:firstLineChars="200"/>
        <w:rPr>
          <w:rFonts w:ascii="宋体" w:hAnsi="宋体" w:cs="宋体"/>
          <w:szCs w:val="21"/>
        </w:rPr>
      </w:pPr>
      <w:r>
        <w:rPr>
          <w:rFonts w:hint="eastAsia" w:ascii="宋体" w:hAnsi="宋体" w:cs="宋体"/>
          <w:szCs w:val="21"/>
        </w:rPr>
        <w:t>被委托方（乙方)：[乙方单位名称]</w:t>
      </w:r>
    </w:p>
    <w:p>
      <w:pPr>
        <w:spacing w:line="560" w:lineRule="exact"/>
        <w:ind w:firstLine="420" w:firstLineChars="200"/>
        <w:rPr>
          <w:rFonts w:ascii="宋体" w:hAnsi="宋体" w:cs="宋体"/>
          <w:szCs w:val="21"/>
        </w:rPr>
      </w:pPr>
      <w:r>
        <w:rPr>
          <w:rFonts w:hint="eastAsia" w:ascii="宋体" w:hAnsi="宋体" w:cs="宋体"/>
          <w:szCs w:val="21"/>
        </w:rPr>
        <w:t xml:space="preserve">签订地点： </w:t>
      </w:r>
    </w:p>
    <w:p>
      <w:pPr>
        <w:spacing w:line="560" w:lineRule="exact"/>
        <w:ind w:firstLine="420" w:firstLineChars="200"/>
        <w:rPr>
          <w:rFonts w:ascii="宋体" w:hAnsi="宋体" w:cs="宋体"/>
          <w:szCs w:val="21"/>
        </w:rPr>
      </w:pPr>
      <w:r>
        <w:rPr>
          <w:rFonts w:hint="eastAsia" w:ascii="宋体" w:hAnsi="宋体" w:cs="宋体"/>
          <w:szCs w:val="21"/>
        </w:rPr>
        <w:t>签订时间：XXXX年XX月XX日</w:t>
      </w:r>
    </w:p>
    <w:p>
      <w:pPr>
        <w:spacing w:line="560" w:lineRule="exact"/>
        <w:ind w:firstLine="420" w:firstLineChars="200"/>
        <w:rPr>
          <w:rFonts w:ascii="宋体" w:hAnsi="宋体" w:cs="宋体"/>
          <w:szCs w:val="21"/>
        </w:rPr>
      </w:pPr>
      <w:r>
        <w:rPr>
          <w:rFonts w:hint="eastAsia" w:ascii="宋体" w:hAnsi="宋体" w:cs="宋体"/>
          <w:szCs w:val="21"/>
        </w:rPr>
        <w:t>甲方委托乙方进行项目咨询服务工作。经双方协商一致，达成以下协议，并由双方共同恪守。</w:t>
      </w:r>
    </w:p>
    <w:p>
      <w:pPr>
        <w:spacing w:line="560" w:lineRule="exact"/>
        <w:ind w:firstLine="422" w:firstLineChars="200"/>
        <w:rPr>
          <w:rFonts w:ascii="宋体" w:hAnsi="宋体" w:cs="宋体"/>
          <w:b/>
          <w:bCs/>
          <w:szCs w:val="21"/>
        </w:rPr>
      </w:pPr>
      <w:r>
        <w:rPr>
          <w:rFonts w:hint="eastAsia" w:ascii="宋体" w:hAnsi="宋体" w:cs="宋体"/>
          <w:b/>
          <w:bCs/>
          <w:szCs w:val="21"/>
        </w:rPr>
        <w:t>第一条 研究的内容</w:t>
      </w:r>
    </w:p>
    <w:p>
      <w:pPr>
        <w:spacing w:line="560" w:lineRule="exact"/>
        <w:ind w:firstLine="420" w:firstLineChars="200"/>
        <w:rPr>
          <w:rFonts w:ascii="宋体" w:hAnsi="宋体" w:cs="宋体"/>
          <w:szCs w:val="21"/>
        </w:rPr>
      </w:pPr>
      <w:r>
        <w:rPr>
          <w:rFonts w:hint="eastAsia" w:ascii="宋体" w:hAnsi="宋体" w:cs="宋体"/>
          <w:szCs w:val="21"/>
        </w:rPr>
        <w:t xml:space="preserve">  海口美兰机场10 号跑道航向信标台（简称“LOC 10”）执行仪表着陆系统Ⅲ类运行，中州航空主基地搬迁飞行模拟训练中心项目（简称“中州基地项目”）拟建离地高度为42.7米，位于LOC10建筑物限制区范围内，此区域内建筑物限制区的高度限制为相对于10号跑道航向信标台20米，中州基地项目建设高度不满足MH/T4003.1-2021中对于建筑物限制区高度的要求。</w:t>
      </w:r>
    </w:p>
    <w:p>
      <w:pPr>
        <w:spacing w:line="560" w:lineRule="exact"/>
        <w:ind w:firstLine="420" w:firstLineChars="200"/>
        <w:rPr>
          <w:rFonts w:ascii="宋体" w:hAnsi="宋体" w:cs="宋体"/>
          <w:szCs w:val="21"/>
        </w:rPr>
      </w:pPr>
      <w:r>
        <w:rPr>
          <w:rFonts w:hint="eastAsia" w:ascii="宋体" w:hAnsi="宋体" w:cs="宋体"/>
          <w:szCs w:val="21"/>
        </w:rPr>
        <w:t>根据MH/T4003.1-2021，宜采用计算机仿真的方式确定中州基地项目建筑物的尺寸，并判断是否对10号跑道航向信标台Ⅲ类运行造成影响，避免中州基地项目建设完成之后影响海口美兰机场10 号跑道航向信标台的正常运行，分析内容如下：</w:t>
      </w:r>
    </w:p>
    <w:p>
      <w:pPr>
        <w:spacing w:line="560" w:lineRule="exact"/>
        <w:ind w:firstLine="420" w:firstLineChars="200"/>
        <w:rPr>
          <w:rFonts w:ascii="宋体" w:hAnsi="宋体" w:cs="宋体"/>
          <w:szCs w:val="21"/>
        </w:rPr>
      </w:pPr>
      <w:r>
        <w:rPr>
          <w:rFonts w:hint="eastAsia" w:ascii="宋体" w:hAnsi="宋体" w:cs="宋体"/>
          <w:szCs w:val="21"/>
        </w:rPr>
        <w:t>（1）台站场地标准符合性分析；</w:t>
      </w:r>
    </w:p>
    <w:p>
      <w:pPr>
        <w:spacing w:line="560" w:lineRule="exact"/>
        <w:ind w:firstLine="420" w:firstLineChars="200"/>
        <w:rPr>
          <w:rFonts w:ascii="宋体" w:hAnsi="宋体" w:cs="宋体"/>
          <w:szCs w:val="21"/>
        </w:rPr>
      </w:pPr>
      <w:r>
        <w:rPr>
          <w:rFonts w:hint="eastAsia" w:ascii="宋体" w:hAnsi="宋体" w:cs="宋体"/>
          <w:szCs w:val="21"/>
        </w:rPr>
        <w:t>（2）地形、天线和障碍物三维精细化建模；</w:t>
      </w:r>
    </w:p>
    <w:p>
      <w:pPr>
        <w:spacing w:line="560" w:lineRule="exact"/>
        <w:ind w:firstLine="420" w:firstLineChars="200"/>
        <w:rPr>
          <w:rFonts w:ascii="宋体" w:hAnsi="宋体" w:cs="宋体"/>
          <w:szCs w:val="21"/>
        </w:rPr>
      </w:pPr>
      <w:r>
        <w:rPr>
          <w:rFonts w:hint="eastAsia" w:ascii="宋体" w:hAnsi="宋体" w:cs="宋体"/>
          <w:szCs w:val="21"/>
        </w:rPr>
        <w:t>（3）基于菲涅尔区理论和多路径的信号覆盖分析；</w:t>
      </w:r>
    </w:p>
    <w:p>
      <w:pPr>
        <w:spacing w:line="560" w:lineRule="exact"/>
        <w:ind w:firstLine="420" w:firstLineChars="200"/>
        <w:rPr>
          <w:rFonts w:ascii="宋体" w:hAnsi="宋体" w:cs="宋体"/>
          <w:szCs w:val="21"/>
        </w:rPr>
      </w:pPr>
      <w:r>
        <w:rPr>
          <w:rFonts w:hint="eastAsia" w:ascii="宋体" w:hAnsi="宋体" w:cs="宋体"/>
          <w:szCs w:val="21"/>
        </w:rPr>
        <w:t>（4）全飞行轨迹下航向信标航道结构、航道校直、航道余隙、航道宽度和对称性、调制度和等飞行校验参数仿真。</w:t>
      </w:r>
    </w:p>
    <w:p>
      <w:pPr>
        <w:spacing w:line="560" w:lineRule="exact"/>
        <w:ind w:firstLine="420" w:firstLineChars="200"/>
        <w:rPr>
          <w:rFonts w:ascii="宋体" w:hAnsi="宋体" w:cs="宋体"/>
          <w:szCs w:val="21"/>
        </w:rPr>
      </w:pPr>
      <w:r>
        <w:rPr>
          <w:rFonts w:hint="eastAsia" w:ascii="宋体" w:hAnsi="宋体" w:cs="宋体"/>
          <w:szCs w:val="21"/>
        </w:rPr>
        <w:t>（5）结合分析结果判断中州基地项目建设是否对 LOC 10Ⅲ类运行造成影响。如有影响，则配合业主在设计、施工可行的前提下提出项目优化方案及改进措施。</w:t>
      </w:r>
    </w:p>
    <w:p>
      <w:pPr>
        <w:spacing w:line="560" w:lineRule="exact"/>
        <w:ind w:firstLine="420" w:firstLineChars="200"/>
        <w:rPr>
          <w:rFonts w:ascii="宋体" w:hAnsi="宋体" w:cs="宋体"/>
          <w:szCs w:val="21"/>
        </w:rPr>
      </w:pPr>
      <w:r>
        <w:rPr>
          <w:rFonts w:hint="eastAsia" w:ascii="宋体" w:hAnsi="宋体" w:cs="宋体"/>
          <w:szCs w:val="21"/>
        </w:rPr>
        <w:t>（6）编制《中州航空主基地搬迁项目飞行模拟训练中心对海口美兰机场10号跑道航向信标台空间信号影响专项技术研究报告》并组织专家评审，所编制的报告最终以通过民航行业专家评审或民航行业主管部门认可的方式通过验收。</w:t>
      </w:r>
    </w:p>
    <w:p>
      <w:pPr>
        <w:spacing w:line="560" w:lineRule="exact"/>
        <w:ind w:firstLine="422" w:firstLineChars="200"/>
        <w:rPr>
          <w:rFonts w:ascii="宋体" w:hAnsi="宋体" w:cs="宋体"/>
          <w:b/>
          <w:bCs/>
          <w:szCs w:val="21"/>
        </w:rPr>
      </w:pPr>
      <w:r>
        <w:rPr>
          <w:rFonts w:hint="eastAsia" w:ascii="宋体" w:hAnsi="宋体" w:cs="宋体"/>
          <w:b/>
          <w:bCs/>
          <w:szCs w:val="21"/>
        </w:rPr>
        <w:t>第二条 服务期限</w:t>
      </w:r>
    </w:p>
    <w:p>
      <w:pPr>
        <w:spacing w:line="560" w:lineRule="exact"/>
        <w:ind w:firstLine="420" w:firstLineChars="200"/>
        <w:rPr>
          <w:rFonts w:ascii="宋体" w:hAnsi="宋体" w:cs="宋体"/>
          <w:b/>
          <w:bCs/>
          <w:szCs w:val="21"/>
        </w:rPr>
      </w:pPr>
      <w:r>
        <w:rPr>
          <w:rFonts w:hint="eastAsia" w:ascii="宋体" w:hAnsi="宋体" w:cs="宋体"/>
          <w:szCs w:val="21"/>
        </w:rPr>
        <w:t>乙方应在本合同生效后且收到评估所需全部资料之日起2个月内提交符合要求的评估报告评审稿，所编制的报告最终以通过民航行业专家评审或民航行业主管部门认可的方式通过验收。</w:t>
      </w:r>
    </w:p>
    <w:p>
      <w:pPr>
        <w:spacing w:line="560" w:lineRule="exact"/>
        <w:ind w:firstLine="422" w:firstLineChars="200"/>
        <w:rPr>
          <w:rFonts w:ascii="宋体" w:hAnsi="宋体" w:cs="宋体"/>
          <w:b/>
          <w:bCs/>
          <w:szCs w:val="21"/>
        </w:rPr>
      </w:pPr>
      <w:r>
        <w:rPr>
          <w:rFonts w:hint="eastAsia" w:ascii="宋体" w:hAnsi="宋体" w:cs="宋体"/>
          <w:b/>
          <w:bCs/>
          <w:szCs w:val="21"/>
        </w:rPr>
        <w:t>第三条 甲方权利义务</w:t>
      </w:r>
    </w:p>
    <w:p>
      <w:pPr>
        <w:spacing w:line="560" w:lineRule="exact"/>
        <w:ind w:firstLine="420" w:firstLineChars="200"/>
        <w:rPr>
          <w:rFonts w:ascii="宋体" w:hAnsi="宋体" w:cs="宋体"/>
          <w:szCs w:val="21"/>
        </w:rPr>
      </w:pPr>
      <w:r>
        <w:rPr>
          <w:rFonts w:hint="eastAsia" w:ascii="宋体" w:hAnsi="宋体" w:cs="宋体"/>
          <w:szCs w:val="21"/>
        </w:rPr>
        <w:t>甲方有义务协助乙方收集资料，并为乙方的调研工作致函相关部门，召集相关部门和企业召开会议；</w:t>
      </w:r>
    </w:p>
    <w:p>
      <w:pPr>
        <w:spacing w:line="560" w:lineRule="exact"/>
        <w:ind w:firstLine="420" w:firstLineChars="200"/>
        <w:rPr>
          <w:rFonts w:ascii="宋体" w:hAnsi="宋体" w:cs="宋体"/>
          <w:szCs w:val="21"/>
        </w:rPr>
      </w:pPr>
      <w:r>
        <w:rPr>
          <w:rFonts w:hint="eastAsia" w:ascii="宋体" w:hAnsi="宋体" w:cs="宋体"/>
          <w:szCs w:val="21"/>
        </w:rPr>
        <w:t>甲方对双方提出有保密要求的资料和文件负有保密义务；</w:t>
      </w:r>
    </w:p>
    <w:p>
      <w:pPr>
        <w:spacing w:line="560" w:lineRule="exact"/>
        <w:ind w:firstLine="422" w:firstLineChars="200"/>
        <w:rPr>
          <w:rFonts w:ascii="宋体" w:hAnsi="宋体" w:cs="宋体"/>
          <w:szCs w:val="21"/>
        </w:rPr>
      </w:pPr>
      <w:r>
        <w:rPr>
          <w:rFonts w:hint="eastAsia" w:ascii="宋体" w:hAnsi="宋体" w:cs="宋体"/>
          <w:b/>
          <w:bCs/>
          <w:szCs w:val="21"/>
        </w:rPr>
        <w:t>第四条 乙方权利义务</w:t>
      </w:r>
    </w:p>
    <w:p>
      <w:pPr>
        <w:spacing w:line="560" w:lineRule="exact"/>
        <w:ind w:firstLine="420" w:firstLineChars="200"/>
        <w:rPr>
          <w:rFonts w:ascii="宋体" w:hAnsi="宋体" w:cs="宋体"/>
          <w:szCs w:val="21"/>
        </w:rPr>
      </w:pPr>
      <w:r>
        <w:rPr>
          <w:rFonts w:hint="eastAsia" w:ascii="宋体" w:hAnsi="宋体" w:cs="宋体"/>
          <w:szCs w:val="21"/>
        </w:rPr>
        <w:t>乙方应根据合同明确的工作内容和范围开展工作；</w:t>
      </w:r>
    </w:p>
    <w:p>
      <w:pPr>
        <w:spacing w:line="560" w:lineRule="exact"/>
        <w:ind w:firstLine="420" w:firstLineChars="200"/>
        <w:rPr>
          <w:rFonts w:ascii="宋体" w:hAnsi="宋体" w:cs="宋体"/>
          <w:szCs w:val="21"/>
        </w:rPr>
      </w:pPr>
      <w:r>
        <w:rPr>
          <w:rFonts w:hint="eastAsia" w:ascii="宋体" w:hAnsi="宋体" w:cs="宋体"/>
          <w:szCs w:val="21"/>
        </w:rPr>
        <w:t>乙方应按照进度开展研究、提交成果，并保证工作质量；</w:t>
      </w:r>
    </w:p>
    <w:p>
      <w:pPr>
        <w:spacing w:line="560" w:lineRule="exact"/>
        <w:ind w:firstLine="420" w:firstLineChars="200"/>
        <w:rPr>
          <w:rFonts w:ascii="宋体" w:hAnsi="宋体" w:cs="宋体"/>
          <w:szCs w:val="21"/>
        </w:rPr>
      </w:pPr>
      <w:r>
        <w:rPr>
          <w:rFonts w:hint="eastAsia" w:ascii="宋体" w:hAnsi="宋体" w:cs="宋体"/>
          <w:szCs w:val="21"/>
        </w:rPr>
        <w:t>乙方对双方提出有保密要求的资料和文件负有保密义务；</w:t>
      </w:r>
    </w:p>
    <w:p>
      <w:pPr>
        <w:spacing w:line="560" w:lineRule="exact"/>
        <w:ind w:firstLine="420" w:firstLineChars="200"/>
        <w:rPr>
          <w:rFonts w:ascii="宋体" w:hAnsi="宋体" w:cs="宋体"/>
          <w:szCs w:val="21"/>
        </w:rPr>
      </w:pPr>
      <w:r>
        <w:rPr>
          <w:rFonts w:hint="eastAsia" w:ascii="宋体" w:hAnsi="宋体" w:cs="宋体"/>
          <w:szCs w:val="21"/>
        </w:rPr>
        <w:t>乙方应组织专家评审，并协同甲方做好解释和汇报工作。对于专家评审意见和甲方提出的修改要求，乙方有义务配合修改。</w:t>
      </w:r>
    </w:p>
    <w:p>
      <w:pPr>
        <w:spacing w:line="560" w:lineRule="exact"/>
        <w:ind w:firstLine="422" w:firstLineChars="200"/>
        <w:rPr>
          <w:rFonts w:ascii="宋体" w:hAnsi="宋体" w:cs="宋体"/>
          <w:szCs w:val="21"/>
        </w:rPr>
      </w:pPr>
      <w:r>
        <w:rPr>
          <w:rFonts w:hint="eastAsia" w:ascii="宋体" w:hAnsi="宋体" w:cs="宋体"/>
          <w:b/>
          <w:bCs/>
          <w:szCs w:val="21"/>
        </w:rPr>
        <w:t>第五条 研究报酬及支付方式</w:t>
      </w:r>
    </w:p>
    <w:p>
      <w:pPr>
        <w:spacing w:line="560" w:lineRule="exact"/>
        <w:ind w:firstLine="420" w:firstLineChars="200"/>
        <w:rPr>
          <w:rFonts w:ascii="宋体" w:hAnsi="宋体" w:cs="宋体"/>
          <w:szCs w:val="21"/>
        </w:rPr>
      </w:pPr>
      <w:r>
        <w:rPr>
          <w:rFonts w:hint="eastAsia" w:ascii="宋体" w:hAnsi="宋体" w:cs="宋体"/>
          <w:szCs w:val="21"/>
        </w:rPr>
        <w:t>研究报酬总额（含税价）为人民币（大写）：________整元整（￥________元）；</w:t>
      </w:r>
    </w:p>
    <w:p>
      <w:pPr>
        <w:spacing w:line="560" w:lineRule="exact"/>
        <w:ind w:firstLine="420" w:firstLineChars="200"/>
        <w:rPr>
          <w:rFonts w:ascii="宋体" w:hAnsi="宋体" w:cs="宋体"/>
          <w:szCs w:val="21"/>
        </w:rPr>
      </w:pPr>
      <w:r>
        <w:rPr>
          <w:rFonts w:hint="eastAsia" w:ascii="宋体" w:hAnsi="宋体" w:cs="宋体"/>
          <w:szCs w:val="21"/>
        </w:rPr>
        <w:t>研究报酬由甲方分两次支付给乙方，具体支付方式和时间如下：</w:t>
      </w:r>
    </w:p>
    <w:p>
      <w:pPr>
        <w:spacing w:line="560" w:lineRule="exact"/>
        <w:ind w:firstLine="420" w:firstLineChars="200"/>
        <w:rPr>
          <w:rFonts w:ascii="宋体" w:hAnsi="宋体" w:cs="宋体"/>
          <w:szCs w:val="21"/>
        </w:rPr>
      </w:pPr>
      <w:r>
        <w:rPr>
          <w:rFonts w:hint="eastAsia" w:ascii="宋体" w:hAnsi="宋体" w:cs="宋体"/>
          <w:szCs w:val="21"/>
        </w:rPr>
        <w:t>(1)</w:t>
      </w:r>
      <w:r>
        <w:rPr>
          <w:rFonts w:hint="eastAsia"/>
        </w:rPr>
        <w:t xml:space="preserve"> </w:t>
      </w:r>
      <w:r>
        <w:rPr>
          <w:rFonts w:hint="eastAsia" w:ascii="宋体" w:hAnsi="宋体" w:cs="宋体"/>
          <w:szCs w:val="21"/>
        </w:rPr>
        <w:t>合同签订后，乙方提供付款申请书及对应的足额增值税专用发票等付款资料，甲方在收到上述资料</w:t>
      </w:r>
      <w:r>
        <w:rPr>
          <w:rFonts w:ascii="宋体" w:hAnsi="宋体" w:cs="宋体"/>
          <w:szCs w:val="21"/>
        </w:rPr>
        <w:t>20</w:t>
      </w:r>
      <w:r>
        <w:rPr>
          <w:rFonts w:hint="eastAsia" w:ascii="宋体" w:hAnsi="宋体" w:cs="宋体"/>
          <w:szCs w:val="21"/>
        </w:rPr>
        <w:t>个工作日内支付合同总额的80%，即￥________元，大写人民币________整；</w:t>
      </w:r>
    </w:p>
    <w:p>
      <w:pPr>
        <w:spacing w:line="560" w:lineRule="exact"/>
        <w:ind w:firstLine="420" w:firstLineChars="200"/>
        <w:rPr>
          <w:rFonts w:ascii="宋体" w:hAnsi="宋体" w:cs="宋体"/>
          <w:szCs w:val="21"/>
        </w:rPr>
      </w:pPr>
      <w:r>
        <w:rPr>
          <w:rFonts w:hint="eastAsia" w:ascii="宋体" w:hAnsi="宋体" w:cs="宋体"/>
          <w:szCs w:val="21"/>
        </w:rPr>
        <w:t>(2)</w:t>
      </w:r>
      <w:r>
        <w:rPr>
          <w:rFonts w:hint="eastAsia"/>
        </w:rPr>
        <w:t xml:space="preserve"> </w:t>
      </w:r>
      <w:r>
        <w:rPr>
          <w:rFonts w:hint="eastAsia" w:ascii="宋体" w:hAnsi="宋体" w:cs="宋体"/>
          <w:szCs w:val="21"/>
        </w:rPr>
        <w:t>乙方按照合同要求，完成评估工作并向甲方提交《中州航空主基地搬迁项目飞行模拟训练中心对海口美兰机场10号跑道航向信标台空间信号影响专项技术研究报告》，组织专家评审并验收通过后，乙方向甲方提供付款申请书和剩余款项的足额增值税专用发票、合同约定应提交的全部项目成果，甲方在收到上述材料15个工作日内支付乙方合同总额的20%，即￥________元（大写人民币________整）。</w:t>
      </w:r>
    </w:p>
    <w:p>
      <w:pPr>
        <w:spacing w:line="560" w:lineRule="exact"/>
        <w:ind w:firstLine="420" w:firstLineChars="200"/>
        <w:rPr>
          <w:rFonts w:ascii="宋体" w:hAnsi="宋体" w:cs="宋体"/>
          <w:szCs w:val="21"/>
        </w:rPr>
      </w:pPr>
    </w:p>
    <w:p>
      <w:pPr>
        <w:spacing w:line="560" w:lineRule="exact"/>
        <w:ind w:firstLine="420" w:firstLineChars="200"/>
        <w:rPr>
          <w:rFonts w:ascii="宋体" w:hAnsi="宋体" w:cs="宋体"/>
          <w:szCs w:val="21"/>
        </w:rPr>
      </w:pPr>
      <w:r>
        <w:rPr>
          <w:rFonts w:hint="eastAsia" w:ascii="宋体" w:hAnsi="宋体" w:cs="宋体"/>
          <w:szCs w:val="21"/>
        </w:rPr>
        <w:t>乙方的开户银行名称、地址和账号为：</w:t>
      </w:r>
    </w:p>
    <w:p>
      <w:pPr>
        <w:spacing w:line="560" w:lineRule="exact"/>
        <w:ind w:firstLine="420" w:firstLineChars="200"/>
        <w:rPr>
          <w:rFonts w:ascii="宋体" w:hAnsi="宋体" w:cs="宋体"/>
          <w:szCs w:val="21"/>
        </w:rPr>
      </w:pPr>
      <w:r>
        <w:rPr>
          <w:rFonts w:hint="eastAsia" w:ascii="宋体" w:hAnsi="宋体" w:cs="宋体"/>
          <w:szCs w:val="21"/>
        </w:rPr>
        <w:t>账户名称：__________________</w:t>
      </w:r>
    </w:p>
    <w:p>
      <w:pPr>
        <w:spacing w:line="560" w:lineRule="exact"/>
        <w:ind w:firstLine="420" w:firstLineChars="200"/>
        <w:rPr>
          <w:rFonts w:ascii="宋体" w:hAnsi="宋体" w:cs="宋体"/>
          <w:szCs w:val="21"/>
        </w:rPr>
      </w:pPr>
      <w:r>
        <w:rPr>
          <w:rFonts w:hint="eastAsia" w:ascii="宋体" w:hAnsi="宋体" w:cs="宋体"/>
          <w:szCs w:val="21"/>
        </w:rPr>
        <w:t>开户银行：__________________</w:t>
      </w:r>
    </w:p>
    <w:p>
      <w:pPr>
        <w:spacing w:line="560" w:lineRule="exact"/>
        <w:ind w:firstLine="420" w:firstLineChars="200"/>
        <w:rPr>
          <w:rFonts w:ascii="宋体" w:hAnsi="宋体" w:cs="宋体"/>
          <w:szCs w:val="21"/>
        </w:rPr>
      </w:pPr>
      <w:r>
        <w:rPr>
          <w:rFonts w:hint="eastAsia" w:ascii="宋体" w:hAnsi="宋体" w:cs="宋体"/>
          <w:szCs w:val="21"/>
        </w:rPr>
        <w:t>银行账号：__________________</w:t>
      </w:r>
    </w:p>
    <w:p>
      <w:pPr>
        <w:spacing w:line="560" w:lineRule="exact"/>
        <w:ind w:firstLine="420" w:firstLineChars="200"/>
        <w:rPr>
          <w:rFonts w:ascii="宋体" w:hAnsi="宋体" w:cs="宋体"/>
          <w:szCs w:val="21"/>
        </w:rPr>
      </w:pPr>
      <w:r>
        <w:rPr>
          <w:rFonts w:hint="eastAsia" w:ascii="宋体" w:hAnsi="宋体" w:cs="宋体"/>
          <w:szCs w:val="21"/>
        </w:rPr>
        <w:t>乙方为完成上述工作发生的交通、会议、食宿等费用由乙方自行承担。甲方付款之前，乙方应提供相同金额的正式发票。</w:t>
      </w:r>
    </w:p>
    <w:p>
      <w:pPr>
        <w:numPr>
          <w:ilvl w:val="0"/>
          <w:numId w:val="3"/>
        </w:numPr>
        <w:spacing w:line="560" w:lineRule="exact"/>
        <w:ind w:firstLine="422" w:firstLineChars="200"/>
        <w:rPr>
          <w:rFonts w:ascii="宋体" w:hAnsi="宋体" w:cs="宋体"/>
          <w:b/>
          <w:bCs/>
          <w:szCs w:val="21"/>
        </w:rPr>
      </w:pPr>
      <w:r>
        <w:rPr>
          <w:rFonts w:hint="eastAsia" w:ascii="宋体" w:hAnsi="宋体" w:cs="宋体"/>
          <w:b/>
          <w:bCs/>
          <w:szCs w:val="21"/>
        </w:rPr>
        <w:t>保密义务</w:t>
      </w:r>
    </w:p>
    <w:p>
      <w:pPr>
        <w:spacing w:line="560" w:lineRule="exact"/>
        <w:ind w:firstLine="420" w:firstLineChars="200"/>
        <w:rPr>
          <w:rFonts w:ascii="宋体" w:hAnsi="宋体" w:cs="宋体"/>
          <w:szCs w:val="21"/>
        </w:rPr>
      </w:pPr>
      <w:r>
        <w:rPr>
          <w:rFonts w:hint="eastAsia" w:ascii="宋体" w:hAnsi="宋体" w:cs="宋体"/>
          <w:szCs w:val="21"/>
        </w:rPr>
        <w:t>1.保密内容：乙方不得将甲方因工作开展提供的相关材料泄露给与本工作无关的第三方。乙方应当妥善保存保密材料，并对保密材料在工作研究期间发生的被盗、不慎泄漏等事件承担全部责任。</w:t>
      </w:r>
    </w:p>
    <w:p>
      <w:pPr>
        <w:spacing w:line="560" w:lineRule="exact"/>
        <w:ind w:firstLine="420" w:firstLineChars="200"/>
        <w:rPr>
          <w:rFonts w:ascii="宋体" w:hAnsi="宋体" w:cs="宋体"/>
          <w:szCs w:val="21"/>
        </w:rPr>
      </w:pPr>
      <w:r>
        <w:rPr>
          <w:rFonts w:hint="eastAsia" w:ascii="宋体" w:hAnsi="宋体" w:cs="宋体"/>
          <w:szCs w:val="21"/>
        </w:rPr>
        <w:t>2.涉密人员范围：乙方项目组人员。</w:t>
      </w:r>
    </w:p>
    <w:p>
      <w:pPr>
        <w:spacing w:line="560" w:lineRule="exact"/>
        <w:ind w:firstLine="420" w:firstLineChars="200"/>
        <w:rPr>
          <w:rFonts w:ascii="宋体" w:hAnsi="宋体" w:cs="宋体"/>
          <w:szCs w:val="21"/>
        </w:rPr>
      </w:pPr>
      <w:r>
        <w:rPr>
          <w:rFonts w:hint="eastAsia" w:ascii="宋体" w:hAnsi="宋体" w:cs="宋体"/>
          <w:szCs w:val="21"/>
        </w:rPr>
        <w:t>3.泄密责任：赔偿经济损失。</w:t>
      </w:r>
    </w:p>
    <w:p>
      <w:pPr>
        <w:spacing w:line="560" w:lineRule="exact"/>
        <w:ind w:firstLine="422" w:firstLineChars="200"/>
        <w:rPr>
          <w:rFonts w:ascii="宋体" w:hAnsi="宋体" w:cs="宋体"/>
          <w:szCs w:val="21"/>
        </w:rPr>
      </w:pPr>
      <w:r>
        <w:rPr>
          <w:rFonts w:hint="eastAsia" w:ascii="宋体" w:hAnsi="宋体" w:cs="宋体"/>
          <w:b/>
          <w:bCs/>
          <w:szCs w:val="21"/>
        </w:rPr>
        <w:t>第七条 成果验收</w:t>
      </w:r>
    </w:p>
    <w:p>
      <w:pPr>
        <w:spacing w:line="560" w:lineRule="exact"/>
        <w:ind w:firstLine="420" w:firstLineChars="200"/>
        <w:rPr>
          <w:rFonts w:ascii="宋体" w:hAnsi="宋体" w:cs="宋体"/>
          <w:szCs w:val="21"/>
        </w:rPr>
      </w:pPr>
      <w:r>
        <w:rPr>
          <w:rFonts w:hint="eastAsia" w:ascii="宋体" w:hAnsi="宋体" w:cs="宋体"/>
          <w:szCs w:val="21"/>
        </w:rPr>
        <w:t>乙方提交研究成果及形式：向甲方提交研究报告完整版、简版纸质版及电子版，提交数量根据甲方需要而定；项目绩效自评报告纸质版和电子版。验收标准：乙方组织评审专家验收，甲方配合。验收时间和地点：由双方协商确定。</w:t>
      </w:r>
    </w:p>
    <w:p>
      <w:pPr>
        <w:spacing w:line="560" w:lineRule="exact"/>
        <w:ind w:firstLine="422" w:firstLineChars="200"/>
        <w:rPr>
          <w:rFonts w:ascii="宋体" w:hAnsi="宋体" w:cs="宋体"/>
          <w:b/>
          <w:bCs/>
          <w:szCs w:val="21"/>
        </w:rPr>
      </w:pPr>
      <w:r>
        <w:rPr>
          <w:rFonts w:hint="eastAsia" w:ascii="宋体" w:hAnsi="宋体" w:cs="宋体"/>
          <w:b/>
          <w:bCs/>
          <w:szCs w:val="21"/>
        </w:rPr>
        <w:t>第八条 知识产权归属</w:t>
      </w:r>
    </w:p>
    <w:p>
      <w:pPr>
        <w:spacing w:line="560" w:lineRule="exact"/>
        <w:ind w:firstLine="420" w:firstLineChars="200"/>
        <w:rPr>
          <w:rFonts w:ascii="宋体" w:hAnsi="宋体" w:cs="宋体"/>
          <w:szCs w:val="21"/>
        </w:rPr>
      </w:pPr>
      <w:r>
        <w:rPr>
          <w:rFonts w:hint="eastAsia" w:ascii="宋体" w:hAnsi="宋体" w:cs="宋体"/>
          <w:szCs w:val="21"/>
        </w:rPr>
        <w:t>1.在本合同有效期内，甲方利用乙方提交的研究成果所完成的新的技术成果，归甲方所有。</w:t>
      </w:r>
    </w:p>
    <w:p>
      <w:pPr>
        <w:spacing w:line="560" w:lineRule="exact"/>
        <w:ind w:firstLine="420" w:firstLineChars="200"/>
        <w:rPr>
          <w:rFonts w:ascii="宋体" w:hAnsi="宋体" w:cs="宋体"/>
          <w:szCs w:val="21"/>
        </w:rPr>
      </w:pPr>
      <w:r>
        <w:rPr>
          <w:rFonts w:hint="eastAsia" w:ascii="宋体" w:hAnsi="宋体" w:cs="宋体"/>
          <w:szCs w:val="21"/>
        </w:rPr>
        <w:t>2.在本合同有效期内，乙方利用甲方提供的技术资料和工作条件所完成的新的技术成果，归甲方所有。</w:t>
      </w:r>
    </w:p>
    <w:p>
      <w:pPr>
        <w:spacing w:line="560" w:lineRule="exact"/>
        <w:ind w:firstLine="420" w:firstLineChars="200"/>
        <w:rPr>
          <w:rFonts w:ascii="宋体" w:hAnsi="宋体" w:cs="宋体"/>
          <w:szCs w:val="21"/>
        </w:rPr>
      </w:pPr>
      <w:r>
        <w:rPr>
          <w:rFonts w:hint="eastAsia" w:ascii="宋体" w:hAnsi="宋体" w:cs="宋体"/>
          <w:szCs w:val="21"/>
        </w:rPr>
        <w:t>3.未经甲方书面同意，乙方不得自行对外发表研究报告等成果。乙方不得以甲方名义进行任何商业宣传，否则由乙方承担后果。</w:t>
      </w:r>
    </w:p>
    <w:p>
      <w:pPr>
        <w:spacing w:line="560" w:lineRule="exact"/>
        <w:ind w:firstLine="420" w:firstLineChars="200"/>
        <w:rPr>
          <w:rFonts w:ascii="宋体" w:hAnsi="宋体" w:cs="宋体"/>
          <w:szCs w:val="21"/>
        </w:rPr>
      </w:pPr>
      <w:r>
        <w:rPr>
          <w:rFonts w:hint="eastAsia" w:ascii="宋体" w:hAnsi="宋体" w:cs="宋体"/>
          <w:szCs w:val="21"/>
        </w:rPr>
        <w:t>4.乙方不得以甲方名义进行任何商业宜传，否则由乙方承担后果。</w:t>
      </w:r>
    </w:p>
    <w:p>
      <w:pPr>
        <w:spacing w:line="560" w:lineRule="exact"/>
        <w:ind w:firstLine="422" w:firstLineChars="200"/>
        <w:rPr>
          <w:rFonts w:ascii="宋体" w:hAnsi="宋体" w:cs="宋体"/>
          <w:b/>
          <w:bCs/>
          <w:szCs w:val="21"/>
        </w:rPr>
      </w:pPr>
      <w:r>
        <w:rPr>
          <w:rFonts w:hint="eastAsia" w:ascii="宋体" w:hAnsi="宋体" w:cs="宋体"/>
          <w:b/>
          <w:bCs/>
          <w:szCs w:val="21"/>
        </w:rPr>
        <w:t>第九条 违约责任</w:t>
      </w:r>
    </w:p>
    <w:p>
      <w:pPr>
        <w:spacing w:line="560" w:lineRule="exact"/>
        <w:ind w:firstLine="420" w:firstLineChars="200"/>
        <w:rPr>
          <w:rFonts w:ascii="宋体" w:hAnsi="宋体" w:cs="宋体"/>
          <w:szCs w:val="21"/>
        </w:rPr>
      </w:pPr>
      <w:r>
        <w:rPr>
          <w:rFonts w:hint="eastAsia" w:ascii="宋体" w:hAnsi="宋体" w:cs="宋体"/>
          <w:szCs w:val="21"/>
        </w:rPr>
        <w:t>1.乙方违反本合同第一、二、六、八条约定，应当返还甲方己经支付的本合同咨询经费，并支付合同金额5%的违约金。</w:t>
      </w:r>
    </w:p>
    <w:p>
      <w:pPr>
        <w:spacing w:line="560" w:lineRule="exact"/>
        <w:ind w:firstLine="420" w:firstLineChars="200"/>
        <w:rPr>
          <w:rFonts w:ascii="宋体" w:hAnsi="宋体" w:cs="宋体"/>
          <w:szCs w:val="21"/>
        </w:rPr>
      </w:pPr>
      <w:r>
        <w:rPr>
          <w:rFonts w:hint="eastAsia" w:ascii="宋体" w:hAnsi="宋体" w:cs="宋体"/>
          <w:szCs w:val="21"/>
        </w:rPr>
        <w:t>2.乙方违反服务期限时间约定，应当从延期之日起向甲方每日支付合同金额千分之二的违约金，甲方延期向乙方提供资料造成的工期延误除外。</w:t>
      </w:r>
    </w:p>
    <w:p>
      <w:pPr>
        <w:spacing w:line="560" w:lineRule="exact"/>
        <w:ind w:firstLine="422" w:firstLineChars="200"/>
        <w:rPr>
          <w:rFonts w:ascii="宋体" w:hAnsi="宋体" w:cs="宋体"/>
          <w:b/>
          <w:bCs/>
          <w:szCs w:val="21"/>
        </w:rPr>
      </w:pPr>
      <w:r>
        <w:rPr>
          <w:rFonts w:hint="eastAsia" w:ascii="宋体" w:hAnsi="宋体" w:cs="宋体"/>
          <w:b/>
          <w:bCs/>
          <w:szCs w:val="21"/>
        </w:rPr>
        <w:t>第十条 合同的变更</w:t>
      </w:r>
    </w:p>
    <w:p>
      <w:pPr>
        <w:spacing w:line="560" w:lineRule="exact"/>
        <w:ind w:firstLine="420" w:firstLineChars="200"/>
        <w:rPr>
          <w:rFonts w:ascii="宋体" w:hAnsi="宋体" w:cs="宋体"/>
          <w:szCs w:val="21"/>
        </w:rPr>
      </w:pPr>
      <w:r>
        <w:rPr>
          <w:rFonts w:hint="eastAsia" w:ascii="宋体" w:hAnsi="宋体" w:cs="宋体"/>
          <w:szCs w:val="21"/>
        </w:rPr>
        <w:t>1.本合同的变更必须由双方协商一致，并以书面形式确定。</w:t>
      </w:r>
    </w:p>
    <w:p>
      <w:pPr>
        <w:spacing w:line="560" w:lineRule="exact"/>
        <w:ind w:firstLine="420" w:firstLineChars="200"/>
        <w:rPr>
          <w:rFonts w:ascii="宋体" w:hAnsi="宋体" w:cs="宋体"/>
          <w:szCs w:val="21"/>
        </w:rPr>
      </w:pPr>
      <w:r>
        <w:rPr>
          <w:rFonts w:hint="eastAsia" w:ascii="宋体" w:hAnsi="宋体" w:cs="宋体"/>
          <w:szCs w:val="21"/>
        </w:rPr>
        <w:t>2.甲方提出新的要求或乙方提出新的建议时，一方可以向另一方提出变更合同权利与义务的书面请求，另一方应当在10日内予以书面答复，逾期未予答复的，视为同意。</w:t>
      </w:r>
    </w:p>
    <w:p>
      <w:pPr>
        <w:spacing w:line="560" w:lineRule="exact"/>
        <w:ind w:firstLine="422" w:firstLineChars="200"/>
        <w:rPr>
          <w:rFonts w:ascii="宋体" w:hAnsi="宋体" w:cs="宋体"/>
          <w:b/>
          <w:bCs/>
          <w:szCs w:val="21"/>
        </w:rPr>
      </w:pPr>
      <w:r>
        <w:rPr>
          <w:rFonts w:hint="eastAsia" w:ascii="宋体" w:hAnsi="宋体" w:cs="宋体"/>
          <w:b/>
          <w:bCs/>
          <w:szCs w:val="21"/>
        </w:rPr>
        <w:t>第十一条 项目联系人、负责人</w:t>
      </w:r>
    </w:p>
    <w:p>
      <w:pPr>
        <w:spacing w:line="560" w:lineRule="exact"/>
        <w:ind w:firstLine="420" w:firstLineChars="200"/>
        <w:rPr>
          <w:rFonts w:ascii="宋体" w:hAnsi="宋体" w:cs="宋体"/>
          <w:szCs w:val="21"/>
        </w:rPr>
      </w:pPr>
      <w:r>
        <w:rPr>
          <w:rFonts w:hint="eastAsia" w:ascii="宋体" w:hAnsi="宋体" w:cs="宋体"/>
          <w:szCs w:val="21"/>
        </w:rPr>
        <w:t>双方确定，在本合同有效期内，甲方指定________为甲方项目联系人，乙方指定________为乙方项目负责人。项目负责人承担以下责任：总体负责人、研究统筹、组织协调、撰写核心思路及关键内容等。一方变更负责人或联系人时，应当及时通知另一方；未及时通知并影响本合同履行或造成损失的，应承担相应的贵任。</w:t>
      </w:r>
    </w:p>
    <w:p>
      <w:pPr>
        <w:spacing w:line="560" w:lineRule="exact"/>
        <w:ind w:firstLine="422" w:firstLineChars="200"/>
        <w:rPr>
          <w:rFonts w:ascii="宋体" w:hAnsi="宋体" w:cs="宋体"/>
          <w:b/>
          <w:bCs/>
          <w:szCs w:val="21"/>
        </w:rPr>
      </w:pPr>
      <w:r>
        <w:rPr>
          <w:rFonts w:hint="eastAsia" w:ascii="宋体" w:hAnsi="宋体" w:cs="宋体"/>
          <w:b/>
          <w:bCs/>
          <w:szCs w:val="21"/>
        </w:rPr>
        <w:t>第十二条 合同解除和终止</w:t>
      </w:r>
    </w:p>
    <w:p>
      <w:pPr>
        <w:spacing w:line="560" w:lineRule="exact"/>
        <w:ind w:firstLine="420" w:firstLineChars="200"/>
        <w:rPr>
          <w:rFonts w:ascii="宋体" w:hAnsi="宋体" w:cs="宋体"/>
          <w:szCs w:val="21"/>
        </w:rPr>
      </w:pPr>
      <w:r>
        <w:rPr>
          <w:rFonts w:hint="eastAsia" w:ascii="宋体" w:hAnsi="宋体" w:cs="宋体"/>
          <w:szCs w:val="21"/>
        </w:rPr>
        <w:t>1.甲乙双方各自完成合同规定的责任和义务，合同自然终止。</w:t>
      </w:r>
    </w:p>
    <w:p>
      <w:pPr>
        <w:spacing w:line="560" w:lineRule="exact"/>
        <w:ind w:firstLine="420" w:firstLineChars="200"/>
        <w:rPr>
          <w:rFonts w:ascii="宋体" w:hAnsi="宋体" w:cs="宋体"/>
          <w:szCs w:val="21"/>
        </w:rPr>
      </w:pPr>
      <w:r>
        <w:rPr>
          <w:rFonts w:hint="eastAsia" w:ascii="宋体" w:hAnsi="宋体" w:cs="宋体"/>
          <w:szCs w:val="21"/>
        </w:rPr>
        <w:t>2.双方协商一致同意解除合同。</w:t>
      </w:r>
    </w:p>
    <w:p>
      <w:pPr>
        <w:spacing w:line="560" w:lineRule="exact"/>
        <w:ind w:firstLine="420" w:firstLineChars="200"/>
        <w:rPr>
          <w:rFonts w:ascii="宋体" w:hAnsi="宋体" w:cs="宋体"/>
          <w:szCs w:val="21"/>
        </w:rPr>
      </w:pPr>
      <w:r>
        <w:rPr>
          <w:rFonts w:hint="eastAsia" w:ascii="宋体" w:hAnsi="宋体" w:cs="宋体"/>
          <w:szCs w:val="21"/>
        </w:rPr>
        <w:t>3.发生不可抗力情形时双方可解除合同。</w:t>
      </w:r>
    </w:p>
    <w:p>
      <w:pPr>
        <w:spacing w:line="560" w:lineRule="exact"/>
        <w:ind w:firstLine="422" w:firstLineChars="200"/>
        <w:rPr>
          <w:rFonts w:ascii="宋体" w:hAnsi="宋体" w:cs="宋体"/>
          <w:b/>
          <w:bCs/>
          <w:szCs w:val="21"/>
        </w:rPr>
      </w:pPr>
      <w:r>
        <w:rPr>
          <w:rFonts w:hint="eastAsia" w:ascii="宋体" w:hAnsi="宋体" w:cs="宋体"/>
          <w:b/>
          <w:bCs/>
          <w:szCs w:val="21"/>
        </w:rPr>
        <w:t>第十三条 争端的解决</w:t>
      </w:r>
    </w:p>
    <w:p>
      <w:pPr>
        <w:spacing w:line="560" w:lineRule="exact"/>
        <w:ind w:firstLine="420" w:firstLineChars="200"/>
        <w:rPr>
          <w:rFonts w:ascii="宋体" w:hAnsi="宋体" w:cs="宋体"/>
          <w:szCs w:val="21"/>
        </w:rPr>
      </w:pPr>
      <w:r>
        <w:rPr>
          <w:rFonts w:hint="eastAsia" w:ascii="宋体" w:hAnsi="宋体" w:cs="宋体"/>
          <w:szCs w:val="21"/>
        </w:rPr>
        <w:t>1.凡与本合同有关的一切争议，甲乙双方应首先通过友好协商方式解决,如经协商后仍不能达成一致，任何一方可以向法院提起诉讼。</w:t>
      </w:r>
    </w:p>
    <w:p>
      <w:pPr>
        <w:spacing w:line="560" w:lineRule="exact"/>
        <w:ind w:firstLine="420" w:firstLineChars="200"/>
        <w:rPr>
          <w:rFonts w:ascii="宋体" w:hAnsi="宋体" w:cs="宋体"/>
          <w:szCs w:val="21"/>
        </w:rPr>
      </w:pPr>
      <w:r>
        <w:rPr>
          <w:rFonts w:hint="eastAsia" w:ascii="宋体" w:hAnsi="宋体" w:cs="宋体"/>
          <w:szCs w:val="21"/>
        </w:rPr>
        <w:t>2.本合同的诉讼管辖法院为甲方所在地人民法院。</w:t>
      </w:r>
    </w:p>
    <w:p>
      <w:pPr>
        <w:spacing w:line="560" w:lineRule="exact"/>
        <w:ind w:firstLine="422" w:firstLineChars="200"/>
        <w:rPr>
          <w:rFonts w:ascii="宋体" w:hAnsi="宋体" w:cs="宋体"/>
          <w:b/>
          <w:bCs/>
          <w:szCs w:val="21"/>
        </w:rPr>
      </w:pPr>
      <w:r>
        <w:rPr>
          <w:rFonts w:hint="eastAsia" w:ascii="宋体" w:hAnsi="宋体" w:cs="宋体"/>
          <w:b/>
          <w:bCs/>
          <w:szCs w:val="21"/>
        </w:rPr>
        <w:t xml:space="preserve">第十四条合同生效 </w:t>
      </w:r>
    </w:p>
    <w:p>
      <w:pPr>
        <w:spacing w:line="560" w:lineRule="exact"/>
        <w:ind w:firstLine="420" w:firstLineChars="200"/>
        <w:rPr>
          <w:rFonts w:ascii="宋体" w:hAnsi="宋体" w:cs="宋体"/>
          <w:szCs w:val="21"/>
        </w:rPr>
      </w:pPr>
      <w:r>
        <w:rPr>
          <w:rFonts w:hint="eastAsia" w:ascii="宋体" w:hAnsi="宋体" w:cs="宋体"/>
          <w:szCs w:val="21"/>
        </w:rPr>
        <w:t>本合同经双方签字盖章后生效。</w:t>
      </w:r>
    </w:p>
    <w:p>
      <w:pPr>
        <w:spacing w:line="560" w:lineRule="exact"/>
        <w:ind w:firstLine="422" w:firstLineChars="200"/>
        <w:rPr>
          <w:rFonts w:ascii="宋体" w:hAnsi="宋体" w:cs="宋体"/>
          <w:b/>
          <w:bCs/>
          <w:szCs w:val="21"/>
        </w:rPr>
      </w:pPr>
      <w:r>
        <w:rPr>
          <w:rFonts w:hint="eastAsia" w:ascii="宋体" w:hAnsi="宋体" w:cs="宋体"/>
          <w:b/>
          <w:bCs/>
          <w:szCs w:val="21"/>
        </w:rPr>
        <w:t>第十五条其他</w:t>
      </w:r>
    </w:p>
    <w:p>
      <w:pPr>
        <w:spacing w:line="560" w:lineRule="exact"/>
        <w:ind w:firstLine="420" w:firstLineChars="200"/>
        <w:rPr>
          <w:rFonts w:ascii="宋体" w:hAnsi="宋体" w:cs="宋体"/>
          <w:szCs w:val="21"/>
        </w:rPr>
      </w:pPr>
      <w:r>
        <w:rPr>
          <w:rFonts w:hint="eastAsia" w:ascii="宋体" w:hAnsi="宋体" w:cs="宋体"/>
          <w:szCs w:val="21"/>
        </w:rPr>
        <w:t>1.合同未尽事宜，由双方本者友好协商原则，另行签订补充协议。补充协议与本合同具有同等法律效力。</w:t>
      </w:r>
    </w:p>
    <w:p>
      <w:pPr>
        <w:spacing w:line="560" w:lineRule="exact"/>
        <w:ind w:firstLine="420" w:firstLineChars="200"/>
        <w:rPr>
          <w:rFonts w:ascii="宋体" w:hAnsi="宋体" w:cs="宋体"/>
          <w:szCs w:val="21"/>
        </w:rPr>
      </w:pPr>
      <w:r>
        <w:rPr>
          <w:rFonts w:hint="eastAsia" w:ascii="宋体" w:hAnsi="宋体" w:cs="宋体"/>
          <w:szCs w:val="21"/>
        </w:rPr>
        <w:t>2.本合同一式____份，甲方执____份，乙方执____份，具有同等法律效力。</w:t>
      </w:r>
    </w:p>
    <w:p>
      <w:pPr>
        <w:spacing w:line="560" w:lineRule="exact"/>
        <w:ind w:firstLine="422" w:firstLineChars="200"/>
        <w:rPr>
          <w:rFonts w:ascii="宋体" w:hAnsi="宋体" w:cs="宋体"/>
          <w:b/>
          <w:bCs/>
          <w:szCs w:val="21"/>
        </w:rPr>
      </w:pPr>
    </w:p>
    <w:p>
      <w:pPr>
        <w:spacing w:line="560" w:lineRule="exact"/>
        <w:ind w:firstLine="422" w:firstLineChars="200"/>
        <w:rPr>
          <w:rFonts w:ascii="宋体" w:hAnsi="宋体" w:cs="宋体"/>
          <w:b/>
          <w:bCs/>
          <w:szCs w:val="21"/>
        </w:rPr>
      </w:pPr>
    </w:p>
    <w:p>
      <w:pPr>
        <w:spacing w:line="560" w:lineRule="exact"/>
        <w:ind w:firstLine="422" w:firstLineChars="200"/>
        <w:rPr>
          <w:rFonts w:ascii="宋体" w:hAnsi="宋体" w:cs="宋体"/>
          <w:b/>
          <w:bCs/>
          <w:szCs w:val="21"/>
        </w:rPr>
      </w:pPr>
    </w:p>
    <w:p>
      <w:pPr>
        <w:spacing w:line="560" w:lineRule="exact"/>
        <w:ind w:firstLine="422" w:firstLineChars="200"/>
        <w:rPr>
          <w:rFonts w:ascii="宋体" w:hAnsi="宋体" w:cs="宋体"/>
          <w:b/>
          <w:bCs/>
          <w:szCs w:val="21"/>
        </w:rPr>
      </w:pPr>
    </w:p>
    <w:p>
      <w:pPr>
        <w:spacing w:line="560" w:lineRule="exact"/>
        <w:ind w:firstLine="422" w:firstLineChars="200"/>
        <w:rPr>
          <w:rFonts w:ascii="宋体" w:hAnsi="宋体" w:cs="宋体"/>
          <w:b/>
          <w:bCs/>
          <w:szCs w:val="21"/>
        </w:rPr>
      </w:pPr>
    </w:p>
    <w:p>
      <w:pPr>
        <w:spacing w:line="560" w:lineRule="exact"/>
        <w:rPr>
          <w:rFonts w:ascii="宋体" w:hAnsi="宋体" w:cs="宋体"/>
          <w:b/>
          <w:bCs/>
          <w:szCs w:val="21"/>
        </w:rPr>
      </w:pPr>
      <w:r>
        <w:rPr>
          <w:rFonts w:hint="eastAsia" w:ascii="宋体" w:hAnsi="宋体" w:cs="宋体"/>
          <w:b/>
          <w:bCs/>
          <w:szCs w:val="21"/>
        </w:rPr>
        <w:t>[本合同正文结束，以下为合同签署页]</w:t>
      </w:r>
    </w:p>
    <w:p>
      <w:pPr>
        <w:spacing w:line="560" w:lineRule="exact"/>
        <w:ind w:firstLine="420" w:firstLineChars="200"/>
        <w:rPr>
          <w:rFonts w:ascii="宋体" w:hAnsi="宋体" w:cs="宋体"/>
          <w:szCs w:val="21"/>
        </w:rPr>
      </w:pPr>
      <w:r>
        <w:rPr>
          <w:rFonts w:hint="eastAsia" w:ascii="宋体" w:hAnsi="宋体" w:cs="宋体"/>
          <w:szCs w:val="21"/>
        </w:rPr>
        <w:t>甲方： （盖章）</w:t>
      </w:r>
    </w:p>
    <w:p>
      <w:pPr>
        <w:spacing w:line="560" w:lineRule="exact"/>
        <w:ind w:firstLine="420" w:firstLineChars="200"/>
        <w:rPr>
          <w:rFonts w:ascii="宋体" w:hAnsi="宋体" w:cs="宋体"/>
          <w:szCs w:val="21"/>
        </w:rPr>
      </w:pPr>
      <w:r>
        <w:rPr>
          <w:rFonts w:hint="eastAsia" w:ascii="宋体" w:hAnsi="宋体" w:cs="宋体"/>
          <w:szCs w:val="21"/>
        </w:rPr>
        <w:t>法定代表人/委托代理人：（签名&gt;:</w:t>
      </w:r>
    </w:p>
    <w:p>
      <w:pPr>
        <w:spacing w:line="560" w:lineRule="exact"/>
        <w:ind w:firstLine="420" w:firstLineChars="200"/>
        <w:rPr>
          <w:rFonts w:ascii="宋体" w:hAnsi="宋体" w:cs="宋体"/>
          <w:szCs w:val="21"/>
        </w:rPr>
      </w:pPr>
      <w:r>
        <w:rPr>
          <w:rFonts w:hint="eastAsia" w:ascii="宋体" w:hAnsi="宋体" w:cs="宋体"/>
          <w:szCs w:val="21"/>
        </w:rPr>
        <w:t xml:space="preserve">住所地：  </w:t>
      </w:r>
    </w:p>
    <w:p>
      <w:pPr>
        <w:spacing w:line="560" w:lineRule="exact"/>
        <w:ind w:firstLine="420" w:firstLineChars="200"/>
        <w:rPr>
          <w:rFonts w:ascii="宋体" w:hAnsi="宋体" w:cs="宋体"/>
          <w:szCs w:val="21"/>
        </w:rPr>
      </w:pPr>
      <w:r>
        <w:rPr>
          <w:rFonts w:hint="eastAsia" w:ascii="宋体" w:hAnsi="宋体" w:cs="宋体"/>
          <w:szCs w:val="21"/>
        </w:rPr>
        <w:t>电话：</w:t>
      </w:r>
    </w:p>
    <w:p>
      <w:pPr>
        <w:spacing w:line="560" w:lineRule="exact"/>
        <w:ind w:firstLine="420" w:firstLineChars="200"/>
        <w:rPr>
          <w:rFonts w:ascii="宋体" w:hAnsi="宋体" w:cs="宋体"/>
          <w:szCs w:val="21"/>
        </w:rPr>
      </w:pPr>
      <w:r>
        <w:rPr>
          <w:rFonts w:hint="eastAsia" w:ascii="宋体" w:hAnsi="宋体" w:cs="宋体"/>
          <w:szCs w:val="21"/>
        </w:rPr>
        <w:t>传真：</w:t>
      </w:r>
    </w:p>
    <w:p>
      <w:pPr>
        <w:spacing w:line="560" w:lineRule="exact"/>
        <w:ind w:firstLine="420" w:firstLineChars="200"/>
        <w:rPr>
          <w:rFonts w:ascii="宋体" w:hAnsi="宋体" w:cs="宋体"/>
          <w:szCs w:val="21"/>
        </w:rPr>
      </w:pPr>
      <w:r>
        <w:rPr>
          <w:rFonts w:hint="eastAsia" w:ascii="宋体" w:hAnsi="宋体" w:cs="宋体"/>
          <w:szCs w:val="21"/>
        </w:rPr>
        <w:t>项目联系人：</w:t>
      </w:r>
    </w:p>
    <w:p>
      <w:pPr>
        <w:spacing w:line="560" w:lineRule="exact"/>
        <w:ind w:firstLine="420" w:firstLineChars="200"/>
        <w:rPr>
          <w:rFonts w:ascii="宋体" w:hAnsi="宋体" w:cs="宋体"/>
          <w:szCs w:val="21"/>
        </w:rPr>
      </w:pPr>
      <w:r>
        <w:rPr>
          <w:rFonts w:hint="eastAsia" w:ascii="宋体" w:hAnsi="宋体" w:cs="宋体"/>
          <w:szCs w:val="21"/>
        </w:rPr>
        <w:t>联系方式：</w:t>
      </w:r>
    </w:p>
    <w:p>
      <w:pPr>
        <w:spacing w:line="560" w:lineRule="exact"/>
        <w:ind w:firstLine="630" w:firstLineChars="300"/>
        <w:rPr>
          <w:rFonts w:ascii="宋体" w:hAnsi="宋体" w:cs="宋体"/>
          <w:szCs w:val="21"/>
        </w:rPr>
      </w:pPr>
      <w:r>
        <w:rPr>
          <w:rFonts w:hint="eastAsia" w:ascii="宋体" w:hAnsi="宋体" w:cs="宋体"/>
          <w:szCs w:val="21"/>
        </w:rPr>
        <w:t>年  月  日</w:t>
      </w:r>
    </w:p>
    <w:p>
      <w:pPr>
        <w:spacing w:line="560" w:lineRule="exact"/>
        <w:ind w:firstLine="630" w:firstLineChars="300"/>
        <w:rPr>
          <w:rFonts w:ascii="宋体" w:hAnsi="宋体" w:cs="宋体"/>
          <w:szCs w:val="21"/>
        </w:rPr>
      </w:pPr>
    </w:p>
    <w:p>
      <w:pPr>
        <w:spacing w:line="560" w:lineRule="exact"/>
        <w:ind w:firstLine="630" w:firstLineChars="300"/>
        <w:rPr>
          <w:rFonts w:ascii="宋体" w:hAnsi="宋体" w:cs="宋体"/>
          <w:szCs w:val="21"/>
        </w:rPr>
      </w:pPr>
    </w:p>
    <w:p>
      <w:pPr>
        <w:spacing w:line="560" w:lineRule="exact"/>
        <w:ind w:firstLine="420" w:firstLineChars="200"/>
        <w:rPr>
          <w:rFonts w:ascii="宋体" w:hAnsi="宋体" w:cs="宋体"/>
          <w:szCs w:val="21"/>
        </w:rPr>
      </w:pPr>
      <w:r>
        <w:rPr>
          <w:rFonts w:hint="eastAsia" w:ascii="宋体" w:hAnsi="宋体" w:cs="宋体"/>
          <w:szCs w:val="21"/>
        </w:rPr>
        <w:t>乙方：（盖章）</w:t>
      </w:r>
    </w:p>
    <w:p>
      <w:pPr>
        <w:spacing w:line="560" w:lineRule="exact"/>
        <w:ind w:firstLine="420" w:firstLineChars="200"/>
        <w:rPr>
          <w:rFonts w:ascii="宋体" w:hAnsi="宋体" w:cs="宋体"/>
          <w:szCs w:val="21"/>
        </w:rPr>
      </w:pPr>
      <w:r>
        <w:rPr>
          <w:rFonts w:hint="eastAsia" w:ascii="宋体" w:hAnsi="宋体" w:cs="宋体"/>
          <w:szCs w:val="21"/>
        </w:rPr>
        <w:t>法定代表人/委托代理人：（签名）</w:t>
      </w:r>
    </w:p>
    <w:p>
      <w:pPr>
        <w:spacing w:line="560" w:lineRule="exact"/>
        <w:ind w:firstLine="420" w:firstLineChars="200"/>
        <w:rPr>
          <w:rFonts w:ascii="宋体" w:hAnsi="宋体" w:cs="宋体"/>
          <w:szCs w:val="21"/>
        </w:rPr>
      </w:pPr>
      <w:r>
        <w:rPr>
          <w:rFonts w:hint="eastAsia" w:ascii="宋体" w:hAnsi="宋体" w:cs="宋体"/>
          <w:szCs w:val="21"/>
        </w:rPr>
        <w:t>住所地：</w:t>
      </w:r>
    </w:p>
    <w:p>
      <w:pPr>
        <w:spacing w:line="560" w:lineRule="exact"/>
        <w:ind w:firstLine="420" w:firstLineChars="200"/>
        <w:rPr>
          <w:rFonts w:ascii="宋体" w:hAnsi="宋体" w:cs="宋体"/>
          <w:szCs w:val="21"/>
        </w:rPr>
      </w:pPr>
      <w:r>
        <w:rPr>
          <w:rFonts w:hint="eastAsia" w:ascii="宋体" w:hAnsi="宋体" w:cs="宋体"/>
          <w:szCs w:val="21"/>
        </w:rPr>
        <w:t>电话：</w:t>
      </w:r>
    </w:p>
    <w:p>
      <w:pPr>
        <w:spacing w:line="560" w:lineRule="exact"/>
        <w:ind w:firstLine="420" w:firstLineChars="200"/>
        <w:rPr>
          <w:rFonts w:ascii="宋体" w:hAnsi="宋体" w:cs="宋体"/>
          <w:szCs w:val="21"/>
        </w:rPr>
      </w:pPr>
      <w:r>
        <w:rPr>
          <w:rFonts w:hint="eastAsia" w:ascii="宋体" w:hAnsi="宋体" w:cs="宋体"/>
          <w:szCs w:val="21"/>
        </w:rPr>
        <w:t>传真：</w:t>
      </w:r>
    </w:p>
    <w:p>
      <w:pPr>
        <w:spacing w:line="560" w:lineRule="exact"/>
        <w:ind w:firstLine="420" w:firstLineChars="200"/>
        <w:rPr>
          <w:rFonts w:ascii="宋体" w:hAnsi="宋体" w:cs="宋体"/>
          <w:szCs w:val="21"/>
        </w:rPr>
      </w:pPr>
      <w:r>
        <w:rPr>
          <w:rFonts w:hint="eastAsia" w:ascii="宋体" w:hAnsi="宋体" w:cs="宋体"/>
          <w:szCs w:val="21"/>
        </w:rPr>
        <w:t>项目负责人：</w:t>
      </w:r>
    </w:p>
    <w:p>
      <w:pPr>
        <w:spacing w:line="560" w:lineRule="exact"/>
        <w:ind w:firstLine="420" w:firstLineChars="200"/>
        <w:rPr>
          <w:rFonts w:ascii="宋体" w:hAnsi="宋体" w:cs="宋体"/>
          <w:szCs w:val="21"/>
        </w:rPr>
      </w:pPr>
      <w:r>
        <w:rPr>
          <w:rFonts w:hint="eastAsia" w:ascii="宋体" w:hAnsi="宋体" w:cs="宋体"/>
          <w:szCs w:val="21"/>
        </w:rPr>
        <w:t>联系方式：</w:t>
      </w:r>
    </w:p>
    <w:p>
      <w:pPr>
        <w:spacing w:line="560" w:lineRule="exact"/>
        <w:ind w:firstLine="630" w:firstLineChars="300"/>
        <w:rPr>
          <w:rFonts w:ascii="宋体" w:hAnsi="宋体" w:cs="宋体"/>
          <w:szCs w:val="21"/>
        </w:rPr>
      </w:pPr>
      <w:r>
        <w:rPr>
          <w:rFonts w:hint="eastAsia" w:ascii="宋体" w:hAnsi="宋体" w:cs="宋体"/>
          <w:szCs w:val="21"/>
        </w:rPr>
        <w:t>年  月  日</w:t>
      </w:r>
    </w:p>
    <w:p>
      <w:pPr>
        <w:adjustRightInd w:val="0"/>
        <w:snapToGrid w:val="0"/>
        <w:spacing w:line="360" w:lineRule="auto"/>
        <w:rPr>
          <w:rFonts w:ascii="宋体" w:hAnsi="宋体" w:cs="宋体"/>
          <w:bCs/>
          <w:szCs w:val="21"/>
        </w:rPr>
        <w:sectPr>
          <w:headerReference r:id="rId13" w:type="default"/>
          <w:footerReference r:id="rId14" w:type="default"/>
          <w:pgSz w:w="11906" w:h="16838"/>
          <w:pgMar w:top="1440" w:right="1800" w:bottom="1440" w:left="1800" w:header="794" w:footer="992" w:gutter="0"/>
          <w:cols w:space="425" w:num="1"/>
          <w:docGrid w:type="lines" w:linePitch="312" w:charSpace="0"/>
        </w:sectPr>
      </w:pPr>
    </w:p>
    <w:p>
      <w:pPr>
        <w:adjustRightInd w:val="0"/>
        <w:snapToGrid w:val="0"/>
        <w:spacing w:line="360" w:lineRule="auto"/>
        <w:jc w:val="center"/>
        <w:outlineLvl w:val="0"/>
        <w:rPr>
          <w:rFonts w:asciiTheme="minorEastAsia" w:hAnsiTheme="minorEastAsia" w:eastAsiaTheme="minorEastAsia" w:cstheme="minorEastAsia"/>
          <w:b/>
          <w:color w:val="000000" w:themeColor="text1"/>
          <w:szCs w:val="21"/>
          <w14:textFill>
            <w14:solidFill>
              <w14:schemeClr w14:val="tx1"/>
            </w14:solidFill>
          </w14:textFill>
        </w:rPr>
      </w:pPr>
      <w:bookmarkStart w:id="323" w:name="_Toc7923"/>
      <w:r>
        <w:rPr>
          <w:rFonts w:hint="eastAsia" w:asciiTheme="minorEastAsia" w:hAnsiTheme="minorEastAsia" w:eastAsiaTheme="minorEastAsia" w:cstheme="minorEastAsia"/>
          <w:b/>
          <w:color w:val="000000" w:themeColor="text1"/>
          <w:szCs w:val="21"/>
          <w14:textFill>
            <w14:solidFill>
              <w14:schemeClr w14:val="tx1"/>
            </w14:solidFill>
          </w14:textFill>
        </w:rPr>
        <w:t>第六章  响应文件格式及附件</w:t>
      </w:r>
      <w:bookmarkEnd w:id="323"/>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格式1:                           响 应 声 明 函</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致：（</w:t>
      </w:r>
      <w:r>
        <w:rPr>
          <w:rFonts w:hint="eastAsia" w:asciiTheme="minorEastAsia" w:hAnsiTheme="minorEastAsia" w:eastAsiaTheme="minorEastAsia" w:cstheme="minorEastAsia"/>
          <w:bCs/>
          <w:i/>
          <w:iCs/>
          <w:color w:val="000000" w:themeColor="text1"/>
          <w:szCs w:val="21"/>
          <w:u w:val="single"/>
          <w14:textFill>
            <w14:solidFill>
              <w14:schemeClr w14:val="tx1"/>
            </w14:solidFill>
          </w14:textFill>
        </w:rPr>
        <w:t>采购人）</w:t>
      </w:r>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根据贵方</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（项目名称） </w:t>
      </w:r>
      <w:r>
        <w:rPr>
          <w:rFonts w:hint="eastAsia" w:asciiTheme="minorEastAsia" w:hAnsiTheme="minorEastAsia" w:eastAsiaTheme="minorEastAsia" w:cstheme="minorEastAsia"/>
          <w:bCs/>
          <w:color w:val="000000" w:themeColor="text1"/>
          <w:szCs w:val="21"/>
          <w14:textFill>
            <w14:solidFill>
              <w14:schemeClr w14:val="tx1"/>
            </w14:solidFill>
          </w14:textFill>
        </w:rPr>
        <w:t>项目（项目编号（分包号）：</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）的采购比选公告，本签字代表</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（全名、职务）</w:t>
      </w:r>
      <w:r>
        <w:rPr>
          <w:rFonts w:hint="eastAsia" w:asciiTheme="minorEastAsia" w:hAnsiTheme="minorEastAsia" w:eastAsiaTheme="minorEastAsia" w:cstheme="minorEastAsia"/>
          <w:bCs/>
          <w:color w:val="000000" w:themeColor="text1"/>
          <w:szCs w:val="21"/>
          <w14:textFill>
            <w14:solidFill>
              <w14:schemeClr w14:val="tx1"/>
            </w14:solidFill>
          </w14:textFill>
        </w:rPr>
        <w:t>代表供应商</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（供应商单位名称、地址）</w:t>
      </w:r>
      <w:r>
        <w:rPr>
          <w:rFonts w:hint="eastAsia" w:asciiTheme="minorEastAsia" w:hAnsiTheme="minorEastAsia" w:eastAsiaTheme="minorEastAsia" w:cstheme="minorEastAsia"/>
          <w:bCs/>
          <w:color w:val="000000" w:themeColor="text1"/>
          <w:szCs w:val="21"/>
          <w14:textFill>
            <w14:solidFill>
              <w14:schemeClr w14:val="tx1"/>
            </w14:solidFill>
          </w14:textFill>
        </w:rPr>
        <w:t>提交下述文件正本一份和副本</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份及电子版U盘一个。</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据此函，签字代表承诺如下内容（本承诺内容为响应基本要求，如不满足或有缺漏项的，视为响应无效）：</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1、我们愿意遵守采购比选文件中的各项规定，提供符合采购比选文件所要求的各项服务。</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2、我们同意本响应文件自响应文件接收截止日起90天内有效。</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3、我们已经详细地阅读了全部采购比选文件及附件，包括澄清及参考文件（若有），我们完全理解并同意放弃对这方面有不明及误解的权利。</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4.我们同意按贵司的要求提供有关资料，并保证真实性。     </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供应商代表签字：                 </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供应商（全称并加盖公章）：            </w:t>
      </w: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日  期：</w:t>
      </w: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sectPr>
          <w:headerReference r:id="rId15" w:type="default"/>
          <w:footerReference r:id="rId16" w:type="default"/>
          <w:pgSz w:w="11906" w:h="16838"/>
          <w:pgMar w:top="1440" w:right="1800" w:bottom="1440" w:left="1800" w:header="794" w:footer="992" w:gutter="0"/>
          <w:cols w:space="425" w:num="1"/>
          <w:docGrid w:type="lines" w:linePitch="312" w:charSpace="0"/>
        </w:sectPr>
      </w:pPr>
    </w:p>
    <w:p>
      <w:pPr>
        <w:pStyle w:val="10"/>
        <w:rPr>
          <w:color w:val="000000" w:themeColor="text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格式2:                         开标一览表</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项目名称：                             项目编号（分包号）：</w:t>
      </w:r>
    </w:p>
    <w:tbl>
      <w:tblPr>
        <w:tblStyle w:val="22"/>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3"/>
        <w:gridCol w:w="282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173" w:type="dxa"/>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响应总价(小写)（元）</w:t>
            </w:r>
          </w:p>
        </w:tc>
        <w:tc>
          <w:tcPr>
            <w:tcW w:w="2823" w:type="dxa"/>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服务期限</w:t>
            </w:r>
          </w:p>
        </w:tc>
        <w:tc>
          <w:tcPr>
            <w:tcW w:w="1527" w:type="dxa"/>
            <w:noWrap/>
            <w:vAlign w:val="center"/>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173" w:type="dxa"/>
            <w:noWrap/>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c>
          <w:tcPr>
            <w:tcW w:w="2823" w:type="dxa"/>
            <w:noWrap/>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p>
        </w:tc>
        <w:tc>
          <w:tcPr>
            <w:tcW w:w="1527" w:type="dxa"/>
            <w:noWrap/>
          </w:tcPr>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响应总价（大写）：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pPr>
              <w:pStyle w:val="7"/>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是否为符合条件的小微型企业:是（   ）；否（   ）</w:t>
            </w:r>
            <w:r>
              <w:commentReference w:id="14"/>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是否为符合条件的残疾人福利性单位：是（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pPr>
              <w:adjustRightInd w:val="0"/>
              <w:snapToGrid w:val="0"/>
              <w:spacing w:line="360" w:lineRule="auto"/>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备注：（其他需要说明的情形）</w:t>
            </w:r>
          </w:p>
        </w:tc>
      </w:tr>
    </w:tbl>
    <w:p>
      <w:pPr>
        <w:adjustRightInd w:val="0"/>
        <w:snapToGrid w:val="0"/>
        <w:spacing w:line="360" w:lineRule="auto"/>
        <w:ind w:firstLine="560"/>
        <w:rPr>
          <w:rFonts w:asciiTheme="minorEastAsia" w:hAnsiTheme="minorEastAsia" w:eastAsiaTheme="minorEastAsia" w:cstheme="minorEastAsia"/>
          <w:bCs/>
          <w:color w:val="000000" w:themeColor="text1"/>
          <w:szCs w:val="21"/>
          <w14:textFill>
            <w14:solidFill>
              <w14:schemeClr w14:val="tx1"/>
            </w14:solidFill>
          </w14:textFill>
        </w:rPr>
      </w:pPr>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（公章）</w:t>
      </w:r>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p>
    <w:p>
      <w:pPr>
        <w:pStyle w:val="7"/>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供应商代表签名：                日期：  </w:t>
      </w:r>
    </w:p>
    <w:p>
      <w:pPr>
        <w:adjustRightInd w:val="0"/>
        <w:snapToGrid w:val="0"/>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格式3:</w:t>
      </w:r>
      <w:r>
        <w:rPr>
          <w:rFonts w:hint="eastAsia" w:ascii="宋体" w:hAnsi="宋体" w:cs="宋体"/>
          <w:bCs/>
          <w:color w:val="000000" w:themeColor="text1"/>
          <w:szCs w:val="21"/>
          <w14:textFill>
            <w14:solidFill>
              <w14:schemeClr w14:val="tx1"/>
            </w14:solidFill>
          </w14:textFill>
        </w:rPr>
        <w:t xml:space="preserve">                            </w:t>
      </w:r>
      <w:r>
        <w:rPr>
          <w:rFonts w:hint="eastAsia" w:ascii="宋体" w:hAnsi="宋体" w:cs="宋体"/>
          <w:b/>
          <w:color w:val="000000" w:themeColor="text1"/>
          <w:szCs w:val="21"/>
          <w14:textFill>
            <w14:solidFill>
              <w14:schemeClr w14:val="tx1"/>
            </w14:solidFill>
          </w14:textFill>
        </w:rPr>
        <w:t>响应报价明细表</w:t>
      </w:r>
    </w:p>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项目名称：                         项目编号（分包号）∶ </w:t>
      </w:r>
    </w:p>
    <w:tbl>
      <w:tblPr>
        <w:tblStyle w:val="22"/>
        <w:tblpPr w:leftFromText="180" w:rightFromText="180" w:vertAnchor="text" w:horzAnchor="page" w:tblpX="1885" w:tblpY="376"/>
        <w:tblOverlap w:val="never"/>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340"/>
        <w:gridCol w:w="1009"/>
        <w:gridCol w:w="974"/>
        <w:gridCol w:w="2399"/>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序号</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服务费用明细</w:t>
            </w: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单价</w:t>
            </w: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数量</w:t>
            </w: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单项总价</w:t>
            </w: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1</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2</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3</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4</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75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5</w:t>
            </w:r>
          </w:p>
        </w:tc>
        <w:tc>
          <w:tcPr>
            <w:tcW w:w="234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97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239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c>
          <w:tcPr>
            <w:tcW w:w="109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ind w:firstLine="561"/>
              <w:jc w:val="left"/>
              <w:rPr>
                <w:rFonts w:asciiTheme="minorEastAsia" w:hAnsiTheme="minorEastAsia" w:eastAsiaTheme="minorEastAsia" w:cstheme="minorEastAsia"/>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8574"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left"/>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总价（大小写）：</w:t>
            </w:r>
          </w:p>
        </w:tc>
      </w:tr>
    </w:tbl>
    <w:p>
      <w:pPr>
        <w:adjustRightInd w:val="0"/>
        <w:snapToGrid w:val="0"/>
        <w:spacing w:line="360" w:lineRule="auto"/>
        <w:ind w:firstLine="561"/>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w:t>
      </w:r>
    </w:p>
    <w:p>
      <w:pPr>
        <w:pStyle w:val="7"/>
        <w:adjustRightInd w:val="0"/>
        <w:snapToGrid w:val="0"/>
        <w:spacing w:line="360" w:lineRule="auto"/>
        <w:ind w:firstLine="210" w:firstLineChars="1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                 （公章）</w:t>
      </w:r>
    </w:p>
    <w:p>
      <w:pPr>
        <w:pStyle w:val="7"/>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pStyle w:val="7"/>
        <w:adjustRightInd w:val="0"/>
        <w:snapToGrid w:val="0"/>
        <w:spacing w:line="360" w:lineRule="auto"/>
        <w:ind w:firstLine="210" w:firstLineChars="100"/>
        <w:rPr>
          <w:rFonts w:asciiTheme="minorEastAsia" w:hAnsiTheme="minorEastAsia" w:eastAsiaTheme="minorEastAsia" w:cstheme="minorEastAsia"/>
          <w:bCs/>
          <w:color w:val="000000" w:themeColor="text1"/>
          <w:szCs w:val="21"/>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供应商代表签名：                日期：</w:t>
      </w:r>
    </w:p>
    <w:p>
      <w:pPr>
        <w:pStyle w:val="10"/>
        <w:rPr>
          <w:color w:val="000000" w:themeColor="text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格式4：                       法定代表人授权委托书</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法定代表人授权委托书</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（供应商名称）     </w:t>
      </w:r>
      <w:r>
        <w:rPr>
          <w:rFonts w:hint="eastAsia"/>
          <w:color w:val="000000" w:themeColor="text1"/>
          <w14:textFill>
            <w14:solidFill>
              <w14:schemeClr w14:val="tx1"/>
            </w14:solidFill>
          </w14:textFill>
        </w:rPr>
        <w:t>法定代表人授权我司员工      全权负责项目的一切相关事宜。本授权书于_______年_____月_____日签字生效，特此声明。</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供应商（公章）：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法定代表人签字：（或法人章）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被授权人签字：</w:t>
      </w:r>
    </w:p>
    <w:p>
      <w:pPr>
        <w:pStyle w:val="10"/>
        <w:ind w:left="0" w:leftChars="0" w:firstLine="0" w:firstLineChars="0"/>
        <w:rPr>
          <w:color w:val="000000" w:themeColor="text1"/>
          <w14:textFill>
            <w14:solidFill>
              <w14:schemeClr w14:val="tx1"/>
            </w14:solidFill>
          </w14:textFill>
        </w:rPr>
      </w:pPr>
    </w:p>
    <w:p>
      <w:pPr>
        <w:pStyle w:val="10"/>
        <w:ind w:left="0" w:leftChars="0" w:firstLine="0" w:firstLineChars="0"/>
        <w:rPr>
          <w:color w:val="000000" w:themeColor="text1"/>
          <w14:textFill>
            <w14:solidFill>
              <w14:schemeClr w14:val="tx1"/>
            </w14:solidFill>
          </w14:textFill>
        </w:rPr>
      </w:pPr>
    </w:p>
    <w:p>
      <w:pPr>
        <w:pStyle w:val="10"/>
        <w:ind w:left="0" w:leftChars="0" w:firstLine="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附：法定代表人身份证复印件</w:t>
      </w:r>
    </w:p>
    <w:p>
      <w:pPr>
        <w:pStyle w:val="10"/>
        <w:ind w:left="0" w:leftChars="0" w:firstLine="0" w:firstLineChars="0"/>
        <w:rPr>
          <w:rFonts w:ascii="Times New Roman" w:eastAsia="宋体"/>
          <w:color w:val="000000" w:themeColor="text1"/>
          <w:szCs w:val="24"/>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imes New Roman" w:eastAsia="宋体"/>
          <w:color w:val="000000" w:themeColor="text1"/>
          <w:szCs w:val="24"/>
          <w14:textFill>
            <w14:solidFill>
              <w14:schemeClr w14:val="tx1"/>
            </w14:solidFill>
          </w14:textFill>
        </w:rPr>
        <w:t>授权委托人身份证复印件</w:t>
      </w:r>
    </w:p>
    <w:p>
      <w:pPr>
        <w:pStyle w:val="39"/>
        <w:adjustRightInd w:val="0"/>
        <w:snapToGrid w:val="0"/>
        <w:spacing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bookmarkStart w:id="324" w:name="_Toc19867"/>
      <w:bookmarkStart w:id="325" w:name="_Toc13169"/>
      <w:bookmarkStart w:id="326" w:name="_Toc3625"/>
      <w:r>
        <w:rPr>
          <w:rFonts w:hint="eastAsia" w:asciiTheme="minorEastAsia" w:hAnsiTheme="minorEastAsia" w:eastAsiaTheme="minorEastAsia" w:cstheme="minorEastAsia"/>
          <w:b/>
          <w:color w:val="000000" w:themeColor="text1"/>
          <w:sz w:val="21"/>
          <w:szCs w:val="21"/>
          <w14:textFill>
            <w14:solidFill>
              <w14:schemeClr w14:val="tx1"/>
            </w14:solidFill>
          </w14:textFill>
        </w:rPr>
        <w:t>格式5：                       法定代表人身份证明书</w:t>
      </w:r>
      <w:bookmarkEnd w:id="324"/>
      <w:bookmarkEnd w:id="325"/>
      <w:bookmarkEnd w:id="326"/>
    </w:p>
    <w:p>
      <w:pPr>
        <w:adjustRightInd w:val="0"/>
        <w:snapToGrid w:val="0"/>
        <w:spacing w:line="360" w:lineRule="auto"/>
        <w:jc w:val="center"/>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法定代表人身份证明书</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u w:val="single"/>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姓    名：性别：    年龄：    职务：    </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系</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（供应商名称）   </w:t>
      </w:r>
      <w:r>
        <w:rPr>
          <w:rFonts w:hint="eastAsia" w:asciiTheme="minorEastAsia" w:hAnsiTheme="minorEastAsia" w:eastAsiaTheme="minorEastAsia" w:cstheme="minorEastAsia"/>
          <w:bCs/>
          <w:color w:val="000000" w:themeColor="text1"/>
          <w:szCs w:val="21"/>
          <w14:textFill>
            <w14:solidFill>
              <w14:schemeClr w14:val="tx1"/>
            </w14:solidFill>
          </w14:textFill>
        </w:rPr>
        <w:t>的法定代表人。</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 特此证明。</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供应商（公章）：                </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日期：  </w:t>
      </w:r>
    </w:p>
    <w:p>
      <w:pPr>
        <w:adjustRightInd w:val="0"/>
        <w:snapToGrid w:val="0"/>
        <w:spacing w:line="360" w:lineRule="auto"/>
        <w:rPr>
          <w:rFonts w:asciiTheme="minorEastAsia" w:hAnsiTheme="minorEastAsia" w:eastAsiaTheme="minorEastAsia" w:cstheme="minorEastAsia"/>
          <w:b/>
          <w:color w:val="000000" w:themeColor="text1"/>
          <w:szCs w:val="21"/>
          <w14:textFill>
            <w14:solidFill>
              <w14:schemeClr w14:val="tx1"/>
            </w14:solidFill>
          </w14:textFill>
        </w:rPr>
      </w:pP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格式6：                    </w:t>
      </w:r>
      <w:r>
        <w:rPr>
          <w:rFonts w:hint="eastAsia" w:ascii="宋体" w:hAnsi="宋体" w:cs="宋体"/>
          <w:b/>
          <w:bCs/>
          <w:color w:val="000000" w:themeColor="text1"/>
          <w:szCs w:val="21"/>
          <w14:textFill>
            <w14:solidFill>
              <w14:schemeClr w14:val="tx1"/>
            </w14:solidFill>
          </w14:textFill>
        </w:rPr>
        <w:t>资格承诺函</w:t>
      </w:r>
    </w:p>
    <w:p>
      <w:pPr>
        <w:spacing w:line="360" w:lineRule="auto"/>
        <w:jc w:val="left"/>
        <w:rPr>
          <w:rFonts w:ascii="宋体" w:hAnsi="宋体" w:cs="宋体"/>
          <w:color w:val="000000" w:themeColor="text1"/>
          <w:szCs w:val="21"/>
          <w14:textFill>
            <w14:solidFill>
              <w14:schemeClr w14:val="tx1"/>
            </w14:solidFill>
          </w14:textFill>
        </w:rPr>
      </w:pP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致：</w:t>
      </w:r>
      <w:r>
        <w:rPr>
          <w:rFonts w:hint="eastAsia" w:ascii="宋体" w:hAnsi="宋体" w:cs="宋体"/>
          <w:color w:val="000000" w:themeColor="text1"/>
          <w:szCs w:val="21"/>
          <w:u w:val="single"/>
          <w14:textFill>
            <w14:solidFill>
              <w14:schemeClr w14:val="tx1"/>
            </w14:solidFill>
          </w14:textFill>
        </w:rPr>
        <w:t>（采购人）</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我单位参与</w:t>
      </w:r>
      <w:r>
        <w:rPr>
          <w:rFonts w:hint="eastAsia" w:ascii="宋体" w:hAnsi="宋体" w:cs="宋体"/>
          <w:color w:val="000000" w:themeColor="text1"/>
          <w:szCs w:val="21"/>
          <w:u w:val="single"/>
          <w14:textFill>
            <w14:solidFill>
              <w14:schemeClr w14:val="tx1"/>
            </w14:solidFill>
          </w14:textFill>
        </w:rPr>
        <w:t>（项目名称）（项目编号（分包号）： ）</w:t>
      </w:r>
      <w:r>
        <w:rPr>
          <w:rFonts w:hint="eastAsia" w:ascii="宋体" w:hAnsi="宋体" w:cs="宋体"/>
          <w:color w:val="000000" w:themeColor="text1"/>
          <w:szCs w:val="21"/>
          <w14:textFill>
            <w14:solidFill>
              <w14:schemeClr w14:val="tx1"/>
            </w14:solidFill>
          </w14:textFill>
        </w:rPr>
        <w:t>项目的采购活动，现承诺如下：</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1.我单位具有符合《中华人民共和国政府采购法》《中华人民共和国政府采购法实施条例》及采购文件资格要求规定的良好的商业信誉和健全的财务会计制度。</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2.我单位具有符合《中华人民共和国政府采购法》《中华人民共和国政府采购法实施条例》及采购文件资格要求规定的履行合同所必需的设备和专业技术能力。</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3.我单位具有符合《中华人民共和国政府采购法》《中华人民共和国政府采购法实施条例》及采购文件资格要求规定的依法缴纳税收和社会保障资金的相关证明材料。</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4.我单位符合《中华人民共和国政府采购法》《中华人民共和国政府采购法实施条例》及采购文件资格要求规定的在参加政府采购活动前三年内，在经营活动中没有重大违法记录。</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5.如违反上述承诺，同意将相关失信行为纳入海口市信用信息共享平台。</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6.同意此承诺书在市公共资源中心的政府采购信息发布平台公示，接受社会各界监督。</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若我单位以上承诺不实，自愿承担提供虚假材料谋取成交、成交的法律责任。</w:t>
      </w:r>
    </w:p>
    <w:p>
      <w:pPr>
        <w:spacing w:line="360" w:lineRule="auto"/>
        <w:rPr>
          <w:rFonts w:ascii="宋体" w:hAnsi="宋体" w:cs="宋体"/>
          <w:color w:val="000000" w:themeColor="text1"/>
          <w:szCs w:val="21"/>
          <w14:textFill>
            <w14:solidFill>
              <w14:schemeClr w14:val="tx1"/>
            </w14:solidFill>
          </w14:textFill>
        </w:rPr>
      </w:pP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承诺供应商（全称并加盖公章）：</w:t>
      </w:r>
    </w:p>
    <w:p>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单位负责人或授权代表（签字）：</w:t>
      </w:r>
    </w:p>
    <w:p>
      <w:pPr>
        <w:spacing w:line="360" w:lineRule="auto"/>
        <w:ind w:firstLine="420" w:firstLineChars="200"/>
        <w:jc w:val="left"/>
        <w:rPr>
          <w:rFonts w:ascii="宋体" w:hAnsi="宋体" w:cs="宋体"/>
          <w:color w:val="000000" w:themeColor="text1"/>
          <w:szCs w:val="21"/>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宋体" w:hAnsi="宋体" w:cs="宋体"/>
          <w:color w:val="000000" w:themeColor="text1"/>
          <w:szCs w:val="21"/>
          <w14:textFill>
            <w14:solidFill>
              <w14:schemeClr w14:val="tx1"/>
            </w14:solidFill>
          </w14:textFill>
        </w:rPr>
        <w:t>日期：</w:t>
      </w:r>
    </w:p>
    <w:p>
      <w:pPr>
        <w:widowControl/>
        <w:spacing w:line="560" w:lineRule="exact"/>
        <w:jc w:val="left"/>
        <w:rPr>
          <w:rFonts w:ascii="宋体" w:hAnsi="宋体" w:cs="宋体"/>
          <w:b/>
          <w:bCs/>
          <w:color w:val="000000"/>
          <w:kern w:val="0"/>
          <w:szCs w:val="21"/>
          <w:lang w:bidi="ar"/>
        </w:rPr>
      </w:pPr>
      <w:r>
        <w:rPr>
          <w:rFonts w:hint="eastAsia" w:ascii="宋体" w:hAnsi="宋体" w:cs="宋体"/>
          <w:b/>
          <w:bCs/>
          <w:color w:val="000000"/>
          <w:kern w:val="0"/>
          <w:szCs w:val="21"/>
          <w:lang w:bidi="ar"/>
        </w:rPr>
        <w:t>格式7：</w:t>
      </w:r>
    </w:p>
    <w:p>
      <w:pPr>
        <w:widowControl/>
        <w:spacing w:line="560" w:lineRule="exact"/>
        <w:jc w:val="center"/>
        <w:rPr>
          <w:rFonts w:ascii="宋体" w:hAnsi="宋体" w:cs="宋体"/>
          <w:szCs w:val="21"/>
        </w:rPr>
      </w:pPr>
      <w:r>
        <w:rPr>
          <w:rFonts w:hint="eastAsia" w:ascii="宋体" w:hAnsi="宋体" w:cs="宋体"/>
          <w:b/>
          <w:bCs/>
          <w:color w:val="000000"/>
          <w:kern w:val="0"/>
          <w:szCs w:val="21"/>
          <w:lang w:bidi="ar"/>
        </w:rPr>
        <w:t>联合体协议书</w:t>
      </w:r>
    </w:p>
    <w:p>
      <w:pPr>
        <w:widowControl/>
        <w:spacing w:line="560" w:lineRule="exact"/>
        <w:jc w:val="left"/>
        <w:rPr>
          <w:rFonts w:ascii="宋体" w:hAnsi="宋体" w:cs="宋体"/>
          <w:szCs w:val="21"/>
        </w:rPr>
      </w:pP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（所有成员单位名称）自愿组成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（联合体名称）， 共同参加__________（标段名称）投标。现就联合体投标事宜订立如下协议。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1.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（某成员单位名称）为 </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（联合体名称）牵头人。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2.联合体牵头人合法代表联合体各成员负责本项目响应文件递交和合同谈判 活动，并代表联合体提交和接受相关的资料、信息及指示，处理与之有关的一切事务，并负责合同实施阶段的主办、组织和协调工作。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3.联合体将严格按照招标文件的各项要求，编制投标文件，履行合同，并对外承担连带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责任。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4.联合体内部各成员单位的职责分工如下：</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5.本协议书自签署之日起生效，合同履行完毕后自动失效。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6.本协议书一式</w:t>
      </w:r>
      <w:r>
        <w:rPr>
          <w:rFonts w:hint="eastAsia" w:ascii="宋体" w:hAnsi="宋体" w:cs="宋体"/>
          <w:color w:val="000000"/>
          <w:kern w:val="0"/>
          <w:szCs w:val="21"/>
          <w:u w:val="single"/>
          <w:lang w:bidi="ar"/>
        </w:rPr>
        <w:t xml:space="preserve">     </w:t>
      </w:r>
      <w:r>
        <w:rPr>
          <w:rFonts w:hint="eastAsia" w:ascii="宋体" w:hAnsi="宋体" w:cs="宋体"/>
          <w:color w:val="000000"/>
          <w:kern w:val="0"/>
          <w:szCs w:val="21"/>
          <w:lang w:bidi="ar"/>
        </w:rPr>
        <w:t xml:space="preserve">份，联合体成员和招标人各执一份。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牵头人名称： （盖单位章）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法定代表人或其委托代理人： （签字）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成员单位名称： （盖单位章）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法定代表人或其委托代理人： （签字） </w:t>
      </w:r>
    </w:p>
    <w:p>
      <w:pPr>
        <w:widowControl/>
        <w:spacing w:line="560" w:lineRule="exact"/>
        <w:jc w:val="left"/>
        <w:rPr>
          <w:rFonts w:ascii="宋体" w:hAnsi="宋体" w:cs="宋体"/>
          <w:szCs w:val="21"/>
        </w:rPr>
      </w:pPr>
      <w:r>
        <w:rPr>
          <w:rFonts w:hint="eastAsia" w:ascii="宋体" w:hAnsi="宋体" w:cs="宋体"/>
          <w:color w:val="000000"/>
          <w:kern w:val="0"/>
          <w:szCs w:val="21"/>
          <w:lang w:bidi="ar"/>
        </w:rPr>
        <w:t xml:space="preserve">年 月 日 </w:t>
      </w:r>
    </w:p>
    <w:p>
      <w:pPr>
        <w:widowControl/>
        <w:spacing w:line="560" w:lineRule="exact"/>
        <w:jc w:val="left"/>
      </w:pPr>
      <w:r>
        <w:rPr>
          <w:rFonts w:hint="eastAsia" w:ascii="宋体" w:hAnsi="宋体" w:cs="宋体"/>
          <w:color w:val="000000"/>
          <w:kern w:val="0"/>
          <w:szCs w:val="21"/>
          <w:lang w:bidi="ar"/>
        </w:rPr>
        <w:t xml:space="preserve">注：本协议书由委托代理人签字时，应附法定代表人签字的授权委托书。 </w:t>
      </w:r>
    </w:p>
    <w:p>
      <w:pPr>
        <w:adjustRightInd w:val="0"/>
        <w:snapToGrid w:val="0"/>
        <w:spacing w:line="360" w:lineRule="auto"/>
        <w:rPr>
          <w:rFonts w:hint="eastAsia" w:asciiTheme="minorEastAsia" w:hAnsiTheme="minorEastAsia" w:eastAsiaTheme="minorEastAsia" w:cstheme="minorEastAsia"/>
          <w:b/>
          <w:color w:val="000000" w:themeColor="text1"/>
          <w:szCs w:val="21"/>
          <w:lang w:eastAsia="zh-CN"/>
          <w14:textFill>
            <w14:solidFill>
              <w14:schemeClr w14:val="tx1"/>
            </w14:solidFill>
          </w14:textFill>
        </w:rPr>
      </w:pPr>
    </w:p>
    <w:p>
      <w:pPr>
        <w:pStyle w:val="2"/>
        <w:rPr>
          <w:rFonts w:hint="eastAsia"/>
          <w:lang w:eastAsia="zh-CN"/>
        </w:rPr>
        <w:sectPr>
          <w:pgSz w:w="11906" w:h="16838"/>
          <w:pgMar w:top="1440" w:right="1800" w:bottom="1440" w:left="1800" w:header="794" w:footer="992" w:gutter="0"/>
          <w:cols w:space="425" w:num="1"/>
          <w:docGrid w:type="lines" w:linePitch="312" w:charSpace="0"/>
        </w:sect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
          <w:color w:val="000000" w:themeColor="text1"/>
          <w:szCs w:val="21"/>
          <w14:textFill>
            <w14:solidFill>
              <w14:schemeClr w14:val="tx1"/>
            </w14:solidFill>
          </w14:textFill>
        </w:rPr>
        <w:t>附件2：                     中小企业声明函（服务类）</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w:t>
      </w:r>
    </w:p>
    <w:p>
      <w:pPr>
        <w:adjustRightInd w:val="0"/>
        <w:snapToGrid w:val="0"/>
        <w:spacing w:line="360" w:lineRule="auto"/>
        <w:ind w:firstLine="630" w:firstLineChars="3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（单位名称）</w:t>
      </w:r>
      <w:r>
        <w:rPr>
          <w:rFonts w:hint="eastAsia" w:asciiTheme="minorEastAsia" w:hAnsiTheme="minorEastAsia" w:eastAsiaTheme="minorEastAsia" w:cstheme="minorEastAsia"/>
          <w:bCs/>
          <w:color w:val="000000" w:themeColor="text1"/>
          <w:szCs w:val="21"/>
          <w14:textFill>
            <w14:solidFill>
              <w14:schemeClr w14:val="tx1"/>
            </w14:solidFill>
          </w14:textFill>
        </w:rPr>
        <w:t>的</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（项目名称、项目编号、包号）</w:t>
      </w:r>
      <w:r>
        <w:rPr>
          <w:rFonts w:hint="eastAsia" w:asciiTheme="minorEastAsia" w:hAnsiTheme="minorEastAsia" w:eastAsiaTheme="minorEastAsia" w:cstheme="minorEastAsia"/>
          <w:bCs/>
          <w:color w:val="000000" w:themeColor="text1"/>
          <w:szCs w:val="21"/>
          <w14:textFill>
            <w14:solidFill>
              <w14:schemeClr w14:val="tx1"/>
            </w14:solidFill>
          </w14:textFill>
        </w:rPr>
        <w:t>采购活动，服务全部由符合政策要求的中小企业承接。相关企业（含联合体中的中小企业、签订分包意向协议的中小企业）的具体情况如下：</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1. </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（标的名称）</w:t>
      </w:r>
      <w:r>
        <w:rPr>
          <w:rFonts w:hint="eastAsia" w:asciiTheme="minorEastAsia" w:hAnsiTheme="minorEastAsia" w:eastAsiaTheme="minorEastAsia" w:cstheme="minorEastAsia"/>
          <w:bCs/>
          <w:color w:val="000000" w:themeColor="text1"/>
          <w:szCs w:val="21"/>
          <w14:textFill>
            <w14:solidFill>
              <w14:schemeClr w14:val="tx1"/>
            </w14:solidFill>
          </w14:textFill>
        </w:rPr>
        <w:t>，属于</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（采购文件中明确的所属行业）</w:t>
      </w:r>
      <w:r>
        <w:rPr>
          <w:rFonts w:hint="eastAsia" w:asciiTheme="minorEastAsia" w:hAnsiTheme="minorEastAsia" w:eastAsiaTheme="minorEastAsia" w:cstheme="minorEastAsia"/>
          <w:bCs/>
          <w:color w:val="000000" w:themeColor="text1"/>
          <w:szCs w:val="21"/>
          <w14:textFill>
            <w14:solidFill>
              <w14:schemeClr w14:val="tx1"/>
            </w14:solidFill>
          </w14:textFill>
        </w:rPr>
        <w:t>；承接企业为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（企业名称）</w:t>
      </w:r>
      <w:r>
        <w:rPr>
          <w:rFonts w:hint="eastAsia" w:asciiTheme="minorEastAsia" w:hAnsiTheme="minorEastAsia" w:eastAsiaTheme="minorEastAsia" w:cstheme="minorEastAsia"/>
          <w:bCs/>
          <w:color w:val="000000" w:themeColor="text1"/>
          <w:szCs w:val="21"/>
          <w14:textFill>
            <w14:solidFill>
              <w14:schemeClr w14:val="tx1"/>
            </w14:solidFill>
          </w14:textFill>
        </w:rPr>
        <w:t>，从业人员</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人，营业收入为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万元，资产总额为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万元，属于</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（中型企业、小型企业、微型企业）</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 xml:space="preserve">2. </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（标的名称）</w:t>
      </w:r>
      <w:r>
        <w:rPr>
          <w:rFonts w:hint="eastAsia" w:asciiTheme="minorEastAsia" w:hAnsiTheme="minorEastAsia" w:eastAsiaTheme="minorEastAsia" w:cstheme="minorEastAsia"/>
          <w:bCs/>
          <w:color w:val="000000" w:themeColor="text1"/>
          <w:szCs w:val="21"/>
          <w14:textFill>
            <w14:solidFill>
              <w14:schemeClr w14:val="tx1"/>
            </w14:solidFill>
          </w14:textFill>
        </w:rPr>
        <w:t>，属于</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（采购文件中明确的所属行业）</w:t>
      </w:r>
      <w:r>
        <w:rPr>
          <w:rFonts w:hint="eastAsia" w:asciiTheme="minorEastAsia" w:hAnsiTheme="minorEastAsia" w:eastAsiaTheme="minorEastAsia" w:cstheme="minorEastAsia"/>
          <w:bCs/>
          <w:color w:val="000000" w:themeColor="text1"/>
          <w:szCs w:val="21"/>
          <w14:textFill>
            <w14:solidFill>
              <w14:schemeClr w14:val="tx1"/>
            </w14:solidFill>
          </w14:textFill>
        </w:rPr>
        <w:t>；承接企业为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（企业名称）</w:t>
      </w:r>
      <w:r>
        <w:rPr>
          <w:rFonts w:hint="eastAsia" w:asciiTheme="minorEastAsia" w:hAnsiTheme="minorEastAsia" w:eastAsiaTheme="minorEastAsia" w:cstheme="minorEastAsia"/>
          <w:bCs/>
          <w:color w:val="000000" w:themeColor="text1"/>
          <w:szCs w:val="21"/>
          <w14:textFill>
            <w14:solidFill>
              <w14:schemeClr w14:val="tx1"/>
            </w14:solidFill>
          </w14:textFill>
        </w:rPr>
        <w:t>，从业人员</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人，营业收入为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万元，资产总额为</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1"/>
          <w14:textFill>
            <w14:solidFill>
              <w14:schemeClr w14:val="tx1"/>
            </w14:solidFill>
          </w14:textFill>
        </w:rPr>
        <w:t>万元，属于</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（中型企业、小型企业、微型企业）</w:t>
      </w: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本企业对上述声明内容的真实性负责。如有虚假，将依法承担相应责任。</w:t>
      </w:r>
    </w:p>
    <w:p>
      <w:pPr>
        <w:adjustRightInd w:val="0"/>
        <w:snapToGrid w:val="0"/>
        <w:spacing w:line="360" w:lineRule="auto"/>
        <w:ind w:firstLine="2940" w:firstLineChars="1400"/>
        <w:rPr>
          <w:rFonts w:asciiTheme="minorEastAsia" w:hAnsiTheme="minorEastAsia" w:eastAsiaTheme="minorEastAsia" w:cstheme="minorEastAsia"/>
          <w:bCs/>
          <w:color w:val="000000" w:themeColor="text1"/>
          <w:szCs w:val="21"/>
          <w14:textFill>
            <w14:solidFill>
              <w14:schemeClr w14:val="tx1"/>
            </w14:solidFill>
          </w14:textFill>
        </w:rPr>
      </w:pPr>
    </w:p>
    <w:p>
      <w:pPr>
        <w:pStyle w:val="7"/>
        <w:adjustRightInd w:val="0"/>
        <w:snapToGrid w:val="0"/>
        <w:spacing w:line="360" w:lineRule="auto"/>
        <w:ind w:firstLine="3990" w:firstLineChars="19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供应商名称（盖章）：</w:t>
      </w:r>
    </w:p>
    <w:p>
      <w:pPr>
        <w:adjustRightInd w:val="0"/>
        <w:snapToGrid w:val="0"/>
        <w:spacing w:line="360" w:lineRule="auto"/>
        <w:ind w:firstLine="3990" w:firstLineChars="1900"/>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日期：</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备注：</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pPr>
      <w:r>
        <w:rPr>
          <w:rFonts w:hint="eastAsia" w:asciiTheme="minorEastAsia" w:hAnsiTheme="minorEastAsia" w:eastAsiaTheme="minorEastAsia" w:cstheme="minorEastAsia"/>
          <w:bCs/>
          <w:color w:val="000000" w:themeColor="text1"/>
          <w:szCs w:val="21"/>
          <w14:textFill>
            <w14:solidFill>
              <w14:schemeClr w14:val="tx1"/>
            </w14:solidFill>
          </w14:textFill>
        </w:rPr>
        <w:t>①从业人员、营业收入、资产总额填报上一年度数据，无上一年度数据的新成立企业可不填报。</w:t>
      </w:r>
    </w:p>
    <w:p>
      <w:pPr>
        <w:adjustRightInd w:val="0"/>
        <w:snapToGrid w:val="0"/>
        <w:spacing w:line="360" w:lineRule="auto"/>
        <w:rPr>
          <w:rFonts w:asciiTheme="minorEastAsia" w:hAnsiTheme="minorEastAsia" w:eastAsiaTheme="minorEastAsia" w:cstheme="minorEastAsia"/>
          <w:bCs/>
          <w:color w:val="000000" w:themeColor="text1"/>
          <w:szCs w:val="21"/>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14:textFill>
            <w14:solidFill>
              <w14:schemeClr w14:val="tx1"/>
            </w14:solidFill>
          </w14:textFill>
        </w:rPr>
        <w:t>②供应商提供《中小企业声明函》内容不实的，属于“隐瞒真实情况，提供虚假资料的” 情形，依照有关规定追究相应责任。</w:t>
      </w:r>
    </w:p>
    <w:p>
      <w:pPr>
        <w:adjustRightInd w:val="0"/>
        <w:snapToGrid w:val="0"/>
        <w:spacing w:line="360" w:lineRule="auto"/>
        <w:rPr>
          <w:rFonts w:asciiTheme="minorEastAsia" w:hAnsiTheme="minorEastAsia" w:eastAsiaTheme="minorEastAsia" w:cstheme="minorEastAsia"/>
          <w:b/>
          <w:color w:val="000000" w:themeColor="text1"/>
          <w:szCs w:val="21"/>
          <w:lang w:val="zh-CN"/>
          <w14:textFill>
            <w14:solidFill>
              <w14:schemeClr w14:val="tx1"/>
            </w14:solidFill>
          </w14:textFill>
        </w:rPr>
      </w:pPr>
      <w:r>
        <w:rPr>
          <w:rFonts w:hint="eastAsia" w:asciiTheme="minorEastAsia" w:hAnsiTheme="minorEastAsia" w:eastAsiaTheme="minorEastAsia" w:cstheme="minorEastAsia"/>
          <w:b/>
          <w:color w:val="000000" w:themeColor="text1"/>
          <w:szCs w:val="21"/>
          <w:lang w:val="zh-CN"/>
          <w14:textFill>
            <w14:solidFill>
              <w14:schemeClr w14:val="tx1"/>
            </w14:solidFill>
          </w14:textFill>
        </w:rPr>
        <w:t>附件3：监狱企业证明文件</w:t>
      </w:r>
    </w:p>
    <w:p>
      <w:pPr>
        <w:adjustRightInd w:val="0"/>
        <w:snapToGrid w:val="0"/>
        <w:spacing w:line="360" w:lineRule="auto"/>
        <w:rPr>
          <w:color w:val="000000" w:themeColor="text1"/>
          <w:szCs w:val="21"/>
          <w:lang w:val="zh-CN"/>
          <w14:textFill>
            <w14:solidFill>
              <w14:schemeClr w14:val="tx1"/>
            </w14:solidFill>
          </w14:textFill>
        </w:rPr>
        <w:sectPr>
          <w:pgSz w:w="11906" w:h="16838"/>
          <w:pgMar w:top="1440" w:right="1800" w:bottom="1440" w:left="1800" w:header="794" w:footer="992" w:gutter="0"/>
          <w:cols w:space="425" w:num="1"/>
          <w:docGrid w:type="lines" w:linePitch="312" w:charSpace="0"/>
        </w:sectPr>
      </w:pPr>
      <w:r>
        <w:rPr>
          <w:rFonts w:hint="eastAsia" w:asciiTheme="minorEastAsia" w:hAnsiTheme="minorEastAsia" w:eastAsiaTheme="minorEastAsia" w:cstheme="minorEastAsia"/>
          <w:bCs/>
          <w:color w:val="000000" w:themeColor="text1"/>
          <w:szCs w:val="21"/>
          <w:lang w:val="zh-CN"/>
          <w14:textFill>
            <w14:solidFill>
              <w14:schemeClr w14:val="tx1"/>
            </w14:solidFill>
          </w14:textFill>
        </w:rPr>
        <w:t>享受</w:t>
      </w:r>
      <w:r>
        <w:rPr>
          <w:rFonts w:hint="eastAsia"/>
          <w:color w:val="000000" w:themeColor="text1"/>
          <w:szCs w:val="21"/>
          <w:lang w:val="zh-CN"/>
          <w14:textFill>
            <w14:solidFill>
              <w14:schemeClr w14:val="tx1"/>
            </w14:solidFill>
          </w14:textFill>
        </w:rPr>
        <w:t>政策优惠的监狱企业须提供由省级以上监狱管理局、戒毒管理局（含新疆生产建设兵团）出具的属于监狱企业的证明文件。</w:t>
      </w:r>
    </w:p>
    <w:p>
      <w:pPr>
        <w:adjustRightInd w:val="0"/>
        <w:snapToGrid w:val="0"/>
        <w:spacing w:line="360" w:lineRule="auto"/>
        <w:rPr>
          <w:rFonts w:asciiTheme="minorEastAsia" w:hAnsiTheme="minorEastAsia" w:eastAsiaTheme="minorEastAsia" w:cstheme="minorEastAsia"/>
          <w:b/>
          <w:bCs/>
          <w:color w:val="000000" w:themeColor="text1"/>
          <w:szCs w:val="21"/>
          <w14:textFill>
            <w14:solidFill>
              <w14:schemeClr w14:val="tx1"/>
            </w14:solidFill>
          </w14:textFill>
        </w:rPr>
      </w:pPr>
      <w:r>
        <w:rPr>
          <w:rFonts w:hint="eastAsia" w:asciiTheme="minorEastAsia" w:hAnsiTheme="minorEastAsia" w:eastAsiaTheme="minorEastAsia" w:cstheme="minorEastAsia"/>
          <w:b/>
          <w:bCs/>
          <w:color w:val="000000" w:themeColor="text1"/>
          <w:szCs w:val="21"/>
          <w14:textFill>
            <w14:solidFill>
              <w14:schemeClr w14:val="tx1"/>
            </w14:solidFill>
          </w14:textFill>
        </w:rPr>
        <w:t>附件4 ：                       残疾人福利性单位声明函</w:t>
      </w:r>
    </w:p>
    <w:p>
      <w:pPr>
        <w:adjustRightInd w:val="0"/>
        <w:snapToGri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p>
    <w:p>
      <w:pPr>
        <w:adjustRightInd w:val="0"/>
        <w:snapToGri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color w:val="000000" w:themeColor="text1"/>
          <w:szCs w:val="21"/>
          <w:u w:val="single"/>
          <w14:textFill>
            <w14:solidFill>
              <w14:schemeClr w14:val="tx1"/>
            </w14:solidFill>
          </w14:textFill>
        </w:rPr>
        <w:t>（         ）</w:t>
      </w:r>
      <w:r>
        <w:rPr>
          <w:rFonts w:hint="eastAsia" w:asciiTheme="minorEastAsia" w:hAnsiTheme="minorEastAsia" w:eastAsiaTheme="minorEastAsia" w:cstheme="minorEastAsia"/>
          <w:color w:val="000000" w:themeColor="text1"/>
          <w:szCs w:val="21"/>
          <w14:textFill>
            <w14:solidFill>
              <w14:schemeClr w14:val="tx1"/>
            </w14:solidFill>
          </w14:textFill>
        </w:rPr>
        <w:t>单位的</w:t>
      </w:r>
      <w:r>
        <w:rPr>
          <w:rFonts w:hint="eastAsia" w:asciiTheme="minorEastAsia" w:hAnsiTheme="minorEastAsia" w:eastAsiaTheme="minorEastAsia" w:cstheme="minorEastAsia"/>
          <w:bCs/>
          <w:color w:val="000000" w:themeColor="text1"/>
          <w:szCs w:val="21"/>
          <w:u w:val="single"/>
          <w14:textFill>
            <w14:solidFill>
              <w14:schemeClr w14:val="tx1"/>
            </w14:solidFill>
          </w14:textFill>
        </w:rPr>
        <w:t>（项目名称、项目编号、包号）</w:t>
      </w:r>
      <w:r>
        <w:rPr>
          <w:rFonts w:hint="eastAsia" w:asciiTheme="minorEastAsia" w:hAnsiTheme="minorEastAsia" w:eastAsiaTheme="minorEastAsia" w:cstheme="minorEastAsia"/>
          <w:color w:val="000000" w:themeColor="text1"/>
          <w:szCs w:val="21"/>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 </w:t>
      </w:r>
    </w:p>
    <w:p>
      <w:pPr>
        <w:adjustRightInd w:val="0"/>
        <w:snapToGrid w:val="0"/>
        <w:spacing w:line="360" w:lineRule="auto"/>
        <w:ind w:firstLine="42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本单位对上述声明的真实性负责。如有虚假，将依法承担相应责任。</w:t>
      </w:r>
    </w:p>
    <w:p>
      <w:pPr>
        <w:adjustRightInd w:val="0"/>
        <w:snapToGrid w:val="0"/>
        <w:spacing w:line="360" w:lineRule="auto"/>
        <w:ind w:firstLine="3570" w:firstLineChars="1700"/>
        <w:rPr>
          <w:rFonts w:asciiTheme="minorEastAsia" w:hAnsiTheme="minorEastAsia" w:eastAsiaTheme="minorEastAsia" w:cstheme="minorEastAsia"/>
          <w:color w:val="000000" w:themeColor="text1"/>
          <w:szCs w:val="21"/>
          <w14:textFill>
            <w14:solidFill>
              <w14:schemeClr w14:val="tx1"/>
            </w14:solidFill>
          </w14:textFill>
        </w:rPr>
      </w:pPr>
    </w:p>
    <w:p>
      <w:pPr>
        <w:adjustRightInd w:val="0"/>
        <w:snapToGrid w:val="0"/>
        <w:spacing w:line="360" w:lineRule="auto"/>
        <w:ind w:firstLine="3570" w:firstLineChars="1700"/>
        <w:rPr>
          <w:rFonts w:asciiTheme="minorEastAsia" w:hAnsiTheme="minorEastAsia" w:eastAsiaTheme="minorEastAsia" w:cstheme="minorEastAsia"/>
          <w:color w:val="000000" w:themeColor="text1"/>
          <w:szCs w:val="21"/>
          <w14:textFill>
            <w14:solidFill>
              <w14:schemeClr w14:val="tx1"/>
            </w14:solidFill>
          </w14:textFill>
        </w:rPr>
      </w:pPr>
    </w:p>
    <w:p>
      <w:pPr>
        <w:spacing w:line="360" w:lineRule="auto"/>
        <w:ind w:firstLine="3570" w:firstLineChars="17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单位名称（盖章）：　　　　　　　　</w:t>
      </w:r>
    </w:p>
    <w:p>
      <w:pPr>
        <w:spacing w:line="360" w:lineRule="auto"/>
        <w:ind w:firstLine="3570" w:firstLineChars="170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日期：</w:t>
      </w:r>
    </w:p>
    <w:p>
      <w:pPr>
        <w:spacing w:line="360" w:lineRule="auto"/>
        <w:ind w:firstLine="561"/>
        <w:rPr>
          <w:rFonts w:ascii="宋体" w:hAnsi="宋体" w:cs="宋体"/>
          <w:bCs/>
          <w:color w:val="000000" w:themeColor="text1"/>
          <w:szCs w:val="21"/>
          <w14:textFill>
            <w14:solidFill>
              <w14:schemeClr w14:val="tx1"/>
            </w14:solidFill>
          </w14:textFill>
        </w:rPr>
      </w:pPr>
    </w:p>
    <w:p>
      <w:pPr>
        <w:adjustRightInd w:val="0"/>
        <w:snapToGrid w:val="0"/>
        <w:spacing w:line="360" w:lineRule="auto"/>
        <w:ind w:firstLine="3570" w:firstLineChars="1700"/>
        <w:rPr>
          <w:rFonts w:asciiTheme="minorEastAsia" w:hAnsiTheme="minorEastAsia" w:eastAsiaTheme="minorEastAsia" w:cstheme="minorEastAsia"/>
          <w:color w:val="000000" w:themeColor="text1"/>
          <w:szCs w:val="21"/>
          <w14:textFill>
            <w14:solidFill>
              <w14:schemeClr w14:val="tx1"/>
            </w14:solidFill>
          </w14:textFill>
        </w:rPr>
      </w:pPr>
    </w:p>
    <w:p>
      <w:pPr>
        <w:adjustRightInd w:val="0"/>
        <w:snapToGrid w:val="0"/>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sectPr>
      <w:pgSz w:w="11906" w:h="16838"/>
      <w:pgMar w:top="1440" w:right="1800" w:bottom="1440" w:left="1800" w:header="794"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608533305 [2]" w:date="2024-05-07T10:47:00Z" w:initials="">
    <w:p w14:paraId="4A9F5A90">
      <w:pPr>
        <w:pStyle w:val="7"/>
      </w:pPr>
      <w:r>
        <w:annotationRef/>
      </w:r>
    </w:p>
  </w:comment>
  <w:comment w:id="1" w:author="WPS_1608533305 [2]" w:date="2024-05-07T10:48:00Z" w:initials="">
    <w:p w14:paraId="62C16D48">
      <w:pPr>
        <w:pStyle w:val="7"/>
      </w:pPr>
      <w:r>
        <w:annotationRef/>
      </w:r>
    </w:p>
  </w:comment>
  <w:comment w:id="2" w:author="WPS_1608533305 [2]" w:date="2024-05-07T10:48:00Z" w:initials="">
    <w:p w14:paraId="6BC20830">
      <w:pPr>
        <w:pStyle w:val="7"/>
      </w:pPr>
      <w:r>
        <w:rPr>
          <w:rFonts w:hint="eastAsia"/>
        </w:rPr>
        <w:t>xxxx为上会时间</w:t>
      </w:r>
    </w:p>
  </w:comment>
  <w:comment w:id="3" w:author="WPS_1608533305 [2]" w:date="2024-05-07T10:50:00Z" w:initials="">
    <w:p w14:paraId="6DD3551B">
      <w:pPr>
        <w:pStyle w:val="7"/>
      </w:pPr>
      <w:r>
        <w:rPr>
          <w:rFonts w:hint="eastAsia"/>
        </w:rPr>
        <w:t>不少于三个工作日，发布当天不算</w:t>
      </w:r>
    </w:p>
  </w:comment>
  <w:comment w:id="4" w:author="哄哄" w:date="2024-04-15T19:04:00Z" w:initials="">
    <w:p w14:paraId="4FFE3295">
      <w:pPr>
        <w:pStyle w:val="7"/>
      </w:pPr>
      <w:r>
        <w:rPr>
          <w:rFonts w:hint="eastAsia"/>
        </w:rPr>
        <w:t>这些没有的也是标准模板要保留吗？</w:t>
      </w:r>
    </w:p>
  </w:comment>
  <w:comment w:id="5" w:author="WPS_1608533305 [2]" w:date="2024-04-16T15:36:00Z" w:initials="">
    <w:p w14:paraId="5A2A2B67">
      <w:pPr>
        <w:pStyle w:val="7"/>
      </w:pPr>
      <w:r>
        <w:rPr>
          <w:rFonts w:hint="eastAsia"/>
        </w:rPr>
        <w:t>供应商须知前附表已明确不缴纳保证金，格式条款，保留无影响。</w:t>
      </w:r>
    </w:p>
  </w:comment>
  <w:comment w:id="6" w:author="WPS_1608533305 [2]" w:date="2024-05-07T11:02:00Z" w:initials="">
    <w:p w14:paraId="20163719">
      <w:pPr>
        <w:pStyle w:val="7"/>
      </w:pPr>
      <w:r>
        <w:rPr>
          <w:rFonts w:hint="eastAsia"/>
        </w:rPr>
        <w:t>须列出全面所包括的要素，不能简单用优良来设置</w:t>
      </w:r>
    </w:p>
  </w:comment>
  <w:comment w:id="7" w:author="WPS_1608533305 [2]" w:date="2024-05-07T11:10:00Z" w:initials="">
    <w:p w14:paraId="653A7377">
      <w:pPr>
        <w:pStyle w:val="7"/>
      </w:pPr>
      <w:r>
        <w:rPr>
          <w:rFonts w:hint="eastAsia"/>
        </w:rPr>
        <w:t>1、2项有啥区别</w:t>
      </w:r>
    </w:p>
  </w:comment>
  <w:comment w:id="8" w:author="ping yang" w:date="2024-05-09T13:52:00Z" w:initials="py">
    <w:p w14:paraId="48B64772">
      <w:pPr>
        <w:pStyle w:val="7"/>
      </w:pPr>
      <w:r>
        <w:rPr>
          <w:rFonts w:hint="eastAsia"/>
        </w:rPr>
        <w:t>1.性质的不同，cma是政府授权的行政认证机构，而cnas的认可属于机构的自愿行为；2.适用对象的不同，cma主要适用于第三方检测机构，cnas适用于所有从事实验室活动的组织；3.适用范围的不同，cma在中国境内有效，并向协会出具公证检测报告，cnas是国际公认的。</w:t>
      </w:r>
    </w:p>
    <w:p w14:paraId="41B921D1">
      <w:pPr>
        <w:pStyle w:val="7"/>
      </w:pPr>
      <w:r>
        <w:rPr>
          <w:rFonts w:hint="eastAsia"/>
        </w:rPr>
        <w:t>C</w:t>
      </w:r>
      <w:r>
        <w:t>NAS</w:t>
      </w:r>
      <w:r>
        <w:rPr>
          <w:rFonts w:hint="eastAsia"/>
        </w:rPr>
        <w:t>和C</w:t>
      </w:r>
      <w:r>
        <w:t>MA</w:t>
      </w:r>
      <w:r>
        <w:rPr>
          <w:rFonts w:hint="eastAsia"/>
        </w:rPr>
        <w:t>都是权威的检验检测机构。由他们颁发证书的企业都具有较强的技术实力。</w:t>
      </w:r>
    </w:p>
  </w:comment>
  <w:comment w:id="9" w:author="WPS_1608533305 [2]" w:date="2024-05-07T11:11:00Z" w:initials="">
    <w:p w14:paraId="77FC5A87">
      <w:pPr>
        <w:pStyle w:val="7"/>
      </w:pPr>
      <w:r>
        <w:rPr>
          <w:rFonts w:hint="eastAsia"/>
        </w:rPr>
        <w:t>这是由民航局颁发的吗</w:t>
      </w:r>
    </w:p>
    <w:p w14:paraId="214B33B1">
      <w:pPr>
        <w:pStyle w:val="7"/>
      </w:pPr>
      <w:r>
        <w:rPr>
          <w:rFonts w:hint="eastAsia"/>
        </w:rPr>
        <w:t>不是，是省政府颁发的，重点是政府认可的“民航空管设备测试评估”资质。</w:t>
      </w:r>
    </w:p>
  </w:comment>
  <w:comment w:id="10" w:author="WPS_1608533305 [2]" w:date="2024-05-07T11:11:00Z" w:initials="">
    <w:p w14:paraId="14361F83">
      <w:pPr>
        <w:pStyle w:val="7"/>
      </w:pPr>
      <w:r>
        <w:rPr>
          <w:rFonts w:hint="eastAsia"/>
        </w:rPr>
        <w:t>业绩要求提供有点多，建议不超过5个</w:t>
      </w:r>
    </w:p>
  </w:comment>
  <w:comment w:id="11" w:author="WPS_1608533305 [2]" w:date="2024-05-07T11:12:00Z" w:initials="">
    <w:p w14:paraId="015D5AB5">
      <w:pPr>
        <w:pStyle w:val="7"/>
      </w:pPr>
      <w:r>
        <w:rPr>
          <w:rFonts w:hint="eastAsia"/>
        </w:rPr>
        <w:t>业绩建议不超过5个，且有可能与企业业绩有重复的情况</w:t>
      </w:r>
    </w:p>
  </w:comment>
  <w:comment w:id="12" w:author="WPS_1608533305 [2]" w:date="2024-05-07T11:13:00Z" w:initials="">
    <w:p w14:paraId="0FEE2728">
      <w:pPr>
        <w:pStyle w:val="7"/>
      </w:pPr>
      <w:r>
        <w:rPr>
          <w:rFonts w:hint="eastAsia"/>
        </w:rPr>
        <w:t>是否限定职称专业</w:t>
      </w:r>
    </w:p>
  </w:comment>
  <w:comment w:id="13" w:author="WPS_1608533305 [2]" w:date="2024-05-07T11:13:00Z" w:initials="">
    <w:p w14:paraId="3F5110DA">
      <w:pPr>
        <w:pStyle w:val="7"/>
      </w:pPr>
      <w:r>
        <w:rPr>
          <w:rFonts w:hint="eastAsia"/>
        </w:rPr>
        <w:t>合同需提前法核</w:t>
      </w:r>
    </w:p>
  </w:comment>
  <w:comment w:id="14" w:author="邓思杰" w:date="2024-04-22T18:26:00Z" w:initials="">
    <w:p w14:paraId="3F243767">
      <w:pPr>
        <w:pStyle w:val="7"/>
      </w:pPr>
      <w:r>
        <w:rPr>
          <w:rFonts w:hint="eastAsia"/>
        </w:rPr>
        <w:t>如不需落实政采价格扣除，可删掉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9F5A90" w15:done="0"/>
  <w15:commentEx w15:paraId="62C16D48" w15:done="0"/>
  <w15:commentEx w15:paraId="6BC20830" w15:done="0" w15:paraIdParent="62C16D48"/>
  <w15:commentEx w15:paraId="6DD3551B" w15:done="0"/>
  <w15:commentEx w15:paraId="4FFE3295" w15:done="0"/>
  <w15:commentEx w15:paraId="5A2A2B67" w15:done="0"/>
  <w15:commentEx w15:paraId="20163719" w15:done="0"/>
  <w15:commentEx w15:paraId="653A7377" w15:done="0"/>
  <w15:commentEx w15:paraId="41B921D1" w15:done="0" w15:paraIdParent="653A7377"/>
  <w15:commentEx w15:paraId="214B33B1" w15:done="0"/>
  <w15:commentEx w15:paraId="14361F83" w15:done="0"/>
  <w15:commentEx w15:paraId="015D5AB5" w15:done="0"/>
  <w15:commentEx w15:paraId="0FEE2728" w15:done="0"/>
  <w15:commentEx w15:paraId="3F5110DA" w15:done="0"/>
  <w15:commentEx w15:paraId="3F24376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FontAwesome">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114</w:t>
                    </w:r>
                    <w:r>
                      <w:fldChar w:fldCharType="end"/>
                    </w:r>
                    <w:r>
                      <w:rPr>
                        <w:rFonts w:hint="eastAsia"/>
                      </w:rPr>
                      <w:t xml:space="preserve"> 页</w:t>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35</w:t>
                    </w:r>
                    <w:r>
                      <w:fldChar w:fldCharType="end"/>
                    </w:r>
                    <w:r>
                      <w:rPr>
                        <w:rFonts w:hint="eastAsia"/>
                      </w:rPr>
                      <w:t xml:space="preserve"> 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1"/>
      <w:ind w:left="3975" w:leftChars="1893" w:firstLine="2741" w:firstLineChars="1300"/>
      <w:outlineLvl w:val="0"/>
      <w:rPr>
        <w:rFonts w:hAnsi="宋体"/>
        <w:b/>
        <w:bCs/>
        <w:szCs w:val="21"/>
      </w:rPr>
    </w:pPr>
    <w:r>
      <w:rPr>
        <w:rFonts w:hint="eastAsia" w:hAnsi="宋体"/>
        <w:b/>
        <w:bCs/>
        <w:szCs w:val="21"/>
      </w:rPr>
      <w:t>/HKGP-2021-0038</w:t>
    </w:r>
  </w:p>
  <w:p>
    <w:pPr>
      <w:pStyle w:val="14"/>
      <w:pBdr>
        <w:bottom w:val="none" w:color="auto" w:sz="0" w:space="1"/>
      </w:pBdr>
    </w:pPr>
    <w:r>
      <w:rPr>
        <w:sz w:val="21"/>
        <w:szCs w:val="21"/>
      </w:rPr>
      <w:ptab w:relativeTo="margin" w:alignment="right" w:leader="none"/>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outlineLvl w:val="0"/>
      <w:rPr>
        <w:rFonts w:hAnsi="宋体"/>
        <w:b/>
        <w:bCs/>
        <w:szCs w:val="21"/>
      </w:rPr>
    </w:pPr>
    <w:r>
      <w:rPr>
        <w:rFonts w:hint="eastAsia" w:hAnsi="宋体"/>
        <w:b/>
        <w:bCs/>
        <w:sz w:val="18"/>
        <w:szCs w:val="18"/>
      </w:rPr>
      <w:t>海</w:t>
    </w:r>
    <w:r>
      <w:rPr>
        <w:rFonts w:hint="eastAsia" w:hAnsi="宋体"/>
        <w:b/>
        <w:bCs/>
        <w:szCs w:val="21"/>
      </w:rPr>
      <w:t>口市政府采购中心                    海口市人民医院物业服务项目（C包 安保服务）</w:t>
    </w:r>
  </w:p>
  <w:p>
    <w:pPr>
      <w:pStyle w:val="11"/>
      <w:ind w:left="3975" w:leftChars="1893" w:firstLine="2741" w:firstLineChars="1300"/>
      <w:outlineLvl w:val="0"/>
      <w:rPr>
        <w:rFonts w:hAnsi="宋体"/>
        <w:b/>
        <w:bCs/>
        <w:szCs w:val="21"/>
      </w:rPr>
    </w:pPr>
    <w:r>
      <w:rPr>
        <w:rFonts w:hint="eastAsia" w:hAnsi="宋体"/>
        <w:b/>
        <w:bCs/>
        <w:szCs w:val="21"/>
      </w:rPr>
      <w:t>/HKGP-2021-0038</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r>
      <w:rPr>
        <w:sz w:val="21"/>
        <w:szCs w:val="21"/>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87891C"/>
    <w:multiLevelType w:val="singleLevel"/>
    <w:tmpl w:val="E987891C"/>
    <w:lvl w:ilvl="0" w:tentative="0">
      <w:start w:val="6"/>
      <w:numFmt w:val="chineseCounting"/>
      <w:suff w:val="space"/>
      <w:lvlText w:val="第%1条"/>
      <w:lvlJc w:val="left"/>
      <w:rPr>
        <w:rFonts w:hint="eastAsia"/>
      </w:rPr>
    </w:lvl>
  </w:abstractNum>
  <w:abstractNum w:abstractNumId="1">
    <w:nsid w:val="191B52C0"/>
    <w:multiLevelType w:val="multilevel"/>
    <w:tmpl w:val="191B52C0"/>
    <w:lvl w:ilvl="0" w:tentative="0">
      <w:start w:val="1"/>
      <w:numFmt w:val="decimal"/>
      <w:pStyle w:val="5"/>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D896DB"/>
    <w:multiLevelType w:val="singleLevel"/>
    <w:tmpl w:val="1BD896DB"/>
    <w:lvl w:ilvl="0" w:tentative="0">
      <w:start w:val="2"/>
      <w:numFmt w:val="chineseCounting"/>
      <w:suff w:val="nothing"/>
      <w:lvlText w:val="（%1）"/>
      <w:lvlJc w:val="left"/>
      <w:pPr>
        <w:ind w:left="-2"/>
      </w:pPr>
      <w:rPr>
        <w:rFonts w:hint="eastAsia"/>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608533305 [2]">
    <w15:presenceInfo w15:providerId="None" w15:userId="WPS_1608533305"/>
  </w15:person>
  <w15:person w15:author="哄哄">
    <w15:presenceInfo w15:providerId="None" w15:userId="哄哄"/>
  </w15:person>
  <w15:person w15:author="ping yang">
    <w15:presenceInfo w15:providerId="Windows Live" w15:userId="55800950d032db28"/>
  </w15:person>
  <w15:person w15:author="邓思杰">
    <w15:presenceInfo w15:providerId="None" w15:userId="邓思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ZDFiNWQ0YWFjM2EwYjhkNjk3NWY0MGJkYTM2YmMifQ=="/>
  </w:docVars>
  <w:rsids>
    <w:rsidRoot w:val="00172A27"/>
    <w:rsid w:val="000316D6"/>
    <w:rsid w:val="00051788"/>
    <w:rsid w:val="00085FAE"/>
    <w:rsid w:val="0009339D"/>
    <w:rsid w:val="00106BC0"/>
    <w:rsid w:val="001548B2"/>
    <w:rsid w:val="00172A27"/>
    <w:rsid w:val="00183FDA"/>
    <w:rsid w:val="00256952"/>
    <w:rsid w:val="003216DB"/>
    <w:rsid w:val="00323EE4"/>
    <w:rsid w:val="003F6F3E"/>
    <w:rsid w:val="00407E90"/>
    <w:rsid w:val="0046258D"/>
    <w:rsid w:val="004823D9"/>
    <w:rsid w:val="0055334F"/>
    <w:rsid w:val="0056655A"/>
    <w:rsid w:val="00567268"/>
    <w:rsid w:val="005D103E"/>
    <w:rsid w:val="005F4489"/>
    <w:rsid w:val="006228CA"/>
    <w:rsid w:val="00692A26"/>
    <w:rsid w:val="007205CE"/>
    <w:rsid w:val="00742106"/>
    <w:rsid w:val="007454C8"/>
    <w:rsid w:val="0075485B"/>
    <w:rsid w:val="007A1E57"/>
    <w:rsid w:val="007B77BE"/>
    <w:rsid w:val="00801901"/>
    <w:rsid w:val="00847139"/>
    <w:rsid w:val="008E377F"/>
    <w:rsid w:val="00982013"/>
    <w:rsid w:val="009A1606"/>
    <w:rsid w:val="009B4088"/>
    <w:rsid w:val="00A63F7E"/>
    <w:rsid w:val="00A9248A"/>
    <w:rsid w:val="00AA55E6"/>
    <w:rsid w:val="00C26E18"/>
    <w:rsid w:val="00C42ED0"/>
    <w:rsid w:val="00CB04D3"/>
    <w:rsid w:val="00CC7A98"/>
    <w:rsid w:val="00CF3B3E"/>
    <w:rsid w:val="00D13BF2"/>
    <w:rsid w:val="00D53E0B"/>
    <w:rsid w:val="00D9265F"/>
    <w:rsid w:val="00E00047"/>
    <w:rsid w:val="00E44894"/>
    <w:rsid w:val="00E91A65"/>
    <w:rsid w:val="00F5277C"/>
    <w:rsid w:val="00F62D8D"/>
    <w:rsid w:val="00F965E4"/>
    <w:rsid w:val="00FC051D"/>
    <w:rsid w:val="00FD4EFF"/>
    <w:rsid w:val="010E1518"/>
    <w:rsid w:val="01193BAB"/>
    <w:rsid w:val="012515C4"/>
    <w:rsid w:val="012F0CEC"/>
    <w:rsid w:val="013A752C"/>
    <w:rsid w:val="0159347F"/>
    <w:rsid w:val="017C6D0A"/>
    <w:rsid w:val="01816A09"/>
    <w:rsid w:val="0196601E"/>
    <w:rsid w:val="01D408F4"/>
    <w:rsid w:val="01E70628"/>
    <w:rsid w:val="02031C73"/>
    <w:rsid w:val="02092C94"/>
    <w:rsid w:val="02160F0D"/>
    <w:rsid w:val="02213014"/>
    <w:rsid w:val="02230958"/>
    <w:rsid w:val="022655F4"/>
    <w:rsid w:val="022D30DA"/>
    <w:rsid w:val="02455925"/>
    <w:rsid w:val="02562F47"/>
    <w:rsid w:val="0256755B"/>
    <w:rsid w:val="02866093"/>
    <w:rsid w:val="02A97FD3"/>
    <w:rsid w:val="02BA21E0"/>
    <w:rsid w:val="02D05560"/>
    <w:rsid w:val="02D219C4"/>
    <w:rsid w:val="03065425"/>
    <w:rsid w:val="030A6CC4"/>
    <w:rsid w:val="03231259"/>
    <w:rsid w:val="033360DB"/>
    <w:rsid w:val="033B0CFE"/>
    <w:rsid w:val="034F7EF4"/>
    <w:rsid w:val="03854560"/>
    <w:rsid w:val="03BF4CCA"/>
    <w:rsid w:val="03C14561"/>
    <w:rsid w:val="03C926DB"/>
    <w:rsid w:val="04041965"/>
    <w:rsid w:val="040D3C69"/>
    <w:rsid w:val="0422003D"/>
    <w:rsid w:val="04261197"/>
    <w:rsid w:val="04630F4A"/>
    <w:rsid w:val="049B5476"/>
    <w:rsid w:val="04E03371"/>
    <w:rsid w:val="052D4ADE"/>
    <w:rsid w:val="0534580D"/>
    <w:rsid w:val="05432019"/>
    <w:rsid w:val="055E210C"/>
    <w:rsid w:val="056A57F8"/>
    <w:rsid w:val="05774F35"/>
    <w:rsid w:val="05A71A7B"/>
    <w:rsid w:val="05B80C59"/>
    <w:rsid w:val="05F21DE6"/>
    <w:rsid w:val="06112117"/>
    <w:rsid w:val="064E5119"/>
    <w:rsid w:val="064E6865"/>
    <w:rsid w:val="066C559F"/>
    <w:rsid w:val="06984B35"/>
    <w:rsid w:val="06DF2215"/>
    <w:rsid w:val="06EC4087"/>
    <w:rsid w:val="07027CB2"/>
    <w:rsid w:val="07050876"/>
    <w:rsid w:val="07105E67"/>
    <w:rsid w:val="071D0355"/>
    <w:rsid w:val="0733430F"/>
    <w:rsid w:val="073851BD"/>
    <w:rsid w:val="07B81042"/>
    <w:rsid w:val="07D1641A"/>
    <w:rsid w:val="07D23B28"/>
    <w:rsid w:val="07DE427B"/>
    <w:rsid w:val="07F5271F"/>
    <w:rsid w:val="07F661BB"/>
    <w:rsid w:val="08007B78"/>
    <w:rsid w:val="08105A97"/>
    <w:rsid w:val="08145A20"/>
    <w:rsid w:val="082779D0"/>
    <w:rsid w:val="082C4653"/>
    <w:rsid w:val="085409E1"/>
    <w:rsid w:val="085A2AEA"/>
    <w:rsid w:val="085A4AFD"/>
    <w:rsid w:val="08755BC3"/>
    <w:rsid w:val="087D5842"/>
    <w:rsid w:val="08A774AC"/>
    <w:rsid w:val="08C9324E"/>
    <w:rsid w:val="08DB2D17"/>
    <w:rsid w:val="08DC5BCE"/>
    <w:rsid w:val="08FD2989"/>
    <w:rsid w:val="090F409F"/>
    <w:rsid w:val="09601EFA"/>
    <w:rsid w:val="09634106"/>
    <w:rsid w:val="09856BC3"/>
    <w:rsid w:val="09886B94"/>
    <w:rsid w:val="09A068B5"/>
    <w:rsid w:val="09A511E3"/>
    <w:rsid w:val="09B37E23"/>
    <w:rsid w:val="09FC5A6D"/>
    <w:rsid w:val="0A31076B"/>
    <w:rsid w:val="0A586351"/>
    <w:rsid w:val="0A5D1DCF"/>
    <w:rsid w:val="0A7B7C6C"/>
    <w:rsid w:val="0A89454C"/>
    <w:rsid w:val="0AA52631"/>
    <w:rsid w:val="0ABD0ABF"/>
    <w:rsid w:val="0AD87214"/>
    <w:rsid w:val="0AF21923"/>
    <w:rsid w:val="0AFD710E"/>
    <w:rsid w:val="0B183F48"/>
    <w:rsid w:val="0B301C8C"/>
    <w:rsid w:val="0B464611"/>
    <w:rsid w:val="0B971310"/>
    <w:rsid w:val="0BB7140A"/>
    <w:rsid w:val="0BBC0022"/>
    <w:rsid w:val="0BC128AB"/>
    <w:rsid w:val="0BD90EE9"/>
    <w:rsid w:val="0BE61950"/>
    <w:rsid w:val="0BF26973"/>
    <w:rsid w:val="0C0D599E"/>
    <w:rsid w:val="0C246131"/>
    <w:rsid w:val="0C282C80"/>
    <w:rsid w:val="0C747BE1"/>
    <w:rsid w:val="0C796895"/>
    <w:rsid w:val="0C7E427E"/>
    <w:rsid w:val="0C8D7232"/>
    <w:rsid w:val="0C8E44C1"/>
    <w:rsid w:val="0C956CDB"/>
    <w:rsid w:val="0C9E593E"/>
    <w:rsid w:val="0CA578F4"/>
    <w:rsid w:val="0CBC5B26"/>
    <w:rsid w:val="0CC95340"/>
    <w:rsid w:val="0CE06855"/>
    <w:rsid w:val="0CF271BF"/>
    <w:rsid w:val="0D2C5A88"/>
    <w:rsid w:val="0D337983"/>
    <w:rsid w:val="0D3A63F7"/>
    <w:rsid w:val="0D3F756A"/>
    <w:rsid w:val="0D417786"/>
    <w:rsid w:val="0D42705A"/>
    <w:rsid w:val="0D474670"/>
    <w:rsid w:val="0D5F1E64"/>
    <w:rsid w:val="0D9755F8"/>
    <w:rsid w:val="0DB27913"/>
    <w:rsid w:val="0DCD568A"/>
    <w:rsid w:val="0DFD1228"/>
    <w:rsid w:val="0E2B535C"/>
    <w:rsid w:val="0E603E62"/>
    <w:rsid w:val="0EA56B49"/>
    <w:rsid w:val="0EF600FC"/>
    <w:rsid w:val="0EFA4090"/>
    <w:rsid w:val="0F3B3D47"/>
    <w:rsid w:val="0F4814BC"/>
    <w:rsid w:val="0F6B0AEA"/>
    <w:rsid w:val="0FB55794"/>
    <w:rsid w:val="0FB6788B"/>
    <w:rsid w:val="100B407B"/>
    <w:rsid w:val="104E667B"/>
    <w:rsid w:val="10575E20"/>
    <w:rsid w:val="105A2DDD"/>
    <w:rsid w:val="106611CB"/>
    <w:rsid w:val="10831E63"/>
    <w:rsid w:val="10A67900"/>
    <w:rsid w:val="11357601"/>
    <w:rsid w:val="113722BE"/>
    <w:rsid w:val="113B0DD1"/>
    <w:rsid w:val="113F685C"/>
    <w:rsid w:val="11601AD6"/>
    <w:rsid w:val="11BA18B5"/>
    <w:rsid w:val="11D630DE"/>
    <w:rsid w:val="11E76422"/>
    <w:rsid w:val="12380801"/>
    <w:rsid w:val="124D2729"/>
    <w:rsid w:val="12507C79"/>
    <w:rsid w:val="1254371D"/>
    <w:rsid w:val="1262199D"/>
    <w:rsid w:val="12865437"/>
    <w:rsid w:val="128A572B"/>
    <w:rsid w:val="12AA1929"/>
    <w:rsid w:val="12AF6F40"/>
    <w:rsid w:val="12BD6BF4"/>
    <w:rsid w:val="12CA3D79"/>
    <w:rsid w:val="13053004"/>
    <w:rsid w:val="132D6E78"/>
    <w:rsid w:val="137C0484"/>
    <w:rsid w:val="13962132"/>
    <w:rsid w:val="1399374C"/>
    <w:rsid w:val="139C4065"/>
    <w:rsid w:val="13BF7656"/>
    <w:rsid w:val="1437327D"/>
    <w:rsid w:val="145002AE"/>
    <w:rsid w:val="1454587B"/>
    <w:rsid w:val="145A17F2"/>
    <w:rsid w:val="145A366F"/>
    <w:rsid w:val="145F04F1"/>
    <w:rsid w:val="147C10A3"/>
    <w:rsid w:val="14891A12"/>
    <w:rsid w:val="148D1503"/>
    <w:rsid w:val="14A8633C"/>
    <w:rsid w:val="14B22D17"/>
    <w:rsid w:val="14B33330"/>
    <w:rsid w:val="14E24257"/>
    <w:rsid w:val="14F364DD"/>
    <w:rsid w:val="14FE7D0A"/>
    <w:rsid w:val="150D5D06"/>
    <w:rsid w:val="15204125"/>
    <w:rsid w:val="153951E6"/>
    <w:rsid w:val="155B13B3"/>
    <w:rsid w:val="157F1A78"/>
    <w:rsid w:val="15D078F9"/>
    <w:rsid w:val="15DA2525"/>
    <w:rsid w:val="15DA2C5A"/>
    <w:rsid w:val="1605187F"/>
    <w:rsid w:val="16154877"/>
    <w:rsid w:val="16500A3A"/>
    <w:rsid w:val="16573B76"/>
    <w:rsid w:val="1672275E"/>
    <w:rsid w:val="167A1613"/>
    <w:rsid w:val="16897AA8"/>
    <w:rsid w:val="169762DB"/>
    <w:rsid w:val="16A11295"/>
    <w:rsid w:val="16A13043"/>
    <w:rsid w:val="16AA639C"/>
    <w:rsid w:val="16C0190D"/>
    <w:rsid w:val="170F0CDD"/>
    <w:rsid w:val="17137D16"/>
    <w:rsid w:val="173B3498"/>
    <w:rsid w:val="17563E2E"/>
    <w:rsid w:val="17944956"/>
    <w:rsid w:val="17982698"/>
    <w:rsid w:val="17B77DC6"/>
    <w:rsid w:val="17E31439"/>
    <w:rsid w:val="18251A52"/>
    <w:rsid w:val="18367B71"/>
    <w:rsid w:val="18371EB1"/>
    <w:rsid w:val="186A144F"/>
    <w:rsid w:val="187622AE"/>
    <w:rsid w:val="18812024"/>
    <w:rsid w:val="189D2F2A"/>
    <w:rsid w:val="18DA1062"/>
    <w:rsid w:val="18DF750D"/>
    <w:rsid w:val="19057B47"/>
    <w:rsid w:val="192E465C"/>
    <w:rsid w:val="193A152D"/>
    <w:rsid w:val="195A634B"/>
    <w:rsid w:val="19720CC7"/>
    <w:rsid w:val="199C16E9"/>
    <w:rsid w:val="199D5F29"/>
    <w:rsid w:val="1A271AB1"/>
    <w:rsid w:val="1A2E4BEE"/>
    <w:rsid w:val="1A5202FA"/>
    <w:rsid w:val="1AAC33FA"/>
    <w:rsid w:val="1AB86BAD"/>
    <w:rsid w:val="1AED0A61"/>
    <w:rsid w:val="1B056327"/>
    <w:rsid w:val="1B34092A"/>
    <w:rsid w:val="1B4548E5"/>
    <w:rsid w:val="1B4B4FB2"/>
    <w:rsid w:val="1B4E010B"/>
    <w:rsid w:val="1B5C39DD"/>
    <w:rsid w:val="1B7A723A"/>
    <w:rsid w:val="1B9E715D"/>
    <w:rsid w:val="1BCA0EFB"/>
    <w:rsid w:val="1BCD6688"/>
    <w:rsid w:val="1BD6322C"/>
    <w:rsid w:val="1BDD4B1E"/>
    <w:rsid w:val="1BDF0C37"/>
    <w:rsid w:val="1C180837"/>
    <w:rsid w:val="1C1B5646"/>
    <w:rsid w:val="1C2244F6"/>
    <w:rsid w:val="1C6670D2"/>
    <w:rsid w:val="1C735482"/>
    <w:rsid w:val="1C8E406A"/>
    <w:rsid w:val="1C9070D0"/>
    <w:rsid w:val="1CA52F76"/>
    <w:rsid w:val="1CAD6FA9"/>
    <w:rsid w:val="1CF35F62"/>
    <w:rsid w:val="1D061E52"/>
    <w:rsid w:val="1D1C3424"/>
    <w:rsid w:val="1D234DCF"/>
    <w:rsid w:val="1D2D3ACF"/>
    <w:rsid w:val="1D3E783E"/>
    <w:rsid w:val="1D686A57"/>
    <w:rsid w:val="1D813BCE"/>
    <w:rsid w:val="1D864D41"/>
    <w:rsid w:val="1D877C1B"/>
    <w:rsid w:val="1DB63878"/>
    <w:rsid w:val="1DE2494A"/>
    <w:rsid w:val="1DFE6FCD"/>
    <w:rsid w:val="1E0D7210"/>
    <w:rsid w:val="1E1A6270"/>
    <w:rsid w:val="1E37603B"/>
    <w:rsid w:val="1E66393B"/>
    <w:rsid w:val="1E6C2189"/>
    <w:rsid w:val="1E9F7B2F"/>
    <w:rsid w:val="1EB53B30"/>
    <w:rsid w:val="1EB83740"/>
    <w:rsid w:val="1EC56452"/>
    <w:rsid w:val="1EED5392"/>
    <w:rsid w:val="1EFF1D16"/>
    <w:rsid w:val="1F86727A"/>
    <w:rsid w:val="1F9D2223"/>
    <w:rsid w:val="1FC96AD8"/>
    <w:rsid w:val="1FE10954"/>
    <w:rsid w:val="1FE15F3B"/>
    <w:rsid w:val="1FF7A56F"/>
    <w:rsid w:val="20146B92"/>
    <w:rsid w:val="20270A5D"/>
    <w:rsid w:val="203E5DA7"/>
    <w:rsid w:val="205D447F"/>
    <w:rsid w:val="20660E66"/>
    <w:rsid w:val="209B4FA7"/>
    <w:rsid w:val="20A21E92"/>
    <w:rsid w:val="21132956"/>
    <w:rsid w:val="211428BF"/>
    <w:rsid w:val="21202FCA"/>
    <w:rsid w:val="21306630"/>
    <w:rsid w:val="215A09BE"/>
    <w:rsid w:val="217C5962"/>
    <w:rsid w:val="21B3342C"/>
    <w:rsid w:val="21C127EB"/>
    <w:rsid w:val="21C978F2"/>
    <w:rsid w:val="21DE311D"/>
    <w:rsid w:val="220171CF"/>
    <w:rsid w:val="22235254"/>
    <w:rsid w:val="224A0A33"/>
    <w:rsid w:val="224A1874"/>
    <w:rsid w:val="225D1EB1"/>
    <w:rsid w:val="226F2DD1"/>
    <w:rsid w:val="22745AB0"/>
    <w:rsid w:val="229B216B"/>
    <w:rsid w:val="229D6DB5"/>
    <w:rsid w:val="22B13B13"/>
    <w:rsid w:val="22B3482A"/>
    <w:rsid w:val="22B66EF0"/>
    <w:rsid w:val="23256DAA"/>
    <w:rsid w:val="233174FD"/>
    <w:rsid w:val="23323278"/>
    <w:rsid w:val="233A0AA7"/>
    <w:rsid w:val="234271CB"/>
    <w:rsid w:val="237D267B"/>
    <w:rsid w:val="238B212F"/>
    <w:rsid w:val="239D1036"/>
    <w:rsid w:val="23A0437A"/>
    <w:rsid w:val="23A423C5"/>
    <w:rsid w:val="23AE0B4E"/>
    <w:rsid w:val="23B1063E"/>
    <w:rsid w:val="23B32608"/>
    <w:rsid w:val="23BC2A5A"/>
    <w:rsid w:val="23C860B3"/>
    <w:rsid w:val="23CD07BD"/>
    <w:rsid w:val="23FB3B93"/>
    <w:rsid w:val="240D7F6A"/>
    <w:rsid w:val="24290493"/>
    <w:rsid w:val="24294678"/>
    <w:rsid w:val="24346E9F"/>
    <w:rsid w:val="243E6375"/>
    <w:rsid w:val="245925FC"/>
    <w:rsid w:val="245C4A4D"/>
    <w:rsid w:val="245E5334"/>
    <w:rsid w:val="24774524"/>
    <w:rsid w:val="24A26904"/>
    <w:rsid w:val="24ED56A6"/>
    <w:rsid w:val="25030902"/>
    <w:rsid w:val="25320EB3"/>
    <w:rsid w:val="253F05F7"/>
    <w:rsid w:val="254257E5"/>
    <w:rsid w:val="25675458"/>
    <w:rsid w:val="256D095A"/>
    <w:rsid w:val="25824FE5"/>
    <w:rsid w:val="258E50DA"/>
    <w:rsid w:val="25AE26C4"/>
    <w:rsid w:val="25AE768F"/>
    <w:rsid w:val="25D51472"/>
    <w:rsid w:val="25E0531F"/>
    <w:rsid w:val="25F5515A"/>
    <w:rsid w:val="26306279"/>
    <w:rsid w:val="263A0DBE"/>
    <w:rsid w:val="263B05DB"/>
    <w:rsid w:val="264F15E3"/>
    <w:rsid w:val="26774ED4"/>
    <w:rsid w:val="26832765"/>
    <w:rsid w:val="26F02B5B"/>
    <w:rsid w:val="26FE382E"/>
    <w:rsid w:val="273B094A"/>
    <w:rsid w:val="273F0DA8"/>
    <w:rsid w:val="27460791"/>
    <w:rsid w:val="274F43F6"/>
    <w:rsid w:val="274F678B"/>
    <w:rsid w:val="275318CF"/>
    <w:rsid w:val="27A40BE5"/>
    <w:rsid w:val="27D44B1C"/>
    <w:rsid w:val="28173EA1"/>
    <w:rsid w:val="28240D1E"/>
    <w:rsid w:val="282A6111"/>
    <w:rsid w:val="2835183D"/>
    <w:rsid w:val="286F2FA1"/>
    <w:rsid w:val="28777AD4"/>
    <w:rsid w:val="287D015D"/>
    <w:rsid w:val="2883038C"/>
    <w:rsid w:val="2885155A"/>
    <w:rsid w:val="288B7471"/>
    <w:rsid w:val="28A92BCF"/>
    <w:rsid w:val="28B078C0"/>
    <w:rsid w:val="28B5472C"/>
    <w:rsid w:val="28D56B7C"/>
    <w:rsid w:val="29220014"/>
    <w:rsid w:val="29335621"/>
    <w:rsid w:val="293755EF"/>
    <w:rsid w:val="295B52D4"/>
    <w:rsid w:val="297213A4"/>
    <w:rsid w:val="298A5CE1"/>
    <w:rsid w:val="298E56A9"/>
    <w:rsid w:val="29935745"/>
    <w:rsid w:val="299E0C30"/>
    <w:rsid w:val="29AF73CD"/>
    <w:rsid w:val="29CF2C9E"/>
    <w:rsid w:val="29F01EC0"/>
    <w:rsid w:val="2A1525B3"/>
    <w:rsid w:val="2A1F3C77"/>
    <w:rsid w:val="2A41271B"/>
    <w:rsid w:val="2A420242"/>
    <w:rsid w:val="2A663F30"/>
    <w:rsid w:val="2A770325"/>
    <w:rsid w:val="2A862824"/>
    <w:rsid w:val="2A954815"/>
    <w:rsid w:val="2B3E30FF"/>
    <w:rsid w:val="2B5621F6"/>
    <w:rsid w:val="2B577739"/>
    <w:rsid w:val="2B82420A"/>
    <w:rsid w:val="2BC32FA6"/>
    <w:rsid w:val="2BDE0F2A"/>
    <w:rsid w:val="2BF35C97"/>
    <w:rsid w:val="2BF84EC6"/>
    <w:rsid w:val="2BFD2672"/>
    <w:rsid w:val="2C1005F7"/>
    <w:rsid w:val="2C1B0D4A"/>
    <w:rsid w:val="2C1F0ECB"/>
    <w:rsid w:val="2C29790B"/>
    <w:rsid w:val="2C2F0132"/>
    <w:rsid w:val="2C5B48B1"/>
    <w:rsid w:val="2C635A6B"/>
    <w:rsid w:val="2C9C63F2"/>
    <w:rsid w:val="2C9F5E1F"/>
    <w:rsid w:val="2CE95AE3"/>
    <w:rsid w:val="2D056A81"/>
    <w:rsid w:val="2D0B713B"/>
    <w:rsid w:val="2D0D1210"/>
    <w:rsid w:val="2D205DF5"/>
    <w:rsid w:val="2D333BB2"/>
    <w:rsid w:val="2D6C3F53"/>
    <w:rsid w:val="2D6F2A08"/>
    <w:rsid w:val="2D7A708A"/>
    <w:rsid w:val="2D986A7C"/>
    <w:rsid w:val="2DD31C58"/>
    <w:rsid w:val="2E386100"/>
    <w:rsid w:val="2E3A4E93"/>
    <w:rsid w:val="2E4F2F2D"/>
    <w:rsid w:val="2E813A2E"/>
    <w:rsid w:val="2E921BC1"/>
    <w:rsid w:val="2E9D3756"/>
    <w:rsid w:val="2ED71151"/>
    <w:rsid w:val="2EEB534C"/>
    <w:rsid w:val="2EFB0B3C"/>
    <w:rsid w:val="2F050150"/>
    <w:rsid w:val="2F1300E5"/>
    <w:rsid w:val="2F3B21A6"/>
    <w:rsid w:val="2F503401"/>
    <w:rsid w:val="2F5B4CE0"/>
    <w:rsid w:val="2F5C1340"/>
    <w:rsid w:val="2F5D4FF9"/>
    <w:rsid w:val="2F6457B2"/>
    <w:rsid w:val="2F666780"/>
    <w:rsid w:val="2F7E3ACA"/>
    <w:rsid w:val="2F8135BA"/>
    <w:rsid w:val="2F8D101C"/>
    <w:rsid w:val="2F9039F3"/>
    <w:rsid w:val="2FB63264"/>
    <w:rsid w:val="2FE85A33"/>
    <w:rsid w:val="2FF4525E"/>
    <w:rsid w:val="300D602F"/>
    <w:rsid w:val="30434F34"/>
    <w:rsid w:val="30551C7E"/>
    <w:rsid w:val="305C1DF5"/>
    <w:rsid w:val="307A6139"/>
    <w:rsid w:val="307D0225"/>
    <w:rsid w:val="3095731D"/>
    <w:rsid w:val="30AB6B41"/>
    <w:rsid w:val="30C145B6"/>
    <w:rsid w:val="30C330A2"/>
    <w:rsid w:val="31032820"/>
    <w:rsid w:val="31575E0E"/>
    <w:rsid w:val="3163566D"/>
    <w:rsid w:val="31847465"/>
    <w:rsid w:val="31DD71CE"/>
    <w:rsid w:val="31DE379A"/>
    <w:rsid w:val="321B2CF5"/>
    <w:rsid w:val="327B69E7"/>
    <w:rsid w:val="327D0402"/>
    <w:rsid w:val="32A61FCC"/>
    <w:rsid w:val="32C0465B"/>
    <w:rsid w:val="32CE6B16"/>
    <w:rsid w:val="32D54349"/>
    <w:rsid w:val="33000244"/>
    <w:rsid w:val="3319111C"/>
    <w:rsid w:val="33366578"/>
    <w:rsid w:val="33896EE1"/>
    <w:rsid w:val="33A45AC9"/>
    <w:rsid w:val="33A63D3F"/>
    <w:rsid w:val="33AA7583"/>
    <w:rsid w:val="33D3298D"/>
    <w:rsid w:val="33D41912"/>
    <w:rsid w:val="33DB773D"/>
    <w:rsid w:val="33F61B9F"/>
    <w:rsid w:val="33FB1B8D"/>
    <w:rsid w:val="3425351D"/>
    <w:rsid w:val="3442156A"/>
    <w:rsid w:val="34864572"/>
    <w:rsid w:val="34B155AA"/>
    <w:rsid w:val="34BE18EB"/>
    <w:rsid w:val="34BF7A35"/>
    <w:rsid w:val="34C80E50"/>
    <w:rsid w:val="34DB1C6D"/>
    <w:rsid w:val="35095BB0"/>
    <w:rsid w:val="350D3521"/>
    <w:rsid w:val="35262805"/>
    <w:rsid w:val="353A6D2D"/>
    <w:rsid w:val="35407683"/>
    <w:rsid w:val="3560476E"/>
    <w:rsid w:val="357342CB"/>
    <w:rsid w:val="35743D44"/>
    <w:rsid w:val="357F234A"/>
    <w:rsid w:val="35956011"/>
    <w:rsid w:val="35A207D8"/>
    <w:rsid w:val="35A51DD0"/>
    <w:rsid w:val="35CC03C4"/>
    <w:rsid w:val="35EE16E3"/>
    <w:rsid w:val="36202DD1"/>
    <w:rsid w:val="36331C0A"/>
    <w:rsid w:val="36345F74"/>
    <w:rsid w:val="36603F29"/>
    <w:rsid w:val="366C2AF8"/>
    <w:rsid w:val="36720821"/>
    <w:rsid w:val="369D0C7D"/>
    <w:rsid w:val="36CF7301"/>
    <w:rsid w:val="36E43B49"/>
    <w:rsid w:val="36F31241"/>
    <w:rsid w:val="3708704A"/>
    <w:rsid w:val="37105321"/>
    <w:rsid w:val="375D7E76"/>
    <w:rsid w:val="37807888"/>
    <w:rsid w:val="37873738"/>
    <w:rsid w:val="3798259B"/>
    <w:rsid w:val="37AD13F0"/>
    <w:rsid w:val="37C96B2D"/>
    <w:rsid w:val="37F0121B"/>
    <w:rsid w:val="37F214F9"/>
    <w:rsid w:val="384A4E91"/>
    <w:rsid w:val="38533CA9"/>
    <w:rsid w:val="3869436C"/>
    <w:rsid w:val="38754CFF"/>
    <w:rsid w:val="387E5915"/>
    <w:rsid w:val="388138D0"/>
    <w:rsid w:val="388B18D0"/>
    <w:rsid w:val="38BB7B3D"/>
    <w:rsid w:val="38C70290"/>
    <w:rsid w:val="38CA6BA3"/>
    <w:rsid w:val="38E057F5"/>
    <w:rsid w:val="38E30E42"/>
    <w:rsid w:val="38EF3348"/>
    <w:rsid w:val="38F36F52"/>
    <w:rsid w:val="39027F6D"/>
    <w:rsid w:val="39072D82"/>
    <w:rsid w:val="391A0D07"/>
    <w:rsid w:val="392C38FE"/>
    <w:rsid w:val="39302E30"/>
    <w:rsid w:val="394B49F2"/>
    <w:rsid w:val="395D73C0"/>
    <w:rsid w:val="3964489B"/>
    <w:rsid w:val="39677CC5"/>
    <w:rsid w:val="396D4363"/>
    <w:rsid w:val="397D5C71"/>
    <w:rsid w:val="398140D4"/>
    <w:rsid w:val="398C450B"/>
    <w:rsid w:val="39A27D95"/>
    <w:rsid w:val="39A30FAD"/>
    <w:rsid w:val="39C26CA9"/>
    <w:rsid w:val="39DF76B4"/>
    <w:rsid w:val="3A0379ED"/>
    <w:rsid w:val="3A3B4A7C"/>
    <w:rsid w:val="3A9B7A6A"/>
    <w:rsid w:val="3A9C5889"/>
    <w:rsid w:val="3B0300BA"/>
    <w:rsid w:val="3B103205"/>
    <w:rsid w:val="3B2319C9"/>
    <w:rsid w:val="3B2C125E"/>
    <w:rsid w:val="3B40382E"/>
    <w:rsid w:val="3B4909A7"/>
    <w:rsid w:val="3B706D2B"/>
    <w:rsid w:val="3B7A5A8D"/>
    <w:rsid w:val="3B900E71"/>
    <w:rsid w:val="3B903503"/>
    <w:rsid w:val="3B96663F"/>
    <w:rsid w:val="3B967BC8"/>
    <w:rsid w:val="3BC7074D"/>
    <w:rsid w:val="3BDA3232"/>
    <w:rsid w:val="3C0567E7"/>
    <w:rsid w:val="3C362D65"/>
    <w:rsid w:val="3C547DBA"/>
    <w:rsid w:val="3C5A7719"/>
    <w:rsid w:val="3C605D89"/>
    <w:rsid w:val="3C71787E"/>
    <w:rsid w:val="3C766FF7"/>
    <w:rsid w:val="3C8F5568"/>
    <w:rsid w:val="3C964B49"/>
    <w:rsid w:val="3CA86EA1"/>
    <w:rsid w:val="3CB60D47"/>
    <w:rsid w:val="3CEC3782"/>
    <w:rsid w:val="3CF03B2D"/>
    <w:rsid w:val="3CF8135F"/>
    <w:rsid w:val="3D005751"/>
    <w:rsid w:val="3D2E7CF5"/>
    <w:rsid w:val="3D6A7A3F"/>
    <w:rsid w:val="3D8475ED"/>
    <w:rsid w:val="3D8726E3"/>
    <w:rsid w:val="3D9133ED"/>
    <w:rsid w:val="3D9A7407"/>
    <w:rsid w:val="3DB72FC9"/>
    <w:rsid w:val="3DBA03C3"/>
    <w:rsid w:val="3DC47494"/>
    <w:rsid w:val="3DDC47DD"/>
    <w:rsid w:val="3DF02037"/>
    <w:rsid w:val="3DF11CB6"/>
    <w:rsid w:val="3E0C29CB"/>
    <w:rsid w:val="3E111FAD"/>
    <w:rsid w:val="3E1438A5"/>
    <w:rsid w:val="3E467EA9"/>
    <w:rsid w:val="3E4800C5"/>
    <w:rsid w:val="3E5949BE"/>
    <w:rsid w:val="3E6977ED"/>
    <w:rsid w:val="3E974BA8"/>
    <w:rsid w:val="3EB53979"/>
    <w:rsid w:val="3ECC2AA4"/>
    <w:rsid w:val="3ED06C72"/>
    <w:rsid w:val="3EE85802"/>
    <w:rsid w:val="3F0A7128"/>
    <w:rsid w:val="3F472EC1"/>
    <w:rsid w:val="3F9179BC"/>
    <w:rsid w:val="3FAF7652"/>
    <w:rsid w:val="3FB91F06"/>
    <w:rsid w:val="3FC76DC7"/>
    <w:rsid w:val="3FCC262F"/>
    <w:rsid w:val="3FCF2120"/>
    <w:rsid w:val="3FD9375B"/>
    <w:rsid w:val="3FEF631E"/>
    <w:rsid w:val="40143827"/>
    <w:rsid w:val="40172C0E"/>
    <w:rsid w:val="405A10B2"/>
    <w:rsid w:val="408C567A"/>
    <w:rsid w:val="40930E3F"/>
    <w:rsid w:val="40D50F00"/>
    <w:rsid w:val="40DE32EB"/>
    <w:rsid w:val="40FB141E"/>
    <w:rsid w:val="40FC0CF2"/>
    <w:rsid w:val="412D71DE"/>
    <w:rsid w:val="416C485A"/>
    <w:rsid w:val="41721093"/>
    <w:rsid w:val="41A25A1E"/>
    <w:rsid w:val="41A75102"/>
    <w:rsid w:val="41D5051C"/>
    <w:rsid w:val="41D57EC1"/>
    <w:rsid w:val="41D93646"/>
    <w:rsid w:val="422B280E"/>
    <w:rsid w:val="42302AF1"/>
    <w:rsid w:val="42330A76"/>
    <w:rsid w:val="42420B28"/>
    <w:rsid w:val="424C4B06"/>
    <w:rsid w:val="42552DB0"/>
    <w:rsid w:val="42666D6B"/>
    <w:rsid w:val="429E3832"/>
    <w:rsid w:val="42EE4396"/>
    <w:rsid w:val="432033BE"/>
    <w:rsid w:val="43215097"/>
    <w:rsid w:val="432B3B11"/>
    <w:rsid w:val="432B78CC"/>
    <w:rsid w:val="43335793"/>
    <w:rsid w:val="433E3844"/>
    <w:rsid w:val="434D1CD9"/>
    <w:rsid w:val="43504A5C"/>
    <w:rsid w:val="43560B8E"/>
    <w:rsid w:val="43666078"/>
    <w:rsid w:val="437629AE"/>
    <w:rsid w:val="437D2606"/>
    <w:rsid w:val="43BB7080"/>
    <w:rsid w:val="43BE61A8"/>
    <w:rsid w:val="43D0692B"/>
    <w:rsid w:val="43DA56DD"/>
    <w:rsid w:val="43EE0B63"/>
    <w:rsid w:val="441B469E"/>
    <w:rsid w:val="441D78FE"/>
    <w:rsid w:val="442D019F"/>
    <w:rsid w:val="44370871"/>
    <w:rsid w:val="444529B0"/>
    <w:rsid w:val="445B0426"/>
    <w:rsid w:val="445F7F16"/>
    <w:rsid w:val="447913F5"/>
    <w:rsid w:val="449201EC"/>
    <w:rsid w:val="44AA1CB0"/>
    <w:rsid w:val="44AD0C81"/>
    <w:rsid w:val="44B518E4"/>
    <w:rsid w:val="44CE24E4"/>
    <w:rsid w:val="44D16A09"/>
    <w:rsid w:val="44D33F5C"/>
    <w:rsid w:val="44D90521"/>
    <w:rsid w:val="44E52F1F"/>
    <w:rsid w:val="45060392"/>
    <w:rsid w:val="450E440F"/>
    <w:rsid w:val="45502007"/>
    <w:rsid w:val="45763769"/>
    <w:rsid w:val="457B0D80"/>
    <w:rsid w:val="4580392B"/>
    <w:rsid w:val="45883F8A"/>
    <w:rsid w:val="45B7168C"/>
    <w:rsid w:val="45EA7CB3"/>
    <w:rsid w:val="45F04858"/>
    <w:rsid w:val="4606799E"/>
    <w:rsid w:val="4629386F"/>
    <w:rsid w:val="466174A4"/>
    <w:rsid w:val="468B197E"/>
    <w:rsid w:val="46CB3641"/>
    <w:rsid w:val="46D52AA1"/>
    <w:rsid w:val="470E5183"/>
    <w:rsid w:val="471F4F7F"/>
    <w:rsid w:val="47264D1B"/>
    <w:rsid w:val="472F1E22"/>
    <w:rsid w:val="47413903"/>
    <w:rsid w:val="47501D1D"/>
    <w:rsid w:val="479B2B65"/>
    <w:rsid w:val="47E241F2"/>
    <w:rsid w:val="47E32E09"/>
    <w:rsid w:val="47E67EE1"/>
    <w:rsid w:val="47F05DF8"/>
    <w:rsid w:val="47FB1B88"/>
    <w:rsid w:val="483C6C28"/>
    <w:rsid w:val="484C22AF"/>
    <w:rsid w:val="488B7FA6"/>
    <w:rsid w:val="48AC59F4"/>
    <w:rsid w:val="48C742DC"/>
    <w:rsid w:val="48C90054"/>
    <w:rsid w:val="49057F3E"/>
    <w:rsid w:val="493D11A5"/>
    <w:rsid w:val="49497376"/>
    <w:rsid w:val="49913258"/>
    <w:rsid w:val="49AD56D2"/>
    <w:rsid w:val="49CE0CA6"/>
    <w:rsid w:val="49DF2FA3"/>
    <w:rsid w:val="49ED1963"/>
    <w:rsid w:val="49ED1B20"/>
    <w:rsid w:val="49EF3AEA"/>
    <w:rsid w:val="49F37251"/>
    <w:rsid w:val="49F41BF1"/>
    <w:rsid w:val="49FE18E4"/>
    <w:rsid w:val="4A2B6493"/>
    <w:rsid w:val="4A570B81"/>
    <w:rsid w:val="4A596A5D"/>
    <w:rsid w:val="4A7D708F"/>
    <w:rsid w:val="4A9936CA"/>
    <w:rsid w:val="4ABD7BFB"/>
    <w:rsid w:val="4AC43147"/>
    <w:rsid w:val="4ACC2191"/>
    <w:rsid w:val="4AE01685"/>
    <w:rsid w:val="4B5B6B86"/>
    <w:rsid w:val="4B967555"/>
    <w:rsid w:val="4BA41081"/>
    <w:rsid w:val="4BAE7BD6"/>
    <w:rsid w:val="4BE56F53"/>
    <w:rsid w:val="4C07336D"/>
    <w:rsid w:val="4C32337B"/>
    <w:rsid w:val="4C516396"/>
    <w:rsid w:val="4C624E51"/>
    <w:rsid w:val="4C6F5D75"/>
    <w:rsid w:val="4C8614A0"/>
    <w:rsid w:val="4CAC181F"/>
    <w:rsid w:val="4CB90B4A"/>
    <w:rsid w:val="4D011E35"/>
    <w:rsid w:val="4D1A70AD"/>
    <w:rsid w:val="4D4D66ED"/>
    <w:rsid w:val="4D53629A"/>
    <w:rsid w:val="4D7762BF"/>
    <w:rsid w:val="4D896AAF"/>
    <w:rsid w:val="4D927727"/>
    <w:rsid w:val="4DBA3D68"/>
    <w:rsid w:val="4DC350E6"/>
    <w:rsid w:val="4DCE7CC5"/>
    <w:rsid w:val="4DD94895"/>
    <w:rsid w:val="4DDB03CA"/>
    <w:rsid w:val="4DDF58BD"/>
    <w:rsid w:val="4E295649"/>
    <w:rsid w:val="4E434405"/>
    <w:rsid w:val="4E6C5A7D"/>
    <w:rsid w:val="4E6D51A2"/>
    <w:rsid w:val="4E9B1B4B"/>
    <w:rsid w:val="4EE72FE2"/>
    <w:rsid w:val="4EE825AB"/>
    <w:rsid w:val="4F330037"/>
    <w:rsid w:val="4F6B7B7D"/>
    <w:rsid w:val="4F74239C"/>
    <w:rsid w:val="4F840FDE"/>
    <w:rsid w:val="4F8A0ABB"/>
    <w:rsid w:val="501D6856"/>
    <w:rsid w:val="502B260A"/>
    <w:rsid w:val="503277C4"/>
    <w:rsid w:val="506B19F1"/>
    <w:rsid w:val="507B2035"/>
    <w:rsid w:val="50B62F90"/>
    <w:rsid w:val="50D729C1"/>
    <w:rsid w:val="50FE4613"/>
    <w:rsid w:val="510065DD"/>
    <w:rsid w:val="512978E2"/>
    <w:rsid w:val="5187033E"/>
    <w:rsid w:val="51B3364F"/>
    <w:rsid w:val="51B615DA"/>
    <w:rsid w:val="51CF5615"/>
    <w:rsid w:val="51D41141"/>
    <w:rsid w:val="51DA0BDC"/>
    <w:rsid w:val="5200518F"/>
    <w:rsid w:val="52111515"/>
    <w:rsid w:val="52115DFD"/>
    <w:rsid w:val="523830D8"/>
    <w:rsid w:val="525E7A5F"/>
    <w:rsid w:val="52A124AC"/>
    <w:rsid w:val="52B0193D"/>
    <w:rsid w:val="52F14A35"/>
    <w:rsid w:val="53430A03"/>
    <w:rsid w:val="53453EF9"/>
    <w:rsid w:val="537961D3"/>
    <w:rsid w:val="537E1A3B"/>
    <w:rsid w:val="537E7219"/>
    <w:rsid w:val="53AE1474"/>
    <w:rsid w:val="53CC6C4A"/>
    <w:rsid w:val="53E73F9D"/>
    <w:rsid w:val="542B47E5"/>
    <w:rsid w:val="5463665A"/>
    <w:rsid w:val="54737C15"/>
    <w:rsid w:val="5489364B"/>
    <w:rsid w:val="549A28A4"/>
    <w:rsid w:val="54D86D8D"/>
    <w:rsid w:val="54F16968"/>
    <w:rsid w:val="554B067D"/>
    <w:rsid w:val="555111B5"/>
    <w:rsid w:val="55583A1F"/>
    <w:rsid w:val="55624988"/>
    <w:rsid w:val="55651104"/>
    <w:rsid w:val="55705033"/>
    <w:rsid w:val="557D70BE"/>
    <w:rsid w:val="55CE4587"/>
    <w:rsid w:val="560D2D97"/>
    <w:rsid w:val="5624337B"/>
    <w:rsid w:val="56332F20"/>
    <w:rsid w:val="56861332"/>
    <w:rsid w:val="56E827E2"/>
    <w:rsid w:val="56E96FC6"/>
    <w:rsid w:val="56FC725B"/>
    <w:rsid w:val="570B1838"/>
    <w:rsid w:val="57103B34"/>
    <w:rsid w:val="5714694D"/>
    <w:rsid w:val="571B5F1F"/>
    <w:rsid w:val="572C012C"/>
    <w:rsid w:val="57340E32"/>
    <w:rsid w:val="57595F02"/>
    <w:rsid w:val="576A0C54"/>
    <w:rsid w:val="57825F9E"/>
    <w:rsid w:val="579E08FE"/>
    <w:rsid w:val="57A04676"/>
    <w:rsid w:val="57CC7219"/>
    <w:rsid w:val="57E83927"/>
    <w:rsid w:val="57F549C2"/>
    <w:rsid w:val="580547FF"/>
    <w:rsid w:val="5809010E"/>
    <w:rsid w:val="582A0AC8"/>
    <w:rsid w:val="582E1C82"/>
    <w:rsid w:val="583525C6"/>
    <w:rsid w:val="583F79A7"/>
    <w:rsid w:val="588E0FF2"/>
    <w:rsid w:val="589932BB"/>
    <w:rsid w:val="58F5055B"/>
    <w:rsid w:val="58FC3E36"/>
    <w:rsid w:val="59264674"/>
    <w:rsid w:val="593B4656"/>
    <w:rsid w:val="5966544B"/>
    <w:rsid w:val="596801AA"/>
    <w:rsid w:val="596B480F"/>
    <w:rsid w:val="596F1852"/>
    <w:rsid w:val="59831B59"/>
    <w:rsid w:val="5987789B"/>
    <w:rsid w:val="5992473D"/>
    <w:rsid w:val="59AC5554"/>
    <w:rsid w:val="59B61F2F"/>
    <w:rsid w:val="59D251A4"/>
    <w:rsid w:val="5A026F22"/>
    <w:rsid w:val="5A16575C"/>
    <w:rsid w:val="5A175510"/>
    <w:rsid w:val="5A225816"/>
    <w:rsid w:val="5A244218"/>
    <w:rsid w:val="5A5F15A1"/>
    <w:rsid w:val="5A8B5169"/>
    <w:rsid w:val="5A954EAF"/>
    <w:rsid w:val="5ABB4A59"/>
    <w:rsid w:val="5AC230A5"/>
    <w:rsid w:val="5ACE32A8"/>
    <w:rsid w:val="5B070F30"/>
    <w:rsid w:val="5B1D06EE"/>
    <w:rsid w:val="5B3E7A46"/>
    <w:rsid w:val="5B4041A6"/>
    <w:rsid w:val="5B4F7C5A"/>
    <w:rsid w:val="5B907B59"/>
    <w:rsid w:val="5B975D90"/>
    <w:rsid w:val="5BAB5771"/>
    <w:rsid w:val="5BC87CF7"/>
    <w:rsid w:val="5BE014E5"/>
    <w:rsid w:val="5BF44728"/>
    <w:rsid w:val="5BFB5EB2"/>
    <w:rsid w:val="5C0276AD"/>
    <w:rsid w:val="5C317F92"/>
    <w:rsid w:val="5C495DD3"/>
    <w:rsid w:val="5C4E06E7"/>
    <w:rsid w:val="5C593A80"/>
    <w:rsid w:val="5C7B2FBB"/>
    <w:rsid w:val="5CC901CB"/>
    <w:rsid w:val="5CEB6393"/>
    <w:rsid w:val="5D041CF2"/>
    <w:rsid w:val="5D0D6309"/>
    <w:rsid w:val="5D101956"/>
    <w:rsid w:val="5D2378DB"/>
    <w:rsid w:val="5D2418A5"/>
    <w:rsid w:val="5D272928"/>
    <w:rsid w:val="5D2B2C34"/>
    <w:rsid w:val="5D4F03EF"/>
    <w:rsid w:val="5D905C05"/>
    <w:rsid w:val="5DAA7FFC"/>
    <w:rsid w:val="5DCD0AC1"/>
    <w:rsid w:val="5E02038B"/>
    <w:rsid w:val="5E2C27BF"/>
    <w:rsid w:val="5E3E0FB2"/>
    <w:rsid w:val="5EC96260"/>
    <w:rsid w:val="5EE67330"/>
    <w:rsid w:val="5F092881"/>
    <w:rsid w:val="5F212FF8"/>
    <w:rsid w:val="5F245B8C"/>
    <w:rsid w:val="5F27742B"/>
    <w:rsid w:val="5F571ABE"/>
    <w:rsid w:val="5F8B27B8"/>
    <w:rsid w:val="5F8D1984"/>
    <w:rsid w:val="5FB7255D"/>
    <w:rsid w:val="5FB72636"/>
    <w:rsid w:val="5FCB425A"/>
    <w:rsid w:val="5FED41D0"/>
    <w:rsid w:val="60017C7C"/>
    <w:rsid w:val="600B3636"/>
    <w:rsid w:val="60326087"/>
    <w:rsid w:val="6056265E"/>
    <w:rsid w:val="6060486B"/>
    <w:rsid w:val="60DE7CF2"/>
    <w:rsid w:val="611E2E9B"/>
    <w:rsid w:val="612B0E8B"/>
    <w:rsid w:val="6143280C"/>
    <w:rsid w:val="619743F4"/>
    <w:rsid w:val="619D6AD3"/>
    <w:rsid w:val="619D7131"/>
    <w:rsid w:val="61B56F70"/>
    <w:rsid w:val="61DE071F"/>
    <w:rsid w:val="6218157F"/>
    <w:rsid w:val="62204E98"/>
    <w:rsid w:val="62553AB2"/>
    <w:rsid w:val="6291178B"/>
    <w:rsid w:val="62956105"/>
    <w:rsid w:val="62997C74"/>
    <w:rsid w:val="62BB05B6"/>
    <w:rsid w:val="62E55633"/>
    <w:rsid w:val="631F28F3"/>
    <w:rsid w:val="634041A9"/>
    <w:rsid w:val="63652AF7"/>
    <w:rsid w:val="63805167"/>
    <w:rsid w:val="63832876"/>
    <w:rsid w:val="638442E1"/>
    <w:rsid w:val="63946ADD"/>
    <w:rsid w:val="63972DD1"/>
    <w:rsid w:val="640929F0"/>
    <w:rsid w:val="640C751E"/>
    <w:rsid w:val="64B41760"/>
    <w:rsid w:val="64B905C0"/>
    <w:rsid w:val="64CF7BEB"/>
    <w:rsid w:val="64E65CA4"/>
    <w:rsid w:val="65187528"/>
    <w:rsid w:val="65200BA4"/>
    <w:rsid w:val="656C147B"/>
    <w:rsid w:val="65832223"/>
    <w:rsid w:val="664A7A0D"/>
    <w:rsid w:val="665723A3"/>
    <w:rsid w:val="66901382"/>
    <w:rsid w:val="66E63727"/>
    <w:rsid w:val="66FB3677"/>
    <w:rsid w:val="670F0ED0"/>
    <w:rsid w:val="671A190B"/>
    <w:rsid w:val="6731767E"/>
    <w:rsid w:val="67335956"/>
    <w:rsid w:val="675B0728"/>
    <w:rsid w:val="67DA14DE"/>
    <w:rsid w:val="68016B77"/>
    <w:rsid w:val="68246BFD"/>
    <w:rsid w:val="68291AF5"/>
    <w:rsid w:val="68294213"/>
    <w:rsid w:val="68307014"/>
    <w:rsid w:val="685A43CD"/>
    <w:rsid w:val="687047EC"/>
    <w:rsid w:val="68774F7F"/>
    <w:rsid w:val="68E1689C"/>
    <w:rsid w:val="68FD36D6"/>
    <w:rsid w:val="690C2F01"/>
    <w:rsid w:val="691438F8"/>
    <w:rsid w:val="6924032C"/>
    <w:rsid w:val="692A3B68"/>
    <w:rsid w:val="693A4663"/>
    <w:rsid w:val="698536CB"/>
    <w:rsid w:val="699B0FA7"/>
    <w:rsid w:val="699F0403"/>
    <w:rsid w:val="6A257C7E"/>
    <w:rsid w:val="6A2C3B47"/>
    <w:rsid w:val="6A38073E"/>
    <w:rsid w:val="6A771266"/>
    <w:rsid w:val="6A927E4E"/>
    <w:rsid w:val="6AED0C62"/>
    <w:rsid w:val="6AEF34F2"/>
    <w:rsid w:val="6AEF704E"/>
    <w:rsid w:val="6AF66468"/>
    <w:rsid w:val="6AF86E22"/>
    <w:rsid w:val="6AF97ECD"/>
    <w:rsid w:val="6B170353"/>
    <w:rsid w:val="6B276638"/>
    <w:rsid w:val="6B5F2CBB"/>
    <w:rsid w:val="6B850358"/>
    <w:rsid w:val="6B8A321B"/>
    <w:rsid w:val="6B99520C"/>
    <w:rsid w:val="6BA23990"/>
    <w:rsid w:val="6BA918F3"/>
    <w:rsid w:val="6BA92A8C"/>
    <w:rsid w:val="6BBF6B35"/>
    <w:rsid w:val="6BD40CFD"/>
    <w:rsid w:val="6BDB70D9"/>
    <w:rsid w:val="6C022DB1"/>
    <w:rsid w:val="6C0F240A"/>
    <w:rsid w:val="6C2271E5"/>
    <w:rsid w:val="6C6139A2"/>
    <w:rsid w:val="6C643A6C"/>
    <w:rsid w:val="6C6475C8"/>
    <w:rsid w:val="6C6B059F"/>
    <w:rsid w:val="6C7259E8"/>
    <w:rsid w:val="6C8C5F63"/>
    <w:rsid w:val="6CAB169B"/>
    <w:rsid w:val="6CFA34DB"/>
    <w:rsid w:val="6CFD6829"/>
    <w:rsid w:val="6D330230"/>
    <w:rsid w:val="6D332F6E"/>
    <w:rsid w:val="6D396B87"/>
    <w:rsid w:val="6DB265D8"/>
    <w:rsid w:val="6DB301A4"/>
    <w:rsid w:val="6DD84920"/>
    <w:rsid w:val="6DDB5D1F"/>
    <w:rsid w:val="6DE210EC"/>
    <w:rsid w:val="6DE82115"/>
    <w:rsid w:val="6DF14E2F"/>
    <w:rsid w:val="6DFB5D0A"/>
    <w:rsid w:val="6E182D60"/>
    <w:rsid w:val="6E1F4FB0"/>
    <w:rsid w:val="6E3B25AB"/>
    <w:rsid w:val="6E465867"/>
    <w:rsid w:val="6E5246F3"/>
    <w:rsid w:val="6EF54E4F"/>
    <w:rsid w:val="6F1C062E"/>
    <w:rsid w:val="6F3326BD"/>
    <w:rsid w:val="6F3411C8"/>
    <w:rsid w:val="6F5B19D4"/>
    <w:rsid w:val="6FB1521A"/>
    <w:rsid w:val="6FBD5643"/>
    <w:rsid w:val="6FC50CC6"/>
    <w:rsid w:val="6FDF215C"/>
    <w:rsid w:val="6FF979C2"/>
    <w:rsid w:val="703608FF"/>
    <w:rsid w:val="703B0F88"/>
    <w:rsid w:val="707123F1"/>
    <w:rsid w:val="708F6BDE"/>
    <w:rsid w:val="709E7E1C"/>
    <w:rsid w:val="70A709CF"/>
    <w:rsid w:val="70AA1BAA"/>
    <w:rsid w:val="70C21E33"/>
    <w:rsid w:val="713954C7"/>
    <w:rsid w:val="71420EA7"/>
    <w:rsid w:val="7150639A"/>
    <w:rsid w:val="715504AF"/>
    <w:rsid w:val="717C3606"/>
    <w:rsid w:val="719721EE"/>
    <w:rsid w:val="71B863AA"/>
    <w:rsid w:val="71B9524D"/>
    <w:rsid w:val="71D03848"/>
    <w:rsid w:val="71FE226D"/>
    <w:rsid w:val="72044045"/>
    <w:rsid w:val="720930EC"/>
    <w:rsid w:val="72440D8F"/>
    <w:rsid w:val="724701AA"/>
    <w:rsid w:val="72613BB4"/>
    <w:rsid w:val="72686DCB"/>
    <w:rsid w:val="72734125"/>
    <w:rsid w:val="727918F3"/>
    <w:rsid w:val="72890BE1"/>
    <w:rsid w:val="729130E1"/>
    <w:rsid w:val="7297342D"/>
    <w:rsid w:val="72A66B8C"/>
    <w:rsid w:val="730750C4"/>
    <w:rsid w:val="73165394"/>
    <w:rsid w:val="733D0171"/>
    <w:rsid w:val="733E411A"/>
    <w:rsid w:val="734D525A"/>
    <w:rsid w:val="7368312F"/>
    <w:rsid w:val="73913267"/>
    <w:rsid w:val="73B459E2"/>
    <w:rsid w:val="73B74455"/>
    <w:rsid w:val="73BF1DDC"/>
    <w:rsid w:val="73C91390"/>
    <w:rsid w:val="73D46E02"/>
    <w:rsid w:val="73ED07EB"/>
    <w:rsid w:val="73F456D6"/>
    <w:rsid w:val="74153FE8"/>
    <w:rsid w:val="741C39F8"/>
    <w:rsid w:val="74544D62"/>
    <w:rsid w:val="748D4891"/>
    <w:rsid w:val="74B143F2"/>
    <w:rsid w:val="74B34C91"/>
    <w:rsid w:val="74B6734E"/>
    <w:rsid w:val="74C6482B"/>
    <w:rsid w:val="752320C7"/>
    <w:rsid w:val="753332FA"/>
    <w:rsid w:val="756E4256"/>
    <w:rsid w:val="75CB690A"/>
    <w:rsid w:val="75D723B2"/>
    <w:rsid w:val="76157B85"/>
    <w:rsid w:val="762304F4"/>
    <w:rsid w:val="76393941"/>
    <w:rsid w:val="76584AFD"/>
    <w:rsid w:val="768E0063"/>
    <w:rsid w:val="76A809F9"/>
    <w:rsid w:val="76B37ACA"/>
    <w:rsid w:val="770739C7"/>
    <w:rsid w:val="77A15B74"/>
    <w:rsid w:val="77B30EC8"/>
    <w:rsid w:val="77D44857"/>
    <w:rsid w:val="78375191"/>
    <w:rsid w:val="783A5034"/>
    <w:rsid w:val="78752699"/>
    <w:rsid w:val="788A190E"/>
    <w:rsid w:val="78B67C13"/>
    <w:rsid w:val="78C7785D"/>
    <w:rsid w:val="78CD6A8B"/>
    <w:rsid w:val="78D027F0"/>
    <w:rsid w:val="78F46178"/>
    <w:rsid w:val="79091C23"/>
    <w:rsid w:val="79107D4E"/>
    <w:rsid w:val="79144124"/>
    <w:rsid w:val="79353900"/>
    <w:rsid w:val="793F6CA3"/>
    <w:rsid w:val="794A04D7"/>
    <w:rsid w:val="79746535"/>
    <w:rsid w:val="797647ED"/>
    <w:rsid w:val="79814165"/>
    <w:rsid w:val="7984574E"/>
    <w:rsid w:val="799C6F8D"/>
    <w:rsid w:val="79C34759"/>
    <w:rsid w:val="79DD5887"/>
    <w:rsid w:val="7A13676F"/>
    <w:rsid w:val="7A387BE8"/>
    <w:rsid w:val="7A456C8B"/>
    <w:rsid w:val="7A4D74CC"/>
    <w:rsid w:val="7A523156"/>
    <w:rsid w:val="7A60559B"/>
    <w:rsid w:val="7A682979"/>
    <w:rsid w:val="7AB94F83"/>
    <w:rsid w:val="7AC843DE"/>
    <w:rsid w:val="7ADD5115"/>
    <w:rsid w:val="7AE9123F"/>
    <w:rsid w:val="7AED3D24"/>
    <w:rsid w:val="7AF34939"/>
    <w:rsid w:val="7AFC3A32"/>
    <w:rsid w:val="7B237139"/>
    <w:rsid w:val="7B323F28"/>
    <w:rsid w:val="7B446F42"/>
    <w:rsid w:val="7B4D150D"/>
    <w:rsid w:val="7B504D7D"/>
    <w:rsid w:val="7B533629"/>
    <w:rsid w:val="7BB05565"/>
    <w:rsid w:val="7BBB5446"/>
    <w:rsid w:val="7BEA3458"/>
    <w:rsid w:val="7C0163B0"/>
    <w:rsid w:val="7C025169"/>
    <w:rsid w:val="7C127041"/>
    <w:rsid w:val="7C39281F"/>
    <w:rsid w:val="7C3D3992"/>
    <w:rsid w:val="7C682867"/>
    <w:rsid w:val="7C6B04FF"/>
    <w:rsid w:val="7C6C7F23"/>
    <w:rsid w:val="7C72698D"/>
    <w:rsid w:val="7CA51C7D"/>
    <w:rsid w:val="7CD05611"/>
    <w:rsid w:val="7CEB43CC"/>
    <w:rsid w:val="7D1F7C67"/>
    <w:rsid w:val="7D524A37"/>
    <w:rsid w:val="7D676F18"/>
    <w:rsid w:val="7D7D2BE0"/>
    <w:rsid w:val="7D8201F6"/>
    <w:rsid w:val="7DA0242A"/>
    <w:rsid w:val="7DA418C3"/>
    <w:rsid w:val="7DDA1DE0"/>
    <w:rsid w:val="7DEA78A4"/>
    <w:rsid w:val="7E1846B6"/>
    <w:rsid w:val="7E325778"/>
    <w:rsid w:val="7E454CA6"/>
    <w:rsid w:val="7E8B0CEF"/>
    <w:rsid w:val="7EA93097"/>
    <w:rsid w:val="7F143F12"/>
    <w:rsid w:val="7F1E73A2"/>
    <w:rsid w:val="7F29005F"/>
    <w:rsid w:val="7F380545"/>
    <w:rsid w:val="7F6A4A9D"/>
    <w:rsid w:val="7F7973D7"/>
    <w:rsid w:val="7F9B2913"/>
    <w:rsid w:val="7FBD3767"/>
    <w:rsid w:val="7FEC0D6B"/>
    <w:rsid w:val="7FF445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unhideWhenUsed/>
    <w:qFormat/>
    <w:uiPriority w:val="9"/>
    <w:pPr>
      <w:keepNext/>
      <w:keepLines/>
      <w:numPr>
        <w:ilvl w:val="0"/>
        <w:numId w:val="1"/>
      </w:numPr>
      <w:spacing w:line="376" w:lineRule="auto"/>
      <w:outlineLvl w:val="3"/>
    </w:pPr>
    <w:rPr>
      <w:b/>
      <w:bCs/>
      <w:sz w:val="28"/>
      <w:szCs w:val="28"/>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szCs w:val="20"/>
    </w:rPr>
  </w:style>
  <w:style w:type="paragraph" w:styleId="7">
    <w:name w:val="annotation text"/>
    <w:basedOn w:val="1"/>
    <w:link w:val="71"/>
    <w:qFormat/>
    <w:uiPriority w:val="0"/>
    <w:pPr>
      <w:jc w:val="left"/>
    </w:pPr>
  </w:style>
  <w:style w:type="paragraph" w:styleId="8">
    <w:name w:val="Body Text"/>
    <w:basedOn w:val="1"/>
    <w:next w:val="1"/>
    <w:qFormat/>
    <w:uiPriority w:val="99"/>
    <w:pPr>
      <w:spacing w:after="120"/>
    </w:pPr>
  </w:style>
  <w:style w:type="paragraph" w:styleId="9">
    <w:name w:val="Body Text Indent"/>
    <w:basedOn w:val="1"/>
    <w:next w:val="10"/>
    <w:qFormat/>
    <w:uiPriority w:val="0"/>
    <w:pPr>
      <w:snapToGrid w:val="0"/>
      <w:spacing w:line="360" w:lineRule="auto"/>
      <w:ind w:firstLine="538" w:firstLineChars="192"/>
    </w:pPr>
    <w:rPr>
      <w:rFonts w:ascii="仿宋_GB2312" w:eastAsia="仿宋_GB2312"/>
      <w:bCs/>
      <w:sz w:val="28"/>
      <w:szCs w:val="28"/>
    </w:rPr>
  </w:style>
  <w:style w:type="paragraph" w:styleId="10">
    <w:name w:val="Body Text First Indent 2"/>
    <w:basedOn w:val="9"/>
    <w:next w:val="1"/>
    <w:unhideWhenUsed/>
    <w:qFormat/>
    <w:uiPriority w:val="0"/>
    <w:pPr>
      <w:spacing w:after="120" w:line="240" w:lineRule="auto"/>
      <w:ind w:left="420" w:leftChars="200" w:firstLine="420" w:firstLineChars="200"/>
    </w:pPr>
    <w:rPr>
      <w:sz w:val="21"/>
      <w:szCs w:val="21"/>
    </w:rPr>
  </w:style>
  <w:style w:type="paragraph" w:styleId="11">
    <w:name w:val="Plain Text"/>
    <w:basedOn w:val="1"/>
    <w:qFormat/>
    <w:uiPriority w:val="0"/>
    <w:rPr>
      <w:rFonts w:ascii="宋体" w:hAnsi="Courier New"/>
      <w:szCs w:val="20"/>
    </w:rPr>
  </w:style>
  <w:style w:type="paragraph" w:styleId="12">
    <w:name w:val="Balloon Text"/>
    <w:basedOn w:val="1"/>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b/>
      <w:bCs/>
      <w:color w:val="000000"/>
      <w:sz w:val="28"/>
      <w:szCs w:val="28"/>
    </w:rPr>
  </w:style>
  <w:style w:type="paragraph" w:styleId="16">
    <w:name w:val="footnote text"/>
    <w:basedOn w:val="1"/>
    <w:qFormat/>
    <w:uiPriority w:val="0"/>
    <w:pPr>
      <w:snapToGrid w:val="0"/>
    </w:pPr>
    <w:rPr>
      <w:sz w:val="18"/>
    </w:rPr>
  </w:style>
  <w:style w:type="paragraph" w:styleId="17">
    <w:name w:val="toc 2"/>
    <w:basedOn w:val="1"/>
    <w:next w:val="1"/>
    <w:semiHidden/>
    <w:unhideWhenUsed/>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9">
    <w:name w:val="Title"/>
    <w:basedOn w:val="1"/>
    <w:next w:val="1"/>
    <w:qFormat/>
    <w:uiPriority w:val="0"/>
    <w:pPr>
      <w:spacing w:before="240" w:after="60"/>
      <w:jc w:val="center"/>
      <w:outlineLvl w:val="0"/>
    </w:pPr>
    <w:rPr>
      <w:rFonts w:ascii="Calibri Light" w:hAnsi="Calibri Light"/>
      <w:b/>
      <w:bCs/>
      <w:sz w:val="32"/>
      <w:szCs w:val="32"/>
    </w:rPr>
  </w:style>
  <w:style w:type="paragraph" w:styleId="20">
    <w:name w:val="annotation subject"/>
    <w:basedOn w:val="7"/>
    <w:next w:val="7"/>
    <w:link w:val="72"/>
    <w:semiHidden/>
    <w:unhideWhenUsed/>
    <w:qFormat/>
    <w:uiPriority w:val="0"/>
    <w:rPr>
      <w:b/>
      <w:bCs/>
    </w:rPr>
  </w:style>
  <w:style w:type="paragraph" w:styleId="21">
    <w:name w:val="Body Text First Indent"/>
    <w:basedOn w:val="8"/>
    <w:unhideWhenUsed/>
    <w:qFormat/>
    <w:uiPriority w:val="99"/>
    <w:pPr>
      <w:ind w:firstLine="420" w:firstLineChars="100"/>
    </w:pPr>
    <w:rPr>
      <w:rFonts w:eastAsia="仿宋_GB2312"/>
      <w:sz w:val="32"/>
      <w:szCs w:val="22"/>
    </w:rPr>
  </w:style>
  <w:style w:type="table" w:styleId="23">
    <w:name w:val="Table Grid"/>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semiHidden/>
    <w:unhideWhenUsed/>
    <w:qFormat/>
    <w:uiPriority w:val="0"/>
    <w:rPr>
      <w:color w:val="428BCA"/>
      <w:u w:val="none"/>
    </w:rPr>
  </w:style>
  <w:style w:type="character" w:styleId="28">
    <w:name w:val="HTML Definition"/>
    <w:basedOn w:val="24"/>
    <w:semiHidden/>
    <w:unhideWhenUsed/>
    <w:qFormat/>
    <w:uiPriority w:val="0"/>
    <w:rPr>
      <w:i/>
      <w:iCs/>
    </w:rPr>
  </w:style>
  <w:style w:type="character" w:styleId="29">
    <w:name w:val="Hyperlink"/>
    <w:basedOn w:val="24"/>
    <w:qFormat/>
    <w:uiPriority w:val="0"/>
    <w:rPr>
      <w:color w:val="013F7C"/>
      <w:u w:val="none"/>
    </w:rPr>
  </w:style>
  <w:style w:type="character" w:styleId="30">
    <w:name w:val="HTML Code"/>
    <w:basedOn w:val="24"/>
    <w:semiHidden/>
    <w:unhideWhenUsed/>
    <w:qFormat/>
    <w:uiPriority w:val="0"/>
    <w:rPr>
      <w:rFonts w:hint="default" w:ascii="Consolas" w:hAnsi="Consolas" w:eastAsia="Consolas" w:cs="Consolas"/>
      <w:color w:val="C7254E"/>
      <w:sz w:val="21"/>
      <w:szCs w:val="21"/>
      <w:shd w:val="clear" w:color="auto" w:fill="F9F2F4"/>
    </w:rPr>
  </w:style>
  <w:style w:type="character" w:styleId="31">
    <w:name w:val="annotation reference"/>
    <w:basedOn w:val="24"/>
    <w:semiHidden/>
    <w:unhideWhenUsed/>
    <w:qFormat/>
    <w:uiPriority w:val="0"/>
    <w:rPr>
      <w:sz w:val="21"/>
      <w:szCs w:val="21"/>
    </w:rPr>
  </w:style>
  <w:style w:type="character" w:styleId="32">
    <w:name w:val="HTML Cite"/>
    <w:basedOn w:val="24"/>
    <w:semiHidden/>
    <w:unhideWhenUsed/>
    <w:qFormat/>
    <w:uiPriority w:val="0"/>
  </w:style>
  <w:style w:type="character" w:styleId="33">
    <w:name w:val="HTML Keyboard"/>
    <w:basedOn w:val="24"/>
    <w:semiHidden/>
    <w:unhideWhenUsed/>
    <w:qFormat/>
    <w:uiPriority w:val="0"/>
    <w:rPr>
      <w:rFonts w:hint="default" w:ascii="Consolas" w:hAnsi="Consolas" w:eastAsia="Consolas" w:cs="Consolas"/>
      <w:color w:val="FFFFFF"/>
      <w:sz w:val="21"/>
      <w:szCs w:val="21"/>
      <w:shd w:val="clear" w:color="auto" w:fill="333333"/>
    </w:rPr>
  </w:style>
  <w:style w:type="character" w:styleId="34">
    <w:name w:val="HTML Sample"/>
    <w:basedOn w:val="24"/>
    <w:semiHidden/>
    <w:unhideWhenUsed/>
    <w:qFormat/>
    <w:uiPriority w:val="0"/>
    <w:rPr>
      <w:rFonts w:ascii="Consolas" w:hAnsi="Consolas" w:eastAsia="Consolas" w:cs="Consolas"/>
      <w:sz w:val="21"/>
      <w:szCs w:val="21"/>
    </w:rPr>
  </w:style>
  <w:style w:type="paragraph" w:customStyle="1" w:styleId="35">
    <w:name w:val="Default"/>
    <w:qFormat/>
    <w:uiPriority w:val="0"/>
    <w:pPr>
      <w:widowControl w:val="0"/>
      <w:autoSpaceDE w:val="0"/>
      <w:autoSpaceDN w:val="0"/>
      <w:adjustRightInd w:val="0"/>
    </w:pPr>
    <w:rPr>
      <w:rFonts w:ascii="宋体" w:hAnsi="Calibri" w:eastAsia="宋体" w:cs="宋体"/>
      <w:color w:val="000000"/>
      <w:sz w:val="24"/>
      <w:szCs w:val="24"/>
      <w:lang w:val="en-US" w:eastAsia="en-US" w:bidi="ar-SA"/>
    </w:rPr>
  </w:style>
  <w:style w:type="paragraph" w:customStyle="1" w:styleId="36">
    <w:name w:val="正文缩进1"/>
    <w:basedOn w:val="1"/>
    <w:qFormat/>
    <w:uiPriority w:val="0"/>
    <w:pPr>
      <w:ind w:firstLine="420" w:firstLineChars="200"/>
    </w:pPr>
  </w:style>
  <w:style w:type="paragraph" w:customStyle="1" w:styleId="37">
    <w:name w:val="引用1"/>
    <w:basedOn w:val="1"/>
    <w:next w:val="1"/>
    <w:qFormat/>
    <w:uiPriority w:val="99"/>
    <w:rPr>
      <w:rFonts w:ascii="Calibri" w:hAnsi="Calibri" w:cs="Calibri"/>
      <w:i/>
      <w:iCs/>
      <w:color w:val="000000"/>
      <w:sz w:val="22"/>
      <w:szCs w:val="22"/>
    </w:rPr>
  </w:style>
  <w:style w:type="paragraph" w:customStyle="1" w:styleId="3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9">
    <w:name w:val="样式3"/>
    <w:basedOn w:val="11"/>
    <w:qFormat/>
    <w:uiPriority w:val="0"/>
    <w:pPr>
      <w:spacing w:line="0" w:lineRule="atLeast"/>
      <w:outlineLvl w:val="0"/>
    </w:pPr>
    <w:rPr>
      <w:sz w:val="28"/>
      <w:szCs w:val="24"/>
    </w:rPr>
  </w:style>
  <w:style w:type="paragraph" w:customStyle="1" w:styleId="40">
    <w:name w:val="正文1"/>
    <w:qFormat/>
    <w:uiPriority w:val="0"/>
    <w:pPr>
      <w:jc w:val="both"/>
    </w:pPr>
    <w:rPr>
      <w:rFonts w:ascii="Calibri" w:hAnsi="Calibri" w:eastAsia="宋体" w:cs="宋体"/>
      <w:kern w:val="2"/>
      <w:sz w:val="21"/>
      <w:szCs w:val="21"/>
      <w:lang w:val="en-US" w:eastAsia="zh-CN" w:bidi="ar-SA"/>
    </w:rPr>
  </w:style>
  <w:style w:type="paragraph" w:customStyle="1" w:styleId="41">
    <w:name w:val="Normal_18"/>
    <w:qFormat/>
    <w:uiPriority w:val="0"/>
    <w:rPr>
      <w:rFonts w:ascii="Times New Roman" w:hAnsi="Times New Roman" w:eastAsia="宋体" w:cs="Times New Roman"/>
      <w:sz w:val="21"/>
      <w:lang w:val="en-US" w:eastAsia="zh-CN" w:bidi="ar-SA"/>
    </w:rPr>
  </w:style>
  <w:style w:type="character" w:customStyle="1" w:styleId="42">
    <w:name w:val="ndata"/>
    <w:basedOn w:val="24"/>
    <w:qFormat/>
    <w:uiPriority w:val="0"/>
    <w:rPr>
      <w:color w:val="AAAAAA"/>
    </w:rPr>
  </w:style>
  <w:style w:type="character" w:customStyle="1" w:styleId="43">
    <w:name w:val="NormalCharacter"/>
    <w:qFormat/>
    <w:uiPriority w:val="0"/>
    <w:rPr>
      <w:sz w:val="21"/>
      <w:lang w:val="en-US" w:eastAsia="zh-CN" w:bidi="ar-SA"/>
    </w:rPr>
  </w:style>
  <w:style w:type="paragraph" w:customStyle="1" w:styleId="44">
    <w:name w:val="正文2"/>
    <w:basedOn w:val="1"/>
    <w:qFormat/>
    <w:uiPriority w:val="0"/>
    <w:pPr>
      <w:spacing w:before="156" w:line="360" w:lineRule="auto"/>
      <w:ind w:firstLine="510" w:firstLineChars="200"/>
    </w:pPr>
    <w:rPr>
      <w:sz w:val="24"/>
    </w:rPr>
  </w:style>
  <w:style w:type="paragraph" w:customStyle="1" w:styleId="45">
    <w:name w:val="NormalIndent"/>
    <w:basedOn w:val="1"/>
    <w:qFormat/>
    <w:uiPriority w:val="0"/>
    <w:pPr>
      <w:widowControl/>
      <w:ind w:firstLine="200" w:firstLineChars="200"/>
      <w:textAlignment w:val="baseline"/>
    </w:pPr>
    <w:rPr>
      <w:rFonts w:ascii="Calibri" w:hAnsi="Calibri"/>
    </w:rPr>
  </w:style>
  <w:style w:type="paragraph" w:styleId="46">
    <w:name w:val="List Paragraph"/>
    <w:basedOn w:val="1"/>
    <w:qFormat/>
    <w:uiPriority w:val="34"/>
    <w:pPr>
      <w:ind w:firstLine="420" w:firstLineChars="200"/>
    </w:pPr>
  </w:style>
  <w:style w:type="paragraph" w:customStyle="1" w:styleId="47">
    <w:name w:val="Table Paragraph"/>
    <w:basedOn w:val="1"/>
    <w:qFormat/>
    <w:uiPriority w:val="1"/>
    <w:pPr>
      <w:autoSpaceDE w:val="0"/>
      <w:autoSpaceDN w:val="0"/>
      <w:jc w:val="left"/>
    </w:pPr>
    <w:rPr>
      <w:rFonts w:ascii="宋体" w:hAnsi="宋体" w:cs="宋体"/>
      <w:kern w:val="0"/>
      <w:sz w:val="22"/>
      <w:szCs w:val="22"/>
      <w:lang w:eastAsia="en-US"/>
    </w:rPr>
  </w:style>
  <w:style w:type="character" w:customStyle="1" w:styleId="48">
    <w:name w:val="active5"/>
    <w:basedOn w:val="24"/>
    <w:qFormat/>
    <w:uiPriority w:val="0"/>
    <w:rPr>
      <w:color w:val="FFFFFF"/>
      <w:shd w:val="clear" w:color="auto" w:fill="428BCA"/>
    </w:rPr>
  </w:style>
  <w:style w:type="character" w:customStyle="1" w:styleId="49">
    <w:name w:val="ui-jqgrid-resize"/>
    <w:basedOn w:val="24"/>
    <w:qFormat/>
    <w:uiPriority w:val="0"/>
  </w:style>
  <w:style w:type="character" w:customStyle="1" w:styleId="50">
    <w:name w:val="ui-icon37"/>
    <w:basedOn w:val="24"/>
    <w:qFormat/>
    <w:uiPriority w:val="0"/>
  </w:style>
  <w:style w:type="character" w:customStyle="1" w:styleId="51">
    <w:name w:val="ui-icon38"/>
    <w:basedOn w:val="24"/>
    <w:qFormat/>
    <w:uiPriority w:val="0"/>
  </w:style>
  <w:style w:type="character" w:customStyle="1" w:styleId="52">
    <w:name w:val="ui-icon39"/>
    <w:basedOn w:val="24"/>
    <w:qFormat/>
    <w:uiPriority w:val="0"/>
  </w:style>
  <w:style w:type="character" w:customStyle="1" w:styleId="53">
    <w:name w:val="input-icon2"/>
    <w:basedOn w:val="24"/>
    <w:qFormat/>
    <w:uiPriority w:val="0"/>
  </w:style>
  <w:style w:type="character" w:customStyle="1" w:styleId="54">
    <w:name w:val="before"/>
    <w:basedOn w:val="24"/>
    <w:qFormat/>
    <w:uiPriority w:val="0"/>
    <w:rPr>
      <w:rFonts w:hint="default" w:ascii="FontAwesome" w:hAnsi="FontAwesome" w:eastAsia="FontAwesome" w:cs="FontAwesome"/>
      <w:color w:val="888888"/>
    </w:rPr>
  </w:style>
  <w:style w:type="character" w:customStyle="1" w:styleId="55">
    <w:name w:val="before1"/>
    <w:basedOn w:val="24"/>
    <w:qFormat/>
    <w:uiPriority w:val="0"/>
    <w:rPr>
      <w:rFonts w:hint="default" w:ascii="FontAwesome" w:hAnsi="FontAwesome" w:eastAsia="FontAwesome" w:cs="FontAwesome"/>
      <w:color w:val="888888"/>
    </w:rPr>
  </w:style>
  <w:style w:type="character" w:customStyle="1" w:styleId="56">
    <w:name w:val="hover6"/>
    <w:basedOn w:val="24"/>
    <w:qFormat/>
    <w:uiPriority w:val="0"/>
    <w:rPr>
      <w:shd w:val="clear" w:color="auto" w:fill="EEEEEE"/>
    </w:rPr>
  </w:style>
  <w:style w:type="character" w:customStyle="1" w:styleId="57">
    <w:name w:val="old"/>
    <w:basedOn w:val="24"/>
    <w:qFormat/>
    <w:uiPriority w:val="0"/>
    <w:rPr>
      <w:color w:val="999999"/>
    </w:rPr>
  </w:style>
  <w:style w:type="character" w:customStyle="1" w:styleId="58">
    <w:name w:val="ui-icon40"/>
    <w:basedOn w:val="24"/>
    <w:qFormat/>
    <w:uiPriority w:val="0"/>
  </w:style>
  <w:style w:type="character" w:customStyle="1" w:styleId="59">
    <w:name w:val="font31"/>
    <w:basedOn w:val="24"/>
    <w:qFormat/>
    <w:uiPriority w:val="0"/>
    <w:rPr>
      <w:rFonts w:hint="default" w:ascii="Arial" w:hAnsi="Arial" w:cs="Arial"/>
      <w:b/>
      <w:color w:val="000000"/>
      <w:sz w:val="24"/>
      <w:szCs w:val="24"/>
      <w:u w:val="none"/>
    </w:rPr>
  </w:style>
  <w:style w:type="character" w:customStyle="1" w:styleId="60">
    <w:name w:val="font81"/>
    <w:basedOn w:val="24"/>
    <w:qFormat/>
    <w:uiPriority w:val="0"/>
    <w:rPr>
      <w:rFonts w:ascii="新宋体" w:hAnsi="新宋体" w:eastAsia="新宋体" w:cs="新宋体"/>
      <w:color w:val="000000"/>
      <w:sz w:val="21"/>
      <w:szCs w:val="21"/>
      <w:u w:val="none"/>
    </w:rPr>
  </w:style>
  <w:style w:type="character" w:customStyle="1" w:styleId="61">
    <w:name w:val="font41"/>
    <w:basedOn w:val="24"/>
    <w:qFormat/>
    <w:uiPriority w:val="0"/>
    <w:rPr>
      <w:rFonts w:hint="default" w:ascii="Times New Roman" w:hAnsi="Times New Roman" w:cs="Times New Roman"/>
      <w:color w:val="000000"/>
      <w:sz w:val="18"/>
      <w:szCs w:val="18"/>
      <w:u w:val="none"/>
    </w:rPr>
  </w:style>
  <w:style w:type="character" w:customStyle="1" w:styleId="62">
    <w:name w:val="font51"/>
    <w:basedOn w:val="24"/>
    <w:qFormat/>
    <w:uiPriority w:val="0"/>
    <w:rPr>
      <w:rFonts w:hint="eastAsia" w:ascii="宋体" w:hAnsi="宋体" w:eastAsia="宋体" w:cs="宋体"/>
      <w:b/>
      <w:color w:val="000000"/>
      <w:sz w:val="32"/>
      <w:szCs w:val="32"/>
      <w:u w:val="none"/>
    </w:rPr>
  </w:style>
  <w:style w:type="character" w:customStyle="1" w:styleId="63">
    <w:name w:val="font01"/>
    <w:basedOn w:val="24"/>
    <w:qFormat/>
    <w:uiPriority w:val="0"/>
    <w:rPr>
      <w:rFonts w:hint="eastAsia" w:ascii="宋体" w:hAnsi="宋体" w:eastAsia="宋体" w:cs="宋体"/>
      <w:color w:val="000000"/>
      <w:sz w:val="24"/>
      <w:szCs w:val="24"/>
      <w:u w:val="none"/>
    </w:rPr>
  </w:style>
  <w:style w:type="character" w:customStyle="1" w:styleId="64">
    <w:name w:val="font71"/>
    <w:basedOn w:val="24"/>
    <w:qFormat/>
    <w:uiPriority w:val="0"/>
    <w:rPr>
      <w:rFonts w:hint="default" w:ascii="仿宋_GB2312" w:eastAsia="仿宋_GB2312" w:cs="仿宋_GB2312"/>
      <w:b/>
      <w:bCs/>
      <w:color w:val="000000"/>
      <w:sz w:val="32"/>
      <w:szCs w:val="32"/>
      <w:u w:val="none"/>
    </w:rPr>
  </w:style>
  <w:style w:type="character" w:customStyle="1" w:styleId="65">
    <w:name w:val="active1"/>
    <w:basedOn w:val="24"/>
    <w:qFormat/>
    <w:uiPriority w:val="0"/>
    <w:rPr>
      <w:color w:val="FFFFFF"/>
      <w:shd w:val="clear" w:color="auto" w:fill="428BCA"/>
    </w:rPr>
  </w:style>
  <w:style w:type="character" w:customStyle="1" w:styleId="66">
    <w:name w:val="hover5"/>
    <w:basedOn w:val="24"/>
    <w:qFormat/>
    <w:uiPriority w:val="0"/>
    <w:rPr>
      <w:shd w:val="clear" w:color="auto" w:fill="EEEEEE"/>
    </w:rPr>
  </w:style>
  <w:style w:type="character" w:customStyle="1" w:styleId="67">
    <w:name w:val="ui-jqgrid-resize2"/>
    <w:basedOn w:val="24"/>
    <w:qFormat/>
    <w:uiPriority w:val="0"/>
  </w:style>
  <w:style w:type="paragraph" w:customStyle="1" w:styleId="68">
    <w:name w:val="列出段落1"/>
    <w:basedOn w:val="1"/>
    <w:qFormat/>
    <w:uiPriority w:val="34"/>
    <w:pPr>
      <w:ind w:firstLine="420" w:firstLineChars="200"/>
    </w:p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1">
    <w:name w:val="批注文字 字符"/>
    <w:basedOn w:val="24"/>
    <w:link w:val="7"/>
    <w:qFormat/>
    <w:uiPriority w:val="0"/>
    <w:rPr>
      <w:kern w:val="2"/>
      <w:sz w:val="21"/>
      <w:szCs w:val="24"/>
    </w:rPr>
  </w:style>
  <w:style w:type="character" w:customStyle="1" w:styleId="72">
    <w:name w:val="批注主题 字符"/>
    <w:basedOn w:val="71"/>
    <w:link w:val="20"/>
    <w:semiHidden/>
    <w:qFormat/>
    <w:uiPriority w:val="0"/>
    <w:rPr>
      <w:b/>
      <w:bCs/>
      <w:kern w:val="2"/>
      <w:sz w:val="21"/>
      <w:szCs w:val="24"/>
    </w:rPr>
  </w:style>
  <w:style w:type="paragraph" w:customStyle="1" w:styleId="7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美兰区</Company>
  <Pages>38</Pages>
  <Words>19243</Words>
  <Characters>20251</Characters>
  <Lines>160</Lines>
  <Paragraphs>45</Paragraphs>
  <TotalTime>328</TotalTime>
  <ScaleCrop>false</ScaleCrop>
  <LinksUpToDate>false</LinksUpToDate>
  <CharactersWithSpaces>21081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2024-05-22T07:50:00Z</dcterms:created>
  <dc:creator>随风</dc:creator>
  <cp:lastModifiedBy>琨比特人</cp:lastModifiedBy>
  <cp:lastPrinted>2023-10-07T01:41:00Z</cp:lastPrinted>
  <dcterms:modified xsi:type="dcterms:W3CDTF">2024-06-06T01:53:10Z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F7795743B67B458F8636ADA147D6383E_13</vt:lpwstr>
  </property>
</Properties>
</file>