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spacing w:line="360" w:lineRule="auto"/>
        <w:outlineLvl w:val="0"/>
        <w:rPr>
          <w:rFonts w:asciiTheme="minorEastAsia" w:hAnsiTheme="minorEastAsia" w:eastAsiaTheme="minorEastAsia" w:cstheme="minorEastAsia"/>
          <w:b/>
          <w:szCs w:val="21"/>
        </w:rPr>
      </w:pPr>
    </w:p>
    <w:p>
      <w:pPr>
        <w:pStyle w:val="9"/>
        <w:adjustRightInd w:val="0"/>
        <w:snapToGrid w:val="0"/>
        <w:spacing w:line="360" w:lineRule="auto"/>
        <w:outlineLvl w:val="0"/>
        <w:rPr>
          <w:rFonts w:asciiTheme="minorEastAsia" w:hAnsiTheme="minorEastAsia" w:eastAsiaTheme="minorEastAsia" w:cstheme="minorEastAsia"/>
          <w:b/>
          <w:sz w:val="52"/>
          <w:szCs w:val="52"/>
        </w:rPr>
      </w:pPr>
    </w:p>
    <w:p>
      <w:pPr>
        <w:adjustRightInd w:val="0"/>
        <w:snapToGrid w:val="0"/>
        <w:spacing w:line="360" w:lineRule="auto"/>
        <w:jc w:val="center"/>
        <w:rPr>
          <w:rFonts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海口江东新区管理局</w:t>
      </w:r>
    </w:p>
    <w:p>
      <w:pPr>
        <w:adjustRightInd w:val="0"/>
        <w:snapToGrid w:val="0"/>
        <w:spacing w:line="500" w:lineRule="exact"/>
        <w:jc w:val="center"/>
        <w:rPr>
          <w:rFonts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采购比选文件</w:t>
      </w:r>
    </w:p>
    <w:p>
      <w:pPr>
        <w:pStyle w:val="3"/>
        <w:spacing w:line="500" w:lineRule="exact"/>
        <w:jc w:val="center"/>
        <w:rPr>
          <w:rFonts w:eastAsiaTheme="minorEastAsia"/>
        </w:rPr>
      </w:pPr>
    </w:p>
    <w:p>
      <w:pPr>
        <w:adjustRightInd w:val="0"/>
        <w:snapToGrid w:val="0"/>
        <w:spacing w:line="360" w:lineRule="auto"/>
        <w:jc w:val="center"/>
        <w:rPr>
          <w:rFonts w:asciiTheme="minorEastAsia" w:hAnsiTheme="minorEastAsia" w:eastAsiaTheme="minorEastAsia" w:cstheme="minorEastAsia"/>
          <w:b/>
          <w:szCs w:val="21"/>
        </w:rPr>
      </w:pPr>
    </w:p>
    <w:p>
      <w:pPr>
        <w:spacing w:line="360" w:lineRule="auto"/>
        <w:rPr>
          <w:szCs w:val="21"/>
        </w:rPr>
      </w:pPr>
    </w:p>
    <w:p>
      <w:pPr>
        <w:pStyle w:val="9"/>
        <w:adjustRightInd w:val="0"/>
        <w:snapToGrid w:val="0"/>
        <w:spacing w:line="360" w:lineRule="auto"/>
        <w:jc w:val="center"/>
        <w:outlineLvl w:val="0"/>
        <w:rPr>
          <w:rFonts w:asciiTheme="minorEastAsia" w:hAnsiTheme="minorEastAsia" w:eastAsiaTheme="minorEastAsia" w:cstheme="minorEastAsia"/>
          <w:b/>
          <w:szCs w:val="21"/>
        </w:rPr>
      </w:pPr>
    </w:p>
    <w:p>
      <w:pPr>
        <w:pStyle w:val="9"/>
        <w:adjustRightInd w:val="0"/>
        <w:snapToGrid w:val="0"/>
        <w:spacing w:line="360" w:lineRule="auto"/>
        <w:jc w:val="center"/>
        <w:outlineLvl w:val="0"/>
        <w:rPr>
          <w:rFonts w:asciiTheme="minorEastAsia" w:hAnsiTheme="minorEastAsia" w:eastAsiaTheme="minorEastAsia" w:cstheme="minorEastAsia"/>
          <w:b/>
          <w:szCs w:val="21"/>
        </w:rPr>
      </w:pPr>
    </w:p>
    <w:p>
      <w:pPr>
        <w:pStyle w:val="9"/>
        <w:spacing w:line="360" w:lineRule="auto"/>
        <w:ind w:firstLine="1476" w:firstLineChars="700"/>
        <w:jc w:val="left"/>
        <w:outlineLvl w:val="0"/>
        <w:rPr>
          <w:rFonts w:asciiTheme="minorEastAsia" w:hAnsiTheme="minorEastAsia" w:eastAsiaTheme="minorEastAsia" w:cstheme="minorEastAsia"/>
          <w:b/>
          <w:szCs w:val="21"/>
        </w:rPr>
      </w:pPr>
    </w:p>
    <w:p>
      <w:pPr>
        <w:pStyle w:val="9"/>
        <w:spacing w:line="360" w:lineRule="auto"/>
        <w:ind w:firstLine="1968" w:firstLineChars="700"/>
        <w:jc w:val="left"/>
        <w:outlineLvl w:val="0"/>
        <w:rPr>
          <w:rFonts w:asciiTheme="minorEastAsia" w:hAnsiTheme="minorEastAsia" w:eastAsiaTheme="minorEastAsia" w:cstheme="minorEastAsia"/>
          <w:b/>
          <w:sz w:val="28"/>
          <w:szCs w:val="28"/>
        </w:rPr>
      </w:pPr>
      <w:bookmarkStart w:id="0" w:name="_Toc245888257"/>
      <w:bookmarkEnd w:id="0"/>
      <w:bookmarkStart w:id="1" w:name="_Toc246826091"/>
      <w:bookmarkEnd w:id="1"/>
      <w:bookmarkStart w:id="2" w:name="_Toc245887524"/>
      <w:bookmarkEnd w:id="2"/>
      <w:bookmarkStart w:id="3" w:name="_Toc246825786"/>
      <w:bookmarkEnd w:id="3"/>
      <w:bookmarkStart w:id="4" w:name="_Toc246825787"/>
      <w:bookmarkStart w:id="5" w:name="_Toc245888258"/>
      <w:bookmarkStart w:id="6" w:name="_Toc246826092"/>
      <w:bookmarkStart w:id="7" w:name="_Toc245887525"/>
      <w:r>
        <w:rPr>
          <w:rFonts w:hint="eastAsia" w:asciiTheme="minorEastAsia" w:hAnsiTheme="minorEastAsia" w:eastAsiaTheme="minorEastAsia" w:cstheme="minorEastAsia"/>
          <w:b/>
          <w:sz w:val="28"/>
          <w:szCs w:val="28"/>
        </w:rPr>
        <w:t>项目编号：zfcg-fw-20240424-002</w:t>
      </w:r>
    </w:p>
    <w:bookmarkEnd w:id="4"/>
    <w:bookmarkEnd w:id="5"/>
    <w:bookmarkEnd w:id="6"/>
    <w:bookmarkEnd w:id="7"/>
    <w:p>
      <w:pPr>
        <w:pStyle w:val="9"/>
        <w:spacing w:line="360" w:lineRule="auto"/>
        <w:ind w:left="3360" w:leftChars="931" w:hanging="1405" w:hangingChars="500"/>
        <w:jc w:val="left"/>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项目名称：2024年-2025年海口江东新区营商环境提升咨询服务采购</w:t>
      </w:r>
    </w:p>
    <w:p>
      <w:pPr>
        <w:pStyle w:val="9"/>
        <w:spacing w:line="360" w:lineRule="auto"/>
        <w:ind w:firstLine="1968" w:firstLineChars="700"/>
        <w:jc w:val="left"/>
        <w:outlineLvl w:val="0"/>
        <w:rPr>
          <w:rFonts w:asciiTheme="minorEastAsia" w:hAnsiTheme="minorEastAsia" w:eastAsiaTheme="minorEastAsia" w:cstheme="minorEastAsia"/>
          <w:b/>
          <w:sz w:val="28"/>
          <w:szCs w:val="28"/>
        </w:rPr>
      </w:pPr>
    </w:p>
    <w:p>
      <w:pPr>
        <w:pStyle w:val="9"/>
        <w:spacing w:line="360" w:lineRule="auto"/>
        <w:ind w:firstLine="1476" w:firstLineChars="700"/>
        <w:jc w:val="left"/>
        <w:outlineLvl w:val="0"/>
        <w:rPr>
          <w:rFonts w:asciiTheme="minorEastAsia" w:hAnsiTheme="minorEastAsia" w:eastAsiaTheme="minorEastAsia" w:cstheme="minorEastAsia"/>
          <w:b/>
          <w:szCs w:val="21"/>
        </w:rPr>
      </w:pPr>
    </w:p>
    <w:p>
      <w:pPr>
        <w:pStyle w:val="9"/>
        <w:spacing w:line="360" w:lineRule="auto"/>
        <w:outlineLvl w:val="0"/>
        <w:rPr>
          <w:rFonts w:asciiTheme="minorEastAsia" w:hAnsiTheme="minorEastAsia" w:eastAsiaTheme="minorEastAsia" w:cstheme="minorEastAsia"/>
          <w:bCs/>
          <w:szCs w:val="21"/>
        </w:rPr>
      </w:pPr>
    </w:p>
    <w:p>
      <w:pPr>
        <w:pStyle w:val="9"/>
        <w:adjustRightInd w:val="0"/>
        <w:snapToGrid w:val="0"/>
        <w:spacing w:line="360" w:lineRule="auto"/>
        <w:jc w:val="center"/>
        <w:outlineLvl w:val="0"/>
        <w:rPr>
          <w:rFonts w:asciiTheme="minorEastAsia" w:hAnsiTheme="minorEastAsia" w:eastAsiaTheme="minorEastAsia" w:cstheme="minorEastAsia"/>
          <w:bCs/>
          <w:szCs w:val="21"/>
        </w:rPr>
      </w:pPr>
    </w:p>
    <w:p>
      <w:pPr>
        <w:pStyle w:val="7"/>
        <w:spacing w:line="360" w:lineRule="auto"/>
        <w:rPr>
          <w:rFonts w:asciiTheme="minorEastAsia" w:hAnsiTheme="minorEastAsia" w:eastAsiaTheme="minorEastAsia" w:cstheme="minorEastAsia"/>
          <w:b/>
          <w:spacing w:val="40"/>
          <w:szCs w:val="21"/>
        </w:rPr>
      </w:pPr>
    </w:p>
    <w:p>
      <w:pPr>
        <w:pStyle w:val="29"/>
        <w:spacing w:line="360" w:lineRule="auto"/>
        <w:rPr>
          <w:color w:val="auto"/>
          <w:sz w:val="21"/>
          <w:szCs w:val="21"/>
        </w:rPr>
      </w:pPr>
    </w:p>
    <w:p>
      <w:pPr>
        <w:pStyle w:val="15"/>
        <w:ind w:left="0" w:leftChars="0" w:firstLine="0" w:firstLineChars="0"/>
      </w:pPr>
    </w:p>
    <w:p>
      <w:pPr>
        <w:pStyle w:val="15"/>
      </w:pPr>
    </w:p>
    <w:p>
      <w:pPr>
        <w:pStyle w:val="15"/>
      </w:pPr>
    </w:p>
    <w:p>
      <w:pPr>
        <w:adjustRightInd w:val="0"/>
        <w:snapToGrid w:val="0"/>
        <w:spacing w:line="360" w:lineRule="auto"/>
        <w:jc w:val="center"/>
        <w:rPr>
          <w:rFonts w:asciiTheme="minorEastAsia" w:hAnsiTheme="minorEastAsia" w:eastAsiaTheme="minorEastAsia" w:cstheme="minorEastAsia"/>
          <w:b/>
          <w:spacing w:val="40"/>
          <w:szCs w:val="21"/>
        </w:rPr>
      </w:pPr>
    </w:p>
    <w:p>
      <w:pPr>
        <w:adjustRightInd w:val="0"/>
        <w:snapToGrid w:val="0"/>
        <w:spacing w:line="360" w:lineRule="auto"/>
        <w:jc w:val="center"/>
        <w:rPr>
          <w:rFonts w:asciiTheme="minorEastAsia" w:hAnsiTheme="minorEastAsia" w:eastAsiaTheme="minorEastAsia" w:cstheme="minorEastAsia"/>
          <w:b/>
          <w:spacing w:val="40"/>
          <w:szCs w:val="21"/>
        </w:rPr>
      </w:pPr>
    </w:p>
    <w:p>
      <w:pPr>
        <w:pStyle w:val="9"/>
        <w:adjustRightInd w:val="0"/>
        <w:snapToGrid w:val="0"/>
        <w:spacing w:line="360" w:lineRule="auto"/>
        <w:jc w:val="center"/>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40"/>
          <w:sz w:val="28"/>
          <w:szCs w:val="28"/>
        </w:rPr>
        <w:t xml:space="preserve">2024年6月  </w:t>
      </w:r>
    </w:p>
    <w:p>
      <w:pPr>
        <w:pStyle w:val="9"/>
        <w:spacing w:line="360" w:lineRule="auto"/>
        <w:jc w:val="center"/>
        <w:outlineLvl w:val="0"/>
        <w:rPr>
          <w:rStyle w:val="23"/>
          <w:rFonts w:hAnsi="宋体" w:cs="宋体"/>
          <w:b/>
          <w:color w:val="auto"/>
          <w:szCs w:val="21"/>
        </w:rPr>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pPr>
    </w:p>
    <w:p>
      <w:pPr>
        <w:pStyle w:val="9"/>
        <w:spacing w:line="360" w:lineRule="auto"/>
        <w:jc w:val="center"/>
        <w:outlineLvl w:val="0"/>
        <w:rPr>
          <w:rStyle w:val="23"/>
          <w:rFonts w:hAnsi="宋体" w:cs="宋体"/>
          <w:b/>
          <w:color w:val="auto"/>
          <w:szCs w:val="21"/>
        </w:rPr>
      </w:pPr>
    </w:p>
    <w:p>
      <w:pPr>
        <w:pStyle w:val="9"/>
        <w:spacing w:line="360" w:lineRule="auto"/>
        <w:jc w:val="center"/>
        <w:outlineLvl w:val="0"/>
        <w:rPr>
          <w:rStyle w:val="23"/>
          <w:rFonts w:hAnsi="宋体" w:cs="宋体"/>
          <w:b/>
          <w:color w:val="auto"/>
          <w:sz w:val="24"/>
          <w:szCs w:val="24"/>
        </w:rPr>
      </w:pPr>
      <w:r>
        <w:rPr>
          <w:rStyle w:val="23"/>
          <w:rFonts w:hint="eastAsia" w:hAnsi="宋体" w:cs="宋体"/>
          <w:b/>
          <w:color w:val="auto"/>
          <w:sz w:val="24"/>
          <w:szCs w:val="24"/>
        </w:rPr>
        <w:t>目  录</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fldChar w:fldCharType="begin"/>
      </w:r>
      <w:r>
        <w:rPr>
          <w:rFonts w:hint="eastAsia" w:ascii="宋体" w:hAnsi="宋体" w:cs="宋体"/>
          <w:b/>
          <w:sz w:val="24"/>
        </w:rPr>
        <w:instrText xml:space="preserve"> TOC \o "1-3" \h \z \u </w:instrText>
      </w:r>
      <w:r>
        <w:rPr>
          <w:rFonts w:hint="eastAsia" w:ascii="宋体" w:hAnsi="宋体" w:cs="宋体"/>
          <w:b/>
          <w:sz w:val="24"/>
        </w:rPr>
        <w:fldChar w:fldCharType="separate"/>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"_Toc246826096#_Toc246826096" </w:instrText>
      </w:r>
      <w:r>
        <w:fldChar w:fldCharType="separate"/>
      </w:r>
      <w:r>
        <w:rPr>
          <w:rFonts w:hint="eastAsia" w:ascii="宋体" w:hAnsi="宋体" w:cs="宋体"/>
          <w:b/>
          <w:sz w:val="24"/>
        </w:rPr>
        <w:t>第一章  比选公告……………………………………………………</w:t>
      </w:r>
      <w:r>
        <w:rPr>
          <w:rFonts w:hint="eastAsia" w:ascii="宋体" w:hAnsi="宋体" w:cs="宋体"/>
          <w:b/>
          <w:sz w:val="24"/>
        </w:rPr>
        <w:fldChar w:fldCharType="end"/>
      </w:r>
      <w:r>
        <w:rPr>
          <w:rFonts w:hint="eastAsia" w:ascii="宋体" w:hAnsi="宋体" w:cs="宋体"/>
          <w:b/>
          <w:sz w:val="24"/>
        </w:rPr>
        <w:t>……3-4</w:t>
      </w:r>
    </w:p>
    <w:p>
      <w:pPr>
        <w:spacing w:line="360" w:lineRule="auto"/>
        <w:rPr>
          <w:rFonts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"_Toc246826105#_Toc246826105" </w:instrText>
      </w:r>
      <w:r>
        <w:fldChar w:fldCharType="separate"/>
      </w:r>
      <w:r>
        <w:rPr>
          <w:rFonts w:hint="eastAsia" w:ascii="宋体" w:hAnsi="宋体" w:cs="宋体"/>
          <w:b/>
          <w:sz w:val="24"/>
        </w:rPr>
        <w:t>第二章  采购需求……………………………………………………</w:t>
      </w:r>
      <w:r>
        <w:rPr>
          <w:rFonts w:hint="eastAsia" w:ascii="宋体" w:hAnsi="宋体" w:cs="宋体"/>
          <w:b/>
          <w:sz w:val="24"/>
        </w:rPr>
        <w:fldChar w:fldCharType="end"/>
      </w:r>
      <w:r>
        <w:rPr>
          <w:rFonts w:hint="eastAsia" w:ascii="宋体" w:hAnsi="宋体" w:cs="宋体"/>
          <w:b/>
          <w:sz w:val="24"/>
        </w:rPr>
        <w:t>……5-6</w:t>
      </w:r>
    </w:p>
    <w:p>
      <w:pPr>
        <w:spacing w:line="360" w:lineRule="auto"/>
        <w:rPr>
          <w:rFonts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"_Toc246826118#_Toc246826118" </w:instrText>
      </w:r>
      <w:r>
        <w:fldChar w:fldCharType="separate"/>
      </w:r>
      <w:r>
        <w:rPr>
          <w:rFonts w:hint="eastAsia" w:ascii="宋体" w:hAnsi="宋体" w:cs="宋体"/>
          <w:b/>
          <w:sz w:val="24"/>
        </w:rPr>
        <w:t>第三章  供应商须知………………………………………</w:t>
      </w:r>
      <w:r>
        <w:rPr>
          <w:rFonts w:hint="eastAsia" w:ascii="宋体" w:hAnsi="宋体" w:cs="宋体"/>
          <w:b/>
          <w:sz w:val="24"/>
        </w:rPr>
        <w:fldChar w:fldCharType="end"/>
      </w:r>
      <w:r>
        <w:rPr>
          <w:rFonts w:hint="eastAsia" w:ascii="宋体" w:hAnsi="宋体" w:cs="宋体"/>
          <w:b/>
          <w:sz w:val="24"/>
        </w:rPr>
        <w:t>………………</w:t>
      </w:r>
      <w:r>
        <w:rPr>
          <w:rFonts w:hint="eastAsia" w:ascii="宋体" w:hAnsi="宋体" w:cs="宋体"/>
          <w:b/>
          <w:sz w:val="24"/>
        </w:rPr>
        <w:fldChar w:fldCharType="end"/>
      </w:r>
      <w:r>
        <w:rPr>
          <w:rFonts w:hint="eastAsia" w:ascii="宋体" w:hAnsi="宋体" w:cs="宋体"/>
          <w:b/>
          <w:sz w:val="24"/>
        </w:rPr>
        <w:t>7-18</w:t>
      </w:r>
    </w:p>
    <w:p>
      <w:pPr>
        <w:spacing w:line="360" w:lineRule="auto"/>
        <w:rPr>
          <w:rFonts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"_Toc246826115#_Toc246826115" </w:instrText>
      </w:r>
      <w:r>
        <w:fldChar w:fldCharType="separate"/>
      </w:r>
      <w:r>
        <w:rPr>
          <w:rFonts w:hint="eastAsia" w:ascii="宋体" w:hAnsi="宋体" w:cs="宋体"/>
          <w:b/>
          <w:sz w:val="24"/>
        </w:rPr>
        <w:t>第四章  评审标准……………………………………</w:t>
      </w:r>
      <w:r>
        <w:rPr>
          <w:rFonts w:hint="eastAsia" w:ascii="宋体" w:hAnsi="宋体" w:cs="宋体"/>
          <w:b/>
          <w:sz w:val="24"/>
        </w:rPr>
        <w:fldChar w:fldCharType="end"/>
      </w:r>
      <w:r>
        <w:rPr>
          <w:rFonts w:hint="eastAsia" w:ascii="宋体" w:hAnsi="宋体" w:cs="宋体"/>
          <w:b/>
          <w:sz w:val="24"/>
        </w:rPr>
        <w:t>……………………19-22</w:t>
      </w:r>
    </w:p>
    <w:p>
      <w:pPr>
        <w:spacing w:line="360" w:lineRule="auto"/>
        <w:rPr>
          <w:rFonts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"_Toc246826104#_Toc246826104" </w:instrText>
      </w:r>
      <w:r>
        <w:fldChar w:fldCharType="separate"/>
      </w:r>
      <w:r>
        <w:rPr>
          <w:rFonts w:hint="eastAsia" w:ascii="宋体" w:hAnsi="宋体" w:cs="宋体"/>
          <w:b/>
          <w:sz w:val="24"/>
        </w:rPr>
        <w:t>第五章  采购合同格式………………………………………………</w:t>
      </w:r>
      <w:r>
        <w:rPr>
          <w:rFonts w:hint="eastAsia" w:ascii="宋体" w:hAnsi="宋体" w:cs="宋体"/>
          <w:b/>
          <w:sz w:val="24"/>
        </w:rPr>
        <w:fldChar w:fldCharType="end"/>
      </w:r>
      <w:r>
        <w:rPr>
          <w:rFonts w:hint="eastAsia" w:ascii="宋体" w:hAnsi="宋体" w:cs="宋体"/>
          <w:b/>
          <w:sz w:val="24"/>
        </w:rPr>
        <w:t>……23-26</w:t>
      </w:r>
    </w:p>
    <w:p>
      <w:pPr>
        <w:spacing w:line="360" w:lineRule="auto"/>
        <w:rPr>
          <w:rFonts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"_Toc246826118#_Toc246826118" </w:instrText>
      </w:r>
      <w:r>
        <w:fldChar w:fldCharType="separate"/>
      </w:r>
      <w:r>
        <w:rPr>
          <w:rFonts w:hint="eastAsia" w:ascii="宋体" w:hAnsi="宋体" w:cs="宋体"/>
          <w:b/>
          <w:sz w:val="24"/>
        </w:rPr>
        <w:t>第六章  响应文件格式及附件……………………………………………</w:t>
      </w:r>
      <w:r>
        <w:rPr>
          <w:rFonts w:hint="eastAsia" w:ascii="宋体" w:hAnsi="宋体" w:cs="宋体"/>
          <w:b/>
          <w:sz w:val="24"/>
        </w:rPr>
        <w:fldChar w:fldCharType="end"/>
      </w:r>
      <w:r>
        <w:rPr>
          <w:rFonts w:hint="eastAsia" w:ascii="宋体" w:hAnsi="宋体" w:cs="宋体"/>
          <w:b/>
          <w:sz w:val="24"/>
        </w:rPr>
        <w:t>27-36</w:t>
      </w:r>
    </w:p>
    <w:p>
      <w:pPr>
        <w:spacing w:line="360" w:lineRule="auto"/>
        <w:rPr>
          <w:rFonts w:ascii="宋体" w:hAnsi="宋体" w:cs="宋体"/>
          <w:b/>
          <w:sz w:val="24"/>
        </w:rPr>
      </w:pPr>
    </w:p>
    <w:p>
      <w:pPr>
        <w:pStyle w:val="9"/>
        <w:adjustRightInd w:val="0"/>
        <w:snapToGrid w:val="0"/>
        <w:spacing w:line="360" w:lineRule="auto"/>
        <w:jc w:val="center"/>
        <w:outlineLvl w:val="0"/>
        <w:rPr>
          <w:rFonts w:asciiTheme="minorEastAsia" w:hAnsiTheme="minorEastAsia" w:eastAsiaTheme="minorEastAsia" w:cstheme="minorEastAsia"/>
          <w:b/>
          <w:szCs w:val="21"/>
        </w:rPr>
      </w:pPr>
    </w:p>
    <w:p>
      <w:pPr>
        <w:pStyle w:val="9"/>
        <w:adjustRightInd w:val="0"/>
        <w:snapToGrid w:val="0"/>
        <w:spacing w:line="360" w:lineRule="auto"/>
        <w:jc w:val="center"/>
        <w:outlineLvl w:val="0"/>
        <w:rPr>
          <w:rFonts w:asciiTheme="minorEastAsia" w:hAnsiTheme="minorEastAsia" w:eastAsiaTheme="minorEastAsia" w:cstheme="minorEastAsia"/>
          <w:b/>
          <w:szCs w:val="21"/>
        </w:rPr>
      </w:pPr>
    </w:p>
    <w:p>
      <w:pPr>
        <w:pStyle w:val="9"/>
        <w:adjustRightInd w:val="0"/>
        <w:snapToGrid w:val="0"/>
        <w:spacing w:line="360" w:lineRule="auto"/>
        <w:jc w:val="center"/>
        <w:outlineLvl w:val="0"/>
        <w:rPr>
          <w:rFonts w:asciiTheme="minorEastAsia" w:hAnsiTheme="minorEastAsia" w:eastAsiaTheme="minorEastAsia" w:cstheme="minorEastAsia"/>
          <w:b/>
          <w:szCs w:val="21"/>
        </w:rPr>
      </w:pPr>
    </w:p>
    <w:p>
      <w:pPr>
        <w:pStyle w:val="9"/>
        <w:adjustRightInd w:val="0"/>
        <w:snapToGrid w:val="0"/>
        <w:spacing w:line="360" w:lineRule="auto"/>
        <w:jc w:val="center"/>
        <w:outlineLvl w:val="0"/>
        <w:rPr>
          <w:rFonts w:asciiTheme="minorEastAsia" w:hAnsiTheme="minorEastAsia" w:eastAsiaTheme="minorEastAsia" w:cstheme="minorEastAsia"/>
          <w:b/>
          <w:szCs w:val="21"/>
        </w:rPr>
      </w:pPr>
    </w:p>
    <w:p>
      <w:pPr>
        <w:pStyle w:val="9"/>
        <w:adjustRightInd w:val="0"/>
        <w:snapToGrid w:val="0"/>
        <w:spacing w:line="360" w:lineRule="auto"/>
        <w:jc w:val="center"/>
        <w:outlineLvl w:val="0"/>
        <w:rPr>
          <w:rFonts w:asciiTheme="minorEastAsia" w:hAnsiTheme="minorEastAsia" w:eastAsiaTheme="minorEastAsia" w:cstheme="minorEastAsia"/>
          <w:b/>
          <w:szCs w:val="21"/>
        </w:rPr>
      </w:pPr>
    </w:p>
    <w:p>
      <w:pPr>
        <w:pStyle w:val="9"/>
        <w:adjustRightInd w:val="0"/>
        <w:snapToGrid w:val="0"/>
        <w:spacing w:line="360" w:lineRule="auto"/>
        <w:jc w:val="center"/>
        <w:outlineLvl w:val="0"/>
        <w:rPr>
          <w:rFonts w:asciiTheme="minorEastAsia" w:hAnsiTheme="minorEastAsia" w:eastAsiaTheme="minorEastAsia" w:cstheme="minorEastAsia"/>
          <w:b/>
          <w:szCs w:val="21"/>
        </w:rPr>
      </w:pPr>
    </w:p>
    <w:p>
      <w:pPr>
        <w:pStyle w:val="9"/>
        <w:adjustRightInd w:val="0"/>
        <w:snapToGrid w:val="0"/>
        <w:spacing w:line="360" w:lineRule="auto"/>
        <w:jc w:val="center"/>
        <w:outlineLvl w:val="0"/>
        <w:rPr>
          <w:rFonts w:asciiTheme="minorEastAsia" w:hAnsiTheme="minorEastAsia" w:eastAsiaTheme="minorEastAsia" w:cstheme="minorEastAsia"/>
          <w:b/>
          <w:szCs w:val="21"/>
        </w:rPr>
      </w:pPr>
    </w:p>
    <w:p>
      <w:pPr>
        <w:pStyle w:val="9"/>
        <w:adjustRightInd w:val="0"/>
        <w:snapToGrid w:val="0"/>
        <w:spacing w:line="360" w:lineRule="auto"/>
        <w:jc w:val="center"/>
        <w:outlineLvl w:val="0"/>
        <w:rPr>
          <w:rFonts w:asciiTheme="minorEastAsia" w:hAnsiTheme="minorEastAsia" w:eastAsiaTheme="minorEastAsia" w:cstheme="minorEastAsia"/>
          <w:b/>
          <w:szCs w:val="21"/>
        </w:rPr>
      </w:pPr>
    </w:p>
    <w:p>
      <w:pPr>
        <w:pStyle w:val="9"/>
        <w:adjustRightInd w:val="0"/>
        <w:snapToGrid w:val="0"/>
        <w:spacing w:line="360" w:lineRule="auto"/>
        <w:jc w:val="center"/>
        <w:outlineLvl w:val="0"/>
        <w:rPr>
          <w:rFonts w:asciiTheme="minorEastAsia" w:hAnsiTheme="minorEastAsia" w:eastAsiaTheme="minorEastAsia" w:cstheme="minorEastAsia"/>
          <w:b/>
          <w:szCs w:val="21"/>
        </w:rPr>
      </w:pPr>
    </w:p>
    <w:p>
      <w:pPr>
        <w:pStyle w:val="9"/>
        <w:adjustRightInd w:val="0"/>
        <w:snapToGrid w:val="0"/>
        <w:spacing w:line="360" w:lineRule="auto"/>
        <w:jc w:val="center"/>
        <w:outlineLvl w:val="0"/>
        <w:rPr>
          <w:rFonts w:asciiTheme="minorEastAsia" w:hAnsiTheme="minorEastAsia" w:eastAsiaTheme="minorEastAsia" w:cstheme="minorEastAsia"/>
          <w:b/>
          <w:szCs w:val="21"/>
        </w:rPr>
      </w:pPr>
    </w:p>
    <w:p>
      <w:pPr>
        <w:pStyle w:val="9"/>
        <w:adjustRightInd w:val="0"/>
        <w:snapToGrid w:val="0"/>
        <w:spacing w:line="360" w:lineRule="auto"/>
        <w:jc w:val="center"/>
        <w:outlineLvl w:val="0"/>
        <w:rPr>
          <w:rFonts w:asciiTheme="minorEastAsia" w:hAnsiTheme="minorEastAsia" w:eastAsiaTheme="minorEastAsia" w:cstheme="minorEastAsia"/>
          <w:b/>
          <w:szCs w:val="21"/>
        </w:rPr>
      </w:pPr>
    </w:p>
    <w:p>
      <w:pPr>
        <w:pStyle w:val="9"/>
        <w:adjustRightInd w:val="0"/>
        <w:snapToGrid w:val="0"/>
        <w:spacing w:line="360" w:lineRule="auto"/>
        <w:jc w:val="center"/>
        <w:outlineLvl w:val="0"/>
        <w:rPr>
          <w:rFonts w:asciiTheme="minorEastAsia" w:hAnsiTheme="minorEastAsia" w:eastAsiaTheme="minorEastAsia" w:cstheme="minorEastAsia"/>
          <w:b/>
          <w:szCs w:val="21"/>
        </w:rPr>
      </w:pPr>
    </w:p>
    <w:p>
      <w:pPr>
        <w:pStyle w:val="9"/>
        <w:adjustRightInd w:val="0"/>
        <w:snapToGrid w:val="0"/>
        <w:spacing w:line="360" w:lineRule="auto"/>
        <w:jc w:val="center"/>
        <w:outlineLvl w:val="0"/>
        <w:rPr>
          <w:rFonts w:asciiTheme="minorEastAsia" w:hAnsiTheme="minorEastAsia" w:eastAsiaTheme="minorEastAsia" w:cstheme="minorEastAsia"/>
          <w:b/>
          <w:szCs w:val="21"/>
        </w:rPr>
      </w:pPr>
    </w:p>
    <w:p>
      <w:pPr>
        <w:pStyle w:val="9"/>
        <w:adjustRightInd w:val="0"/>
        <w:snapToGrid w:val="0"/>
        <w:spacing w:line="360" w:lineRule="auto"/>
        <w:jc w:val="center"/>
        <w:outlineLvl w:val="0"/>
        <w:rPr>
          <w:rFonts w:asciiTheme="minorEastAsia" w:hAnsiTheme="minorEastAsia" w:eastAsiaTheme="minorEastAsia" w:cstheme="minorEastAsia"/>
          <w:b/>
          <w:szCs w:val="21"/>
        </w:rPr>
      </w:pPr>
    </w:p>
    <w:p>
      <w:pPr>
        <w:pStyle w:val="9"/>
        <w:adjustRightInd w:val="0"/>
        <w:snapToGrid w:val="0"/>
        <w:spacing w:line="360" w:lineRule="auto"/>
        <w:jc w:val="center"/>
        <w:outlineLvl w:val="0"/>
        <w:rPr>
          <w:rFonts w:asciiTheme="minorEastAsia" w:hAnsiTheme="minorEastAsia" w:eastAsiaTheme="minorEastAsia" w:cstheme="minorEastAsia"/>
          <w:b/>
          <w:szCs w:val="21"/>
        </w:rPr>
      </w:pPr>
    </w:p>
    <w:p>
      <w:pPr>
        <w:pStyle w:val="9"/>
        <w:adjustRightInd w:val="0"/>
        <w:snapToGrid w:val="0"/>
        <w:spacing w:line="360" w:lineRule="auto"/>
        <w:jc w:val="center"/>
        <w:outlineLvl w:val="0"/>
        <w:rPr>
          <w:rFonts w:asciiTheme="minorEastAsia" w:hAnsiTheme="minorEastAsia" w:eastAsiaTheme="minorEastAsia" w:cstheme="minorEastAsia"/>
          <w:b/>
          <w:szCs w:val="21"/>
        </w:rPr>
      </w:pPr>
    </w:p>
    <w:p>
      <w:pPr>
        <w:pStyle w:val="9"/>
        <w:adjustRightInd w:val="0"/>
        <w:snapToGrid w:val="0"/>
        <w:spacing w:line="360" w:lineRule="auto"/>
        <w:jc w:val="center"/>
        <w:outlineLvl w:val="0"/>
        <w:rPr>
          <w:rFonts w:asciiTheme="minorEastAsia" w:hAnsiTheme="minorEastAsia" w:eastAsiaTheme="minorEastAsia" w:cstheme="minorEastAsia"/>
          <w:b/>
          <w:szCs w:val="21"/>
        </w:rPr>
      </w:pPr>
    </w:p>
    <w:p>
      <w:pPr>
        <w:pStyle w:val="9"/>
        <w:adjustRightInd w:val="0"/>
        <w:snapToGrid w:val="0"/>
        <w:spacing w:line="360" w:lineRule="auto"/>
        <w:outlineLvl w:val="0"/>
        <w:rPr>
          <w:rFonts w:asciiTheme="minorEastAsia" w:hAnsiTheme="minorEastAsia" w:eastAsiaTheme="minorEastAsia" w:cstheme="minorEastAsia"/>
          <w:b/>
          <w:szCs w:val="21"/>
        </w:rPr>
      </w:pPr>
    </w:p>
    <w:p>
      <w:pPr>
        <w:pStyle w:val="9"/>
        <w:adjustRightInd w:val="0"/>
        <w:snapToGrid w:val="0"/>
        <w:spacing w:line="360" w:lineRule="auto"/>
        <w:jc w:val="center"/>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第一章  比选公告</w:t>
      </w:r>
    </w:p>
    <w:p>
      <w:pPr>
        <w:adjustRightInd w:val="0"/>
        <w:snapToGrid w:val="0"/>
        <w:spacing w:line="400" w:lineRule="exact"/>
        <w:ind w:firstLine="422" w:firstLineChars="200"/>
        <w:rPr>
          <w:rFonts w:asciiTheme="minorEastAsia" w:hAnsiTheme="minorEastAsia" w:eastAsiaTheme="minorEastAsia" w:cstheme="minorEastAsia"/>
          <w:b/>
          <w:szCs w:val="21"/>
        </w:rPr>
      </w:pPr>
      <w:bookmarkStart w:id="99" w:name="_GoBack"/>
      <w:r>
        <w:rPr>
          <w:rFonts w:hint="eastAsia" w:asciiTheme="minorEastAsia" w:hAnsiTheme="minorEastAsia" w:eastAsiaTheme="minorEastAsia" w:cstheme="minorEastAsia"/>
          <w:b/>
          <w:szCs w:val="21"/>
        </w:rPr>
        <w:t>一、项目基本情况</w:t>
      </w:r>
    </w:p>
    <w:p>
      <w:pPr>
        <w:pStyle w:val="9"/>
        <w:adjustRightInd w:val="0"/>
        <w:snapToGrid w:val="0"/>
        <w:spacing w:line="400" w:lineRule="exact"/>
        <w:ind w:firstLine="420" w:firstLineChars="200"/>
        <w:jc w:val="left"/>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1、项目编号：</w:t>
      </w:r>
      <w:r>
        <w:rPr>
          <w:rFonts w:asciiTheme="minorEastAsia" w:hAnsiTheme="minorEastAsia" w:eastAsiaTheme="minorEastAsia" w:cstheme="minorEastAsia"/>
          <w:bCs/>
          <w:szCs w:val="21"/>
        </w:rPr>
        <w:t>zfcg-fw-20240424-002</w:t>
      </w:r>
    </w:p>
    <w:p>
      <w:pPr>
        <w:pStyle w:val="9"/>
        <w:adjustRightInd w:val="0"/>
        <w:snapToGrid w:val="0"/>
        <w:spacing w:line="400" w:lineRule="exact"/>
        <w:ind w:firstLine="420" w:firstLineChars="200"/>
        <w:jc w:val="left"/>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2、项目名称：2024年-2025年海口江东新区营商环境提升咨询服务采购；</w:t>
      </w:r>
    </w:p>
    <w:p>
      <w:pPr>
        <w:pStyle w:val="9"/>
        <w:adjustRightInd w:val="0"/>
        <w:snapToGrid w:val="0"/>
        <w:spacing w:line="400" w:lineRule="exact"/>
        <w:ind w:firstLine="420" w:firstLineChars="200"/>
        <w:jc w:val="left"/>
        <w:outlineLvl w:val="0"/>
        <w:rPr>
          <w:rFonts w:hAnsi="宋体" w:cs="宋体"/>
          <w:szCs w:val="21"/>
        </w:rPr>
      </w:pPr>
      <w:r>
        <w:rPr>
          <w:rFonts w:hint="eastAsia" w:asciiTheme="minorEastAsia" w:hAnsiTheme="minorEastAsia" w:eastAsiaTheme="minorEastAsia" w:cstheme="minorEastAsia"/>
          <w:bCs/>
          <w:szCs w:val="21"/>
        </w:rPr>
        <w:t>3、最高限价：98.00万元(不含98万元，超出最高限价将作无效响应处理)；</w:t>
      </w:r>
    </w:p>
    <w:p>
      <w:pPr>
        <w:pStyle w:val="9"/>
        <w:adjustRightInd w:val="0"/>
        <w:snapToGrid w:val="0"/>
        <w:spacing w:line="400" w:lineRule="exact"/>
        <w:ind w:firstLine="420" w:firstLineChars="200"/>
        <w:jc w:val="left"/>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4、采购需求：详见采购比选文件第二章；</w:t>
      </w:r>
    </w:p>
    <w:p>
      <w:pPr>
        <w:spacing w:line="400" w:lineRule="exact"/>
        <w:ind w:right="-197" w:rightChars="-94" w:firstLine="420" w:firstLineChars="200"/>
        <w:rPr>
          <w:rFonts w:ascii="宋体" w:hAnsi="宋体"/>
          <w:bCs/>
          <w:szCs w:val="21"/>
        </w:rPr>
      </w:pPr>
      <w:bookmarkStart w:id="8" w:name="_Toc35393791"/>
      <w:bookmarkStart w:id="9" w:name="_Toc28359003"/>
      <w:bookmarkStart w:id="10" w:name="_Toc35393622"/>
      <w:bookmarkStart w:id="11" w:name="_Toc28359080"/>
      <w:r>
        <w:rPr>
          <w:rFonts w:hint="eastAsia" w:asciiTheme="minorEastAsia" w:hAnsiTheme="minorEastAsia" w:eastAsiaTheme="minorEastAsia" w:cstheme="minorEastAsia"/>
          <w:bCs/>
          <w:szCs w:val="21"/>
        </w:rPr>
        <w:t>5、服务期限：自合同签订之日起至2025年12月31日止；</w:t>
      </w:r>
    </w:p>
    <w:p>
      <w:pPr>
        <w:pStyle w:val="9"/>
        <w:adjustRightInd w:val="0"/>
        <w:snapToGrid w:val="0"/>
        <w:spacing w:line="400" w:lineRule="exact"/>
        <w:ind w:firstLine="420" w:firstLineChars="200"/>
        <w:jc w:val="left"/>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6、服务地点：海口江东新区。</w:t>
      </w:r>
    </w:p>
    <w:bookmarkEnd w:id="8"/>
    <w:bookmarkEnd w:id="9"/>
    <w:bookmarkEnd w:id="10"/>
    <w:bookmarkEnd w:id="11"/>
    <w:p>
      <w:pPr>
        <w:pStyle w:val="9"/>
        <w:adjustRightInd w:val="0"/>
        <w:snapToGrid w:val="0"/>
        <w:spacing w:line="40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二、供应商的资格要求：</w:t>
      </w:r>
    </w:p>
    <w:p>
      <w:pPr>
        <w:pStyle w:val="9"/>
        <w:adjustRightInd w:val="0"/>
        <w:snapToGrid w:val="0"/>
        <w:spacing w:line="400" w:lineRule="exact"/>
        <w:ind w:firstLine="420" w:firstLineChars="200"/>
        <w:jc w:val="left"/>
        <w:outlineLvl w:val="0"/>
        <w:rPr>
          <w:rFonts w:hAnsi="宋体" w:cs="宋体"/>
          <w:bCs/>
          <w:szCs w:val="21"/>
        </w:rPr>
      </w:pPr>
      <w:bookmarkStart w:id="12" w:name="_Toc28359004"/>
      <w:bookmarkStart w:id="13" w:name="_Toc35393623"/>
      <w:bookmarkStart w:id="14" w:name="_Toc35393792"/>
      <w:bookmarkStart w:id="15" w:name="_Toc28359081"/>
      <w:r>
        <w:rPr>
          <w:rFonts w:hint="eastAsia" w:hAnsi="宋体" w:cs="宋体"/>
          <w:bCs/>
          <w:szCs w:val="21"/>
        </w:rPr>
        <w:t>1、满足《中华人民共和国政府采购法》第二十二条规定；</w:t>
      </w:r>
    </w:p>
    <w:p>
      <w:pPr>
        <w:pStyle w:val="9"/>
        <w:adjustRightInd w:val="0"/>
        <w:snapToGrid w:val="0"/>
        <w:spacing w:line="400" w:lineRule="exact"/>
        <w:ind w:firstLine="420" w:firstLineChars="200"/>
        <w:jc w:val="left"/>
        <w:outlineLvl w:val="0"/>
        <w:rPr>
          <w:rFonts w:hAnsi="宋体" w:cs="宋体"/>
          <w:bCs/>
          <w:szCs w:val="21"/>
        </w:rPr>
      </w:pPr>
      <w:r>
        <w:rPr>
          <w:rFonts w:hint="eastAsia" w:hAnsi="宋体" w:cs="宋体"/>
          <w:bCs/>
          <w:szCs w:val="21"/>
        </w:rPr>
        <w:t>2、落实政府采购政策需满足的资格要求：根据《政府采购促进中小企业发展管理办法》（财库〔2020〕46号）、《关于进一步加大政府采购支持中小企业力度的通知》（财库〔2022〕19号）、《海南省财政厅关于进一步加强政府采购支持中小企业发展的通知》（海财采〔2022〕1798号）文件要求，本项目专门面对中小微企业采购（监狱企业、残疾人福利性单位视同小型、微型企业）。</w:t>
      </w:r>
    </w:p>
    <w:p>
      <w:pPr>
        <w:pStyle w:val="9"/>
        <w:adjustRightInd w:val="0"/>
        <w:snapToGrid w:val="0"/>
        <w:spacing w:line="400" w:lineRule="exact"/>
        <w:ind w:firstLine="420" w:firstLineChars="200"/>
        <w:jc w:val="left"/>
        <w:outlineLvl w:val="0"/>
        <w:rPr>
          <w:rFonts w:hAnsi="宋体" w:cs="宋体"/>
          <w:bCs/>
          <w:szCs w:val="21"/>
        </w:rPr>
      </w:pPr>
      <w:r>
        <w:rPr>
          <w:rFonts w:hint="eastAsia" w:hAnsi="宋体" w:cs="宋体"/>
          <w:bCs/>
          <w:szCs w:val="21"/>
        </w:rPr>
        <w:t>3、符合采购人根据采购项目实际情况要求的特定资格条件和其他法律法规规定的条件，具体如下：</w:t>
      </w:r>
    </w:p>
    <w:p>
      <w:pPr>
        <w:pStyle w:val="9"/>
        <w:adjustRightInd w:val="0"/>
        <w:snapToGrid w:val="0"/>
        <w:spacing w:line="400" w:lineRule="exact"/>
        <w:ind w:firstLine="420" w:firstLineChars="200"/>
        <w:jc w:val="left"/>
        <w:outlineLvl w:val="0"/>
        <w:rPr>
          <w:rFonts w:hAnsi="宋体" w:cs="宋体"/>
          <w:bCs/>
          <w:szCs w:val="21"/>
        </w:rPr>
      </w:pPr>
      <w:r>
        <w:rPr>
          <w:rFonts w:hint="eastAsia" w:hAnsi="宋体" w:cs="宋体"/>
          <w:bCs/>
          <w:szCs w:val="21"/>
        </w:rPr>
        <w:t>3.1、供应商未被列入失信被执行人、重大税收违法案件当事人名单（税收违法黑名单）和政府采购严重违法失信行为记录名单（须提供“信用中国”网站（www.creditchina.gov.cn)查询失信被执行人、重大税收违法案件当事人名单（税收违法黑名单）的查询结果截图并加盖公章；和“中国政府采购网”网站（http://www.ccgp.gov.cn/）查询政府采购严重违法失信行为记录名单的查询结果截图并加盖公章），如相关失信记录已失效，供应商须提供相关证明资料并加盖公章；</w:t>
      </w:r>
    </w:p>
    <w:p>
      <w:pPr>
        <w:pStyle w:val="9"/>
        <w:adjustRightInd w:val="0"/>
        <w:snapToGrid w:val="0"/>
        <w:spacing w:line="400" w:lineRule="exact"/>
        <w:ind w:firstLine="420" w:firstLineChars="200"/>
        <w:jc w:val="left"/>
        <w:outlineLvl w:val="0"/>
        <w:rPr>
          <w:rFonts w:hAnsi="宋体" w:cs="宋体"/>
          <w:bCs/>
          <w:szCs w:val="21"/>
        </w:rPr>
      </w:pPr>
      <w:r>
        <w:rPr>
          <w:rFonts w:hint="eastAsia" w:hAnsi="宋体" w:cs="宋体"/>
          <w:bCs/>
          <w:szCs w:val="21"/>
        </w:rPr>
        <w:t>3.2本项目不接受联合体响应。</w:t>
      </w:r>
    </w:p>
    <w:bookmarkEnd w:id="12"/>
    <w:bookmarkEnd w:id="13"/>
    <w:bookmarkEnd w:id="14"/>
    <w:bookmarkEnd w:id="15"/>
    <w:p>
      <w:pPr>
        <w:pStyle w:val="9"/>
        <w:adjustRightInd w:val="0"/>
        <w:snapToGrid w:val="0"/>
        <w:spacing w:line="40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三、采购比选文件获取时间、获取办法</w:t>
      </w:r>
    </w:p>
    <w:p>
      <w:pPr>
        <w:pStyle w:val="9"/>
        <w:adjustRightInd w:val="0"/>
        <w:snapToGrid w:val="0"/>
        <w:spacing w:line="400" w:lineRule="exact"/>
        <w:ind w:firstLine="420" w:firstLineChars="200"/>
        <w:jc w:val="left"/>
        <w:outlineLvl w:val="0"/>
        <w:rPr>
          <w:rFonts w:asciiTheme="minorEastAsia" w:hAnsiTheme="minorEastAsia" w:eastAsiaTheme="minorEastAsia" w:cstheme="minorEastAsia"/>
          <w:bCs/>
          <w:szCs w:val="21"/>
        </w:rPr>
      </w:pPr>
      <w:bookmarkStart w:id="16" w:name="_Toc28359085"/>
      <w:bookmarkStart w:id="17" w:name="_Toc35393627"/>
      <w:bookmarkStart w:id="18" w:name="_Toc28359008"/>
      <w:bookmarkStart w:id="19" w:name="_Toc35393796"/>
      <w:r>
        <w:rPr>
          <w:rFonts w:hint="eastAsia" w:asciiTheme="minorEastAsia" w:hAnsiTheme="minorEastAsia" w:eastAsiaTheme="minorEastAsia" w:cstheme="minorEastAsia"/>
          <w:bCs/>
          <w:szCs w:val="21"/>
        </w:rPr>
        <w:t>1、采购比选文件获取时间：2024年6月2</w:t>
      </w:r>
      <w:r>
        <w:rPr>
          <w:rFonts w:hint="eastAsia" w:asciiTheme="minorEastAsia" w:hAnsiTheme="minorEastAsia" w:eastAsiaTheme="minorEastAsia" w:cstheme="minorEastAsia"/>
          <w:bCs/>
          <w:szCs w:val="21"/>
          <w:lang w:val="en-US" w:eastAsia="zh-CN"/>
        </w:rPr>
        <w:t>6</w:t>
      </w:r>
      <w:r>
        <w:rPr>
          <w:rFonts w:hint="eastAsia" w:asciiTheme="minorEastAsia" w:hAnsiTheme="minorEastAsia" w:eastAsiaTheme="minorEastAsia" w:cstheme="minorEastAsia"/>
          <w:bCs/>
          <w:szCs w:val="21"/>
        </w:rPr>
        <w:t>日00时00分至2024年6月</w:t>
      </w:r>
      <w:r>
        <w:rPr>
          <w:rFonts w:hint="eastAsia" w:asciiTheme="minorEastAsia" w:hAnsiTheme="minorEastAsia" w:eastAsiaTheme="minorEastAsia" w:cstheme="minorEastAsia"/>
          <w:bCs/>
          <w:szCs w:val="21"/>
          <w:lang w:val="en-US" w:eastAsia="zh-CN"/>
        </w:rPr>
        <w:t>30</w:t>
      </w:r>
      <w:r>
        <w:rPr>
          <w:rFonts w:hint="eastAsia" w:asciiTheme="minorEastAsia" w:hAnsiTheme="minorEastAsia" w:eastAsiaTheme="minorEastAsia" w:cstheme="minorEastAsia"/>
          <w:bCs/>
          <w:szCs w:val="21"/>
        </w:rPr>
        <w:t>日24时00分</w:t>
      </w:r>
    </w:p>
    <w:p>
      <w:pPr>
        <w:pStyle w:val="9"/>
        <w:adjustRightInd w:val="0"/>
        <w:snapToGrid w:val="0"/>
        <w:spacing w:line="400" w:lineRule="exact"/>
        <w:ind w:firstLine="420" w:firstLineChars="200"/>
        <w:jc w:val="left"/>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2、采购比选文件获取方式：请有意向参与本项目采购活动的单位在比选公告界面自行下载比选文件。</w:t>
      </w:r>
    </w:p>
    <w:p>
      <w:pPr>
        <w:pStyle w:val="9"/>
        <w:adjustRightInd w:val="0"/>
        <w:snapToGrid w:val="0"/>
        <w:spacing w:line="40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四、响应文件递交截止时间、开标时间及地点</w:t>
      </w:r>
    </w:p>
    <w:p>
      <w:pPr>
        <w:adjustRightInd w:val="0"/>
        <w:snapToGrid w:val="0"/>
        <w:spacing w:line="400" w:lineRule="exact"/>
        <w:ind w:firstLine="420" w:firstLineChars="200"/>
        <w:rPr>
          <w:rFonts w:asciiTheme="minorEastAsia" w:hAnsiTheme="minorEastAsia" w:eastAsiaTheme="minorEastAsia" w:cstheme="minorEastAsia"/>
          <w:bCs/>
          <w:szCs w:val="21"/>
        </w:rPr>
      </w:pPr>
      <w:bookmarkStart w:id="20" w:name="_Toc28359007"/>
      <w:bookmarkStart w:id="21" w:name="_Toc35393794"/>
      <w:bookmarkStart w:id="22" w:name="_Toc35393625"/>
      <w:bookmarkStart w:id="23" w:name="_Toc28359084"/>
      <w:r>
        <w:rPr>
          <w:rFonts w:hint="eastAsia" w:asciiTheme="minorEastAsia" w:hAnsiTheme="minorEastAsia" w:eastAsiaTheme="minorEastAsia" w:cstheme="minorEastAsia"/>
          <w:bCs/>
          <w:szCs w:val="21"/>
        </w:rPr>
        <w:t>1、响应文件递交截止时间: 2024年</w:t>
      </w:r>
      <w:r>
        <w:rPr>
          <w:rFonts w:hint="eastAsia" w:asciiTheme="minorEastAsia" w:hAnsiTheme="minorEastAsia" w:eastAsiaTheme="minorEastAsia" w:cstheme="minorEastAsia"/>
          <w:bCs/>
          <w:szCs w:val="21"/>
          <w:lang w:val="en-US" w:eastAsia="zh-CN"/>
        </w:rPr>
        <w:t>7</w:t>
      </w:r>
      <w:r>
        <w:rPr>
          <w:rFonts w:hint="eastAsia" w:asciiTheme="minorEastAsia" w:hAnsiTheme="minorEastAsia" w:eastAsiaTheme="minorEastAsia" w:cstheme="minorEastAsia"/>
          <w:bCs/>
          <w:szCs w:val="21"/>
        </w:rPr>
        <w:t>月</w:t>
      </w:r>
      <w:r>
        <w:rPr>
          <w:rFonts w:hint="eastAsia" w:asciiTheme="minorEastAsia" w:hAnsiTheme="minorEastAsia" w:eastAsiaTheme="minorEastAsia" w:cstheme="minorEastAsia"/>
          <w:bCs/>
          <w:szCs w:val="21"/>
          <w:lang w:val="en-US" w:eastAsia="zh-CN"/>
        </w:rPr>
        <w:t>1</w:t>
      </w:r>
      <w:r>
        <w:rPr>
          <w:rFonts w:hint="eastAsia" w:asciiTheme="minorEastAsia" w:hAnsiTheme="minorEastAsia" w:eastAsiaTheme="minorEastAsia" w:cstheme="minorEastAsia"/>
          <w:bCs/>
          <w:szCs w:val="21"/>
        </w:rPr>
        <w:t>日下午15：00</w:t>
      </w:r>
    </w:p>
    <w:p>
      <w:pPr>
        <w:adjustRightInd w:val="0"/>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2、开标时间:与响应文件递交截止时间为同一时间；</w:t>
      </w:r>
    </w:p>
    <w:p>
      <w:pPr>
        <w:adjustRightInd w:val="0"/>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3、响应文件递交及开标地点:海口市美兰区江东大道202号海口江东新区管理局B401室；</w:t>
      </w:r>
    </w:p>
    <w:p>
      <w:pPr>
        <w:adjustRightInd w:val="0"/>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4、逾期提交/送达或者未送达指定地点的响应文件，视为无效响应文件不予接收。</w:t>
      </w:r>
    </w:p>
    <w:p>
      <w:pPr>
        <w:pStyle w:val="9"/>
        <w:adjustRightInd w:val="0"/>
        <w:snapToGrid w:val="0"/>
        <w:spacing w:line="40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五、采购信息发布媒体</w:t>
      </w:r>
    </w:p>
    <w:p>
      <w:pPr>
        <w:adjustRightInd w:val="0"/>
        <w:snapToGrid w:val="0"/>
        <w:spacing w:line="400" w:lineRule="exact"/>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1、本项目采购信息指定发布媒体为海口江东新区管理局官网；</w:t>
      </w:r>
    </w:p>
    <w:p>
      <w:pPr>
        <w:pStyle w:val="9"/>
        <w:adjustRightInd w:val="0"/>
        <w:snapToGrid w:val="0"/>
        <w:spacing w:line="400" w:lineRule="exact"/>
        <w:ind w:firstLine="420"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2、有关本项目采购比选文件的补遗、澄清及变更信息以上述网站公告与下载为准，采购比选文件与更正公告的内容相互矛盾时，以最后发出的更正公告内容为准</w:t>
      </w:r>
      <w:r>
        <w:rPr>
          <w:rFonts w:hint="eastAsia" w:asciiTheme="minorEastAsia" w:hAnsiTheme="minorEastAsia" w:eastAsiaTheme="minorEastAsia" w:cstheme="minorEastAsia"/>
          <w:b/>
          <w:szCs w:val="21"/>
        </w:rPr>
        <w:t>。</w:t>
      </w:r>
    </w:p>
    <w:p>
      <w:pPr>
        <w:pStyle w:val="9"/>
        <w:adjustRightInd w:val="0"/>
        <w:snapToGrid w:val="0"/>
        <w:spacing w:line="40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六、公告期限</w:t>
      </w:r>
    </w:p>
    <w:bookmarkEnd w:id="20"/>
    <w:bookmarkEnd w:id="21"/>
    <w:bookmarkEnd w:id="22"/>
    <w:bookmarkEnd w:id="23"/>
    <w:p>
      <w:pPr>
        <w:pStyle w:val="9"/>
        <w:adjustRightInd w:val="0"/>
        <w:snapToGrid w:val="0"/>
        <w:spacing w:line="400" w:lineRule="exact"/>
        <w:ind w:firstLine="420" w:firstLineChars="200"/>
        <w:jc w:val="left"/>
        <w:outlineLvl w:val="0"/>
        <w:rPr>
          <w:rFonts w:asciiTheme="minorEastAsia" w:hAnsiTheme="minorEastAsia" w:eastAsiaTheme="minorEastAsia" w:cstheme="minorEastAsia"/>
          <w:bCs/>
          <w:szCs w:val="21"/>
          <w:lang w:val="zh-CN"/>
        </w:rPr>
      </w:pPr>
      <w:bookmarkStart w:id="24" w:name="_Toc35393626"/>
      <w:bookmarkStart w:id="25" w:name="_Toc35393795"/>
      <w:r>
        <w:rPr>
          <w:rFonts w:hint="eastAsia" w:asciiTheme="minorEastAsia" w:hAnsiTheme="minorEastAsia" w:eastAsiaTheme="minorEastAsia" w:cstheme="minorEastAsia"/>
          <w:bCs/>
          <w:szCs w:val="21"/>
        </w:rPr>
        <w:t>本项目比选公告、采购比选文件公告自本公告发布之日起不少于3个工作日，</w:t>
      </w:r>
      <w:r>
        <w:rPr>
          <w:rFonts w:hint="eastAsia" w:asciiTheme="minorEastAsia" w:hAnsiTheme="minorEastAsia" w:eastAsiaTheme="minorEastAsia" w:cstheme="minorEastAsia"/>
          <w:bCs/>
          <w:szCs w:val="21"/>
          <w:lang w:val="zh-CN"/>
        </w:rPr>
        <w:t>自</w:t>
      </w:r>
      <w:r>
        <w:rPr>
          <w:rFonts w:hint="eastAsia" w:asciiTheme="minorEastAsia" w:hAnsiTheme="minorEastAsia" w:eastAsiaTheme="minorEastAsia" w:cstheme="minorEastAsia"/>
          <w:bCs/>
          <w:szCs w:val="21"/>
        </w:rPr>
        <w:t>2024年6月24日至2024年6月</w:t>
      </w:r>
      <w:r>
        <w:rPr>
          <w:rFonts w:hint="eastAsia" w:asciiTheme="minorEastAsia" w:hAnsiTheme="minorEastAsia" w:eastAsiaTheme="minorEastAsia" w:cstheme="minorEastAsia"/>
          <w:bCs/>
          <w:szCs w:val="21"/>
          <w:lang w:val="en-US" w:eastAsia="zh-CN"/>
        </w:rPr>
        <w:t>30</w:t>
      </w:r>
      <w:r>
        <w:rPr>
          <w:rFonts w:hint="eastAsia" w:asciiTheme="minorEastAsia" w:hAnsiTheme="minorEastAsia" w:eastAsiaTheme="minorEastAsia" w:cstheme="minorEastAsia"/>
          <w:bCs/>
          <w:szCs w:val="21"/>
        </w:rPr>
        <w:t>日</w:t>
      </w:r>
      <w:r>
        <w:rPr>
          <w:rFonts w:hint="eastAsia" w:asciiTheme="minorEastAsia" w:hAnsiTheme="minorEastAsia" w:eastAsiaTheme="minorEastAsia" w:cstheme="minorEastAsia"/>
          <w:bCs/>
          <w:szCs w:val="21"/>
          <w:lang w:val="zh-CN"/>
        </w:rPr>
        <w:t>。</w:t>
      </w:r>
    </w:p>
    <w:bookmarkEnd w:id="24"/>
    <w:bookmarkEnd w:id="25"/>
    <w:p>
      <w:pPr>
        <w:pStyle w:val="9"/>
        <w:adjustRightInd w:val="0"/>
        <w:snapToGrid w:val="0"/>
        <w:spacing w:line="40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七、其他补充事宜：无。</w:t>
      </w:r>
    </w:p>
    <w:bookmarkEnd w:id="16"/>
    <w:bookmarkEnd w:id="17"/>
    <w:bookmarkEnd w:id="18"/>
    <w:bookmarkEnd w:id="19"/>
    <w:p>
      <w:pPr>
        <w:pStyle w:val="9"/>
        <w:adjustRightInd w:val="0"/>
        <w:snapToGrid w:val="0"/>
        <w:spacing w:line="40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八、对本次招标提出询问，请按以下方式联系</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名称：海口江东新区管理局 </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地址： 海口市美兰区江东大道202号海口江东新区管理局B401室</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联系人：朋程</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联系方式：（0898）65686535/（0898）65686381</w:t>
      </w:r>
    </w:p>
    <w:bookmarkEnd w:id="99"/>
    <w:p>
      <w:pPr>
        <w:snapToGrid w:val="0"/>
        <w:spacing w:line="400" w:lineRule="exact"/>
        <w:ind w:firstLine="420" w:firstLineChars="200"/>
        <w:jc w:val="left"/>
        <w:rPr>
          <w:rFonts w:asciiTheme="minorEastAsia" w:hAnsiTheme="minorEastAsia" w:eastAsiaTheme="minorEastAsia" w:cstheme="minorEastAsia"/>
          <w:bCs/>
          <w:szCs w:val="21"/>
        </w:rPr>
        <w:sectPr>
          <w:headerReference r:id="rId7" w:type="first"/>
          <w:footerReference r:id="rId9" w:type="first"/>
          <w:footerReference r:id="rId8"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Cs/>
          <w:szCs w:val="21"/>
        </w:rPr>
        <w:t xml:space="preserve"> </w:t>
      </w:r>
    </w:p>
    <w:p>
      <w:pPr>
        <w:adjustRightInd w:val="0"/>
        <w:snapToGrid w:val="0"/>
        <w:spacing w:line="360" w:lineRule="auto"/>
        <w:jc w:val="center"/>
        <w:rPr>
          <w:rFonts w:ascii="宋体" w:hAnsi="宋体" w:cs="宋体"/>
          <w:b/>
          <w:szCs w:val="21"/>
        </w:rPr>
      </w:pPr>
      <w:r>
        <w:rPr>
          <w:rFonts w:hint="eastAsia" w:ascii="宋体" w:hAnsi="宋体" w:cs="宋体"/>
          <w:b/>
          <w:szCs w:val="21"/>
        </w:rPr>
        <w:t>第二章  采购需求</w:t>
      </w:r>
    </w:p>
    <w:p>
      <w:pPr>
        <w:snapToGrid w:val="0"/>
        <w:spacing w:line="40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一、项目概况</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1、项目名称：2024年-2025年海口江东新区营商环境提升咨询服务采购</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2、项目编号：zfcg-fw-20240424-002</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3、预算金额：98.00万元；</w:t>
      </w:r>
    </w:p>
    <w:p>
      <w:pPr>
        <w:spacing w:line="400" w:lineRule="exact"/>
        <w:ind w:firstLine="420" w:firstLineChars="200"/>
        <w:rPr>
          <w:rFonts w:ascii="宋体" w:hAnsi="宋体"/>
          <w:bCs/>
          <w:szCs w:val="21"/>
        </w:rPr>
      </w:pPr>
      <w:r>
        <w:rPr>
          <w:rFonts w:hint="eastAsia" w:asciiTheme="minorEastAsia" w:hAnsiTheme="minorEastAsia" w:eastAsiaTheme="minorEastAsia" w:cstheme="minorEastAsia"/>
          <w:bCs/>
          <w:szCs w:val="21"/>
        </w:rPr>
        <w:t>4、服务期限：自合同签订起至2025年12月31日止；</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5、服务地点：海口江东新区（采购人指定地点）；</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6、所属行业：其它服务业</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7、付款方式：届时由成交供应商与采购人签订合同；</w:t>
      </w:r>
    </w:p>
    <w:p>
      <w:pPr>
        <w:snapToGrid w:val="0"/>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8、验收标准：按国家行业规范标准及合同要求进行验收。</w:t>
      </w:r>
    </w:p>
    <w:p>
      <w:pPr>
        <w:snapToGrid w:val="0"/>
        <w:spacing w:line="40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二、服务内容</w:t>
      </w:r>
    </w:p>
    <w:p>
      <w:pPr>
        <w:spacing w:line="400" w:lineRule="exact"/>
        <w:ind w:firstLine="422" w:firstLineChars="200"/>
        <w:rPr>
          <w:color w:val="auto"/>
        </w:rPr>
      </w:pPr>
      <w:r>
        <w:rPr>
          <w:rFonts w:hint="eastAsia"/>
          <w:b/>
          <w:bCs/>
          <w:color w:val="auto"/>
        </w:rPr>
        <w:t>（一）对标分析《海口江东新区营商环境示范标杆园区建设行动方案（2024年）》，提出再深化方向及具体举措</w:t>
      </w:r>
    </w:p>
    <w:p>
      <w:pPr>
        <w:spacing w:line="400" w:lineRule="exact"/>
        <w:ind w:firstLine="42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根据海口江东新区工作职责及省市赋予的法定权限，结合省市年度营商环境工作要求及</w:t>
      </w:r>
      <w:r>
        <w:rPr>
          <w:rFonts w:hint="eastAsia"/>
          <w:color w:val="auto"/>
        </w:rPr>
        <w:t>海南省营商环境建设厅“示范标杆园区”创建工作，结合</w:t>
      </w:r>
      <w:r>
        <w:rPr>
          <w:rFonts w:hint="eastAsia" w:asciiTheme="minorEastAsia" w:hAnsiTheme="minorEastAsia" w:eastAsiaTheme="minorEastAsia" w:cstheme="minorEastAsia"/>
          <w:bCs/>
          <w:color w:val="auto"/>
          <w:szCs w:val="21"/>
        </w:rPr>
        <w:t>江东新区发展实际，对标新加坡先进经验、国内先进地区经验和世行B－ready评价体系的10个主要指标领域，对江东新区已制定出台的《海口江东新区营商环境示范标杆园区建设行动方案》及各项任务清单完成情况进行中期评估，围绕江东新区“出形象、聚人气、优服务、强管理”的建设目标，提出年度营商环境建设再提升方向及具体举措，制定完成《海口江东新区营商环境示范标杆园区建设再优化提升行动方案（2024年）》（附四项任务清单）。</w:t>
      </w:r>
    </w:p>
    <w:p>
      <w:pPr>
        <w:spacing w:line="400" w:lineRule="exact"/>
        <w:ind w:firstLine="422" w:firstLineChars="200"/>
        <w:rPr>
          <w:b/>
          <w:bCs/>
          <w:color w:val="auto"/>
        </w:rPr>
      </w:pPr>
      <w:r>
        <w:rPr>
          <w:rFonts w:hint="eastAsia"/>
          <w:b/>
          <w:bCs/>
          <w:color w:val="auto"/>
        </w:rPr>
        <w:t>（二）对标世行B-ready体系和国内外先进地区经验，研究制定《海口江东新区营商环境示范标杆园区建设行动方案（2025）》。</w:t>
      </w:r>
    </w:p>
    <w:p>
      <w:pPr>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围绕江东新区国际化、法治化、便利化营商环境建设，开展2024年江东新区营商环境示范标杆园区建设年度评估工作，出具评估报告（含取得成效及问题建议）。同时对标世行B-ready评价体系的10个主要指标领域、新加坡先进经验及国内先进地区经验，结合省市营商环境建设工作要求及江东新区示范标杆园区建设工作目标，制定完成《海口江东新区营商环境示范标杆园区建设行动方案（2025年）》（附四项任务清单）。</w:t>
      </w:r>
    </w:p>
    <w:p>
      <w:pPr>
        <w:spacing w:line="400" w:lineRule="exact"/>
        <w:ind w:firstLine="422" w:firstLineChars="200"/>
        <w:rPr>
          <w:b/>
          <w:color w:val="auto"/>
        </w:rPr>
      </w:pPr>
      <w:r>
        <w:rPr>
          <w:rFonts w:hint="eastAsia"/>
          <w:b/>
          <w:bCs/>
          <w:color w:val="auto"/>
        </w:rPr>
        <w:t>（三）定期收集国内外营商环境典型经验案例与做法，为江东新区改革创新提供参考。</w:t>
      </w:r>
    </w:p>
    <w:p>
      <w:pPr>
        <w:spacing w:line="400" w:lineRule="exact"/>
        <w:ind w:firstLine="420" w:firstLineChars="200"/>
        <w:rPr>
          <w:b/>
          <w:color w:val="auto"/>
        </w:rPr>
      </w:pPr>
      <w:r>
        <w:rPr>
          <w:rFonts w:hint="eastAsia" w:asciiTheme="minorEastAsia" w:hAnsiTheme="minorEastAsia" w:eastAsiaTheme="minorEastAsia" w:cstheme="minorEastAsia"/>
          <w:bCs/>
          <w:color w:val="auto"/>
          <w:szCs w:val="21"/>
        </w:rPr>
        <w:t>以新加坡为重点学习对象，季度整理其在营商环境中服务企业的工作机制和经验举措，同时关注深圳、上海等先进城市营商环境改革经验动态，季度梳理典型营商环境改革经验举措做法，提出江东新区可借鉴学习的创新举措，汇编成册（共6期）。</w:t>
      </w:r>
    </w:p>
    <w:p>
      <w:pPr>
        <w:pStyle w:val="51"/>
        <w:spacing w:line="400" w:lineRule="exact"/>
        <w:ind w:firstLine="422" w:firstLineChars="200"/>
        <w:jc w:val="both"/>
        <w:rPr>
          <w:rFonts w:ascii="Times New Roman" w:hAnsi="Times New Roman" w:cs="Times New Roman"/>
          <w:b/>
          <w:bCs/>
          <w:color w:val="auto"/>
          <w:kern w:val="2"/>
          <w:sz w:val="21"/>
          <w:lang w:eastAsia="zh-CN"/>
        </w:rPr>
      </w:pPr>
      <w:r>
        <w:rPr>
          <w:rFonts w:hint="eastAsia" w:ascii="Times New Roman" w:hAnsi="Times New Roman" w:cs="Times New Roman"/>
          <w:b/>
          <w:bCs/>
          <w:color w:val="auto"/>
          <w:kern w:val="2"/>
          <w:sz w:val="21"/>
          <w:lang w:eastAsia="zh-CN"/>
        </w:rPr>
        <w:t>三、其他要求</w:t>
      </w:r>
    </w:p>
    <w:p>
      <w:pPr>
        <w:pStyle w:val="51"/>
        <w:spacing w:line="400" w:lineRule="exact"/>
        <w:ind w:firstLine="420" w:firstLineChars="200"/>
        <w:jc w:val="both"/>
        <w:rPr>
          <w:rFonts w:ascii="Times New Roman" w:hAnsi="Times New Roman" w:cs="Times New Roman"/>
          <w:color w:val="auto"/>
          <w:kern w:val="2"/>
          <w:sz w:val="21"/>
          <w:lang w:eastAsia="zh-CN"/>
        </w:rPr>
      </w:pPr>
      <w:r>
        <w:rPr>
          <w:rFonts w:hint="eastAsia" w:ascii="Times New Roman" w:hAnsi="Times New Roman" w:cs="Times New Roman"/>
          <w:color w:val="auto"/>
          <w:kern w:val="2"/>
          <w:sz w:val="21"/>
          <w:lang w:eastAsia="zh-CN"/>
        </w:rPr>
        <w:t>1.如项目实施过程中出现成交供应商不按响应文件或合同内容要求执行，无法满足于项目实施标准要求、偷工减料、降低质量标准、超过服务期等行为，采购人有权终止合同，没收履约保证金，并报政府采购管理部门严肃处理。</w:t>
      </w:r>
    </w:p>
    <w:p>
      <w:pPr>
        <w:pStyle w:val="51"/>
        <w:spacing w:line="400" w:lineRule="exact"/>
        <w:ind w:firstLine="420" w:firstLineChars="200"/>
        <w:jc w:val="both"/>
        <w:rPr>
          <w:rFonts w:ascii="Times New Roman" w:hAnsi="Times New Roman" w:cs="Times New Roman"/>
          <w:color w:val="auto"/>
          <w:kern w:val="2"/>
          <w:sz w:val="21"/>
          <w:lang w:eastAsia="zh-CN"/>
        </w:rPr>
      </w:pPr>
      <w:r>
        <w:rPr>
          <w:rFonts w:hint="eastAsia" w:ascii="Times New Roman" w:hAnsi="Times New Roman" w:cs="Times New Roman"/>
          <w:color w:val="auto"/>
          <w:kern w:val="2"/>
          <w:sz w:val="21"/>
          <w:lang w:eastAsia="zh-CN"/>
        </w:rPr>
        <w:t>2.供应商必须根据所投服务的技术参数、资质资料编写响应文件。在成交结果公示期间，采购人有权对成交人所投服务的技术指标、资质证书资料等进行任何形式的核查，如发现与其响应文件中的描述不一或所提供的材料为虚假材料，采购人有权将此情况报政府采购主管部门，并由其对此情况进行严肃处理。</w:t>
      </w:r>
    </w:p>
    <w:p>
      <w:pPr>
        <w:pStyle w:val="7"/>
        <w:spacing w:after="0" w:line="560" w:lineRule="exact"/>
        <w:ind w:firstLine="420" w:firstLineChars="200"/>
        <w:rPr>
          <w:i/>
          <w:iCs/>
          <w:u w:val="single"/>
        </w:rPr>
        <w:sectPr>
          <w:footerReference r:id="rId10" w:type="default"/>
          <w:pgSz w:w="11906" w:h="16838"/>
          <w:pgMar w:top="1440" w:right="1800" w:bottom="1440" w:left="1800" w:header="794" w:footer="992" w:gutter="0"/>
          <w:cols w:space="425" w:num="1"/>
          <w:docGrid w:type="lines" w:linePitch="312" w:charSpace="0"/>
        </w:sectPr>
      </w:pPr>
      <w:r>
        <w:rPr>
          <w:rFonts w:hint="eastAsia"/>
        </w:rPr>
        <w:t>3.供应商需针对本项目提供对采购项目的执行工作方案。</w:t>
      </w:r>
    </w:p>
    <w:p/>
    <w:p>
      <w:pPr>
        <w:pStyle w:val="15"/>
        <w:ind w:left="0" w:leftChars="0" w:firstLine="0" w:firstLineChars="0"/>
        <w:rPr>
          <w:rFonts w:asciiTheme="minorEastAsia" w:hAnsiTheme="minorEastAsia" w:eastAsiaTheme="minorEastAsia" w:cstheme="minorEastAsia"/>
          <w:b/>
        </w:rPr>
      </w:pPr>
    </w:p>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第三章  供应商须知</w:t>
      </w:r>
    </w:p>
    <w:p>
      <w:pPr>
        <w:adjustRightInd w:val="0"/>
        <w:snapToGrid w:val="0"/>
        <w:spacing w:before="120" w:after="240"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供应商须知前附表</w:t>
      </w:r>
    </w:p>
    <w:tbl>
      <w:tblPr>
        <w:tblStyle w:val="16"/>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pPr>
              <w:pStyle w:val="30"/>
              <w:snapToGrid w:val="0"/>
              <w:spacing w:line="360" w:lineRule="auto"/>
              <w:ind w:left="9"/>
              <w:jc w:val="center"/>
              <w:rPr>
                <w:rFonts w:asciiTheme="minorEastAsia" w:hAnsiTheme="minorEastAsia" w:eastAsiaTheme="minorEastAsia" w:cstheme="minorEastAsia"/>
                <w:b/>
                <w:sz w:val="21"/>
                <w:szCs w:val="21"/>
                <w:lang w:val="zh-CN"/>
              </w:rPr>
            </w:pPr>
            <w:bookmarkStart w:id="26" w:name="_Toc246826106"/>
            <w:r>
              <w:rPr>
                <w:rFonts w:hint="eastAsia" w:asciiTheme="minorEastAsia" w:hAnsiTheme="minorEastAsia" w:eastAsiaTheme="minorEastAsia" w:cstheme="minorEastAsia"/>
                <w:b/>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pPr>
              <w:pStyle w:val="30"/>
              <w:snapToGrid w:val="0"/>
              <w:spacing w:line="360" w:lineRule="auto"/>
              <w:jc w:val="center"/>
              <w:rPr>
                <w:rFonts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pPr>
              <w:pStyle w:val="30"/>
              <w:snapToGrid w:val="0"/>
              <w:spacing w:line="360" w:lineRule="auto"/>
              <w:jc w:val="center"/>
              <w:rPr>
                <w:rFonts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1</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360" w:lineRule="auto"/>
              <w:ind w:left="105" w:leftChars="5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标前现场考察或/和标前答疑会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pPr>
              <w:pStyle w:val="30"/>
              <w:snapToGrid w:val="0"/>
              <w:spacing w:line="360" w:lineRule="auto"/>
              <w:ind w:left="105" w:leftChars="5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pPr>
              <w:pStyle w:val="30"/>
              <w:snapToGrid w:val="0"/>
              <w:spacing w:line="360" w:lineRule="auto"/>
              <w:ind w:left="105" w:leftChars="50"/>
              <w:jc w:val="both"/>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本项目是否接受备选响应方案</w:t>
            </w:r>
          </w:p>
        </w:tc>
        <w:tc>
          <w:tcPr>
            <w:tcW w:w="5220" w:type="dxa"/>
            <w:tcBorders>
              <w:top w:val="single" w:color="auto" w:sz="8" w:space="0"/>
              <w:left w:val="single" w:color="auto" w:sz="8" w:space="0"/>
              <w:bottom w:val="single" w:color="auto" w:sz="8" w:space="0"/>
              <w:right w:val="single" w:color="auto" w:sz="18" w:space="0"/>
            </w:tcBorders>
            <w:vAlign w:val="center"/>
          </w:tcPr>
          <w:p>
            <w:pPr>
              <w:widowControl/>
              <w:tabs>
                <w:tab w:val="left" w:pos="425"/>
              </w:tabs>
              <w:spacing w:line="360" w:lineRule="auto"/>
              <w:ind w:left="210" w:leftChars="100"/>
              <w:jc w:val="left"/>
              <w:rPr>
                <w:rFonts w:asciiTheme="minorEastAsia" w:hAnsiTheme="minorEastAsia" w:eastAsiaTheme="minorEastAsia" w:cstheme="minorEastAsia"/>
                <w:bCs/>
                <w:szCs w:val="21"/>
              </w:rPr>
            </w:pPr>
            <w:r>
              <w:rPr>
                <w:rFonts w:hint="eastAsia" w:ascii="宋体" w:hAnsi="宋体" w:cs="宋体"/>
                <w:bCs/>
                <w:kern w:val="0"/>
                <w:szCs w:val="21"/>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pPr>
              <w:pStyle w:val="30"/>
              <w:snapToGrid w:val="0"/>
              <w:spacing w:line="360" w:lineRule="auto"/>
              <w:ind w:left="105" w:leftChars="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本项目要求</w:t>
            </w:r>
            <w:r>
              <w:rPr>
                <w:rFonts w:hint="eastAsia" w:asciiTheme="minorEastAsia" w:hAnsiTheme="minorEastAsia" w:eastAsiaTheme="minorEastAsia" w:cstheme="minorEastAsia"/>
                <w:bCs/>
                <w:sz w:val="21"/>
                <w:szCs w:val="21"/>
              </w:rPr>
              <w:t>供应商</w:t>
            </w:r>
            <w:r>
              <w:rPr>
                <w:rFonts w:hint="eastAsia" w:asciiTheme="minorEastAsia" w:hAnsiTheme="minorEastAsia" w:eastAsiaTheme="minorEastAsia" w:cstheme="minorEastAsia"/>
                <w:bCs/>
                <w:sz w:val="21"/>
                <w:szCs w:val="21"/>
                <w:lang w:val="zh-CN"/>
              </w:rPr>
              <w:t>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pPr>
              <w:widowControl/>
              <w:tabs>
                <w:tab w:val="left" w:pos="425"/>
              </w:tabs>
              <w:spacing w:line="360" w:lineRule="auto"/>
              <w:ind w:left="210" w:leftChars="100"/>
              <w:jc w:val="left"/>
              <w:rPr>
                <w:rFonts w:ascii="宋体" w:hAnsi="宋体" w:cs="宋体"/>
                <w:bCs/>
                <w:kern w:val="0"/>
                <w:szCs w:val="21"/>
                <w:lang w:val="zh-CN"/>
              </w:rPr>
            </w:pPr>
            <w:r>
              <w:rPr>
                <w:rFonts w:hint="eastAsia" w:ascii="宋体" w:hAnsi="宋体" w:cs="宋体"/>
                <w:bCs/>
                <w:kern w:val="0"/>
                <w:szCs w:val="21"/>
              </w:rPr>
              <w:t>1</w:t>
            </w:r>
            <w:r>
              <w:rPr>
                <w:rFonts w:hint="eastAsia" w:ascii="宋体" w:hAnsi="宋体" w:cs="宋体"/>
                <w:bCs/>
                <w:kern w:val="0"/>
                <w:szCs w:val="21"/>
                <w:lang w:val="zh-CN"/>
              </w:rPr>
              <w:t>、</w:t>
            </w:r>
            <w:r>
              <w:rPr>
                <w:rFonts w:hint="eastAsia" w:ascii="宋体" w:hAnsi="宋体" w:cs="宋体"/>
                <w:bCs/>
                <w:kern w:val="0"/>
                <w:szCs w:val="21"/>
              </w:rPr>
              <w:t>响应</w:t>
            </w:r>
            <w:r>
              <w:rPr>
                <w:rFonts w:hint="eastAsia" w:ascii="宋体" w:hAnsi="宋体" w:cs="宋体"/>
                <w:bCs/>
                <w:kern w:val="0"/>
                <w:szCs w:val="21"/>
                <w:lang w:val="zh-CN"/>
              </w:rPr>
              <w:t>声明函；</w:t>
            </w:r>
          </w:p>
          <w:p>
            <w:pPr>
              <w:widowControl/>
              <w:tabs>
                <w:tab w:val="left" w:pos="425"/>
              </w:tabs>
              <w:spacing w:line="360" w:lineRule="auto"/>
              <w:ind w:left="210" w:leftChars="100"/>
              <w:jc w:val="left"/>
              <w:rPr>
                <w:rFonts w:ascii="宋体" w:hAnsi="宋体" w:cs="宋体"/>
                <w:bCs/>
                <w:kern w:val="0"/>
                <w:szCs w:val="21"/>
                <w:lang w:val="zh-CN"/>
              </w:rPr>
            </w:pPr>
            <w:r>
              <w:rPr>
                <w:rFonts w:hint="eastAsia" w:ascii="宋体" w:hAnsi="宋体" w:cs="宋体"/>
                <w:bCs/>
                <w:kern w:val="0"/>
                <w:szCs w:val="21"/>
                <w:lang w:val="zh-CN"/>
              </w:rPr>
              <w:t>2、法定代表人授权委托书（提供委托代理人的身份证复印件，非中国国籍的则提供护照复印件）（非法定代表人签署响应文件适用）；</w:t>
            </w:r>
          </w:p>
          <w:p>
            <w:pPr>
              <w:widowControl/>
              <w:tabs>
                <w:tab w:val="left" w:pos="425"/>
              </w:tabs>
              <w:spacing w:line="360" w:lineRule="auto"/>
              <w:ind w:left="210" w:leftChars="100"/>
              <w:jc w:val="left"/>
              <w:rPr>
                <w:rFonts w:ascii="宋体" w:hAnsi="宋体" w:cs="宋体"/>
                <w:bCs/>
                <w:kern w:val="0"/>
                <w:szCs w:val="21"/>
                <w:lang w:val="zh-CN"/>
              </w:rPr>
            </w:pPr>
            <w:r>
              <w:rPr>
                <w:rFonts w:hint="eastAsia" w:ascii="宋体" w:hAnsi="宋体" w:cs="宋体"/>
                <w:bCs/>
                <w:kern w:val="0"/>
                <w:szCs w:val="21"/>
                <w:lang w:val="zh-CN"/>
              </w:rPr>
              <w:t>3、法定代表人身份证明书（提供法定代表人身份证复印件，非中国国籍的则提供护照复印件）；</w:t>
            </w:r>
          </w:p>
          <w:p>
            <w:pPr>
              <w:widowControl/>
              <w:tabs>
                <w:tab w:val="left" w:pos="425"/>
              </w:tabs>
              <w:snapToGrid w:val="0"/>
              <w:spacing w:line="360" w:lineRule="auto"/>
              <w:ind w:left="210" w:leftChars="100"/>
              <w:rPr>
                <w:rFonts w:ascii="宋体" w:hAnsi="宋体" w:cs="宋体"/>
                <w:bCs/>
                <w:kern w:val="0"/>
                <w:szCs w:val="21"/>
                <w:lang w:val="zh-CN"/>
              </w:rPr>
            </w:pPr>
            <w:r>
              <w:rPr>
                <w:rFonts w:hint="eastAsia" w:ascii="宋体" w:hAnsi="宋体" w:cs="宋体"/>
                <w:bCs/>
                <w:kern w:val="0"/>
                <w:szCs w:val="21"/>
                <w:lang w:val="zh-CN"/>
              </w:rPr>
              <w:t>4、提供营业执照副本、或事业单位法人证书（事业单位）、或执业许可证（非企业专业服务机构）的复印件；</w:t>
            </w:r>
          </w:p>
          <w:p>
            <w:pPr>
              <w:widowControl/>
              <w:tabs>
                <w:tab w:val="left" w:pos="425"/>
              </w:tabs>
              <w:snapToGrid w:val="0"/>
              <w:spacing w:line="360" w:lineRule="auto"/>
              <w:ind w:left="210" w:leftChars="100"/>
              <w:rPr>
                <w:rFonts w:ascii="宋体" w:hAnsi="宋体" w:cs="宋体"/>
                <w:bCs/>
                <w:kern w:val="0"/>
                <w:szCs w:val="21"/>
                <w:lang w:val="zh-CN"/>
              </w:rPr>
            </w:pPr>
            <w:r>
              <w:rPr>
                <w:rFonts w:hint="eastAsia" w:ascii="宋体" w:hAnsi="宋体" w:cs="宋体"/>
                <w:bCs/>
                <w:kern w:val="0"/>
                <w:szCs w:val="21"/>
                <w:lang w:val="zh-CN"/>
              </w:rPr>
              <w:t>5、</w:t>
            </w:r>
            <w:r>
              <w:rPr>
                <w:rFonts w:hint="eastAsia" w:asciiTheme="minorEastAsia" w:hAnsiTheme="minorEastAsia" w:eastAsiaTheme="minorEastAsia" w:cstheme="minorEastAsia"/>
                <w:bCs/>
                <w:kern w:val="0"/>
                <w:szCs w:val="21"/>
              </w:rPr>
              <w:t>具有良好的商业信誉和健全的财务会计制度、具有履行合同所必需的设备和专业技术能力、有依法缴纳税收和社会保障资金的良好记录及参加政府采购活动前三年内，在经营活动中没有重大违法记录的资格承诺函（详见格式6）；</w:t>
            </w:r>
          </w:p>
          <w:p>
            <w:pPr>
              <w:widowControl/>
              <w:tabs>
                <w:tab w:val="left" w:pos="425"/>
              </w:tabs>
              <w:snapToGrid w:val="0"/>
              <w:spacing w:line="360" w:lineRule="auto"/>
              <w:ind w:left="210" w:leftChars="100"/>
              <w:rPr>
                <w:rFonts w:ascii="宋体" w:hAnsi="宋体" w:cs="宋体"/>
                <w:bCs/>
                <w:kern w:val="0"/>
                <w:szCs w:val="21"/>
                <w:lang w:val="zh-CN"/>
              </w:rPr>
            </w:pPr>
            <w:r>
              <w:rPr>
                <w:rFonts w:hint="eastAsia" w:ascii="宋体" w:hAnsi="宋体" w:cs="宋体"/>
                <w:bCs/>
                <w:kern w:val="0"/>
                <w:szCs w:val="21"/>
              </w:rPr>
              <w:t>6</w:t>
            </w:r>
            <w:r>
              <w:rPr>
                <w:rFonts w:hint="eastAsia" w:ascii="宋体" w:hAnsi="宋体" w:cs="宋体"/>
                <w:bCs/>
                <w:kern w:val="0"/>
                <w:szCs w:val="21"/>
                <w:lang w:val="zh-CN"/>
              </w:rPr>
              <w:t>、资格审查及符合性审查要求提供的其他资料（详见资格审查表及符合性审查表要求）；</w:t>
            </w:r>
          </w:p>
          <w:p>
            <w:pPr>
              <w:widowControl/>
              <w:tabs>
                <w:tab w:val="left" w:pos="425"/>
              </w:tabs>
              <w:snapToGrid w:val="0"/>
              <w:spacing w:line="360" w:lineRule="auto"/>
              <w:ind w:left="210" w:leftChars="100"/>
              <w:rPr>
                <w:rFonts w:ascii="宋体" w:hAnsi="宋体" w:cs="宋体"/>
                <w:bCs/>
                <w:kern w:val="0"/>
                <w:szCs w:val="21"/>
                <w:lang w:val="zh-CN"/>
              </w:rPr>
            </w:pPr>
            <w:r>
              <w:rPr>
                <w:rFonts w:hint="eastAsia" w:ascii="宋体" w:hAnsi="宋体" w:cs="宋体"/>
                <w:bCs/>
                <w:kern w:val="0"/>
                <w:szCs w:val="21"/>
              </w:rPr>
              <w:t>7</w:t>
            </w:r>
            <w:r>
              <w:rPr>
                <w:rFonts w:hint="eastAsia" w:ascii="宋体" w:hAnsi="宋体" w:cs="宋体"/>
                <w:bCs/>
                <w:kern w:val="0"/>
                <w:szCs w:val="21"/>
                <w:lang w:val="zh-CN"/>
              </w:rPr>
              <w:t>、评审标准要求提供的其他资料（详见评审细则要求）；</w:t>
            </w:r>
          </w:p>
          <w:p>
            <w:pPr>
              <w:adjustRightInd w:val="0"/>
              <w:snapToGrid w:val="0"/>
              <w:spacing w:line="360" w:lineRule="auto"/>
              <w:ind w:left="210" w:leftChars="100"/>
              <w:jc w:val="left"/>
              <w:rPr>
                <w:rFonts w:asciiTheme="minorEastAsia" w:hAnsiTheme="minorEastAsia" w:eastAsiaTheme="minorEastAsia" w:cstheme="minorEastAsia"/>
                <w:bCs/>
                <w:kern w:val="0"/>
                <w:szCs w:val="21"/>
                <w:lang w:val="zh-CN"/>
              </w:rPr>
            </w:pPr>
            <w:r>
              <w:rPr>
                <w:rFonts w:hint="eastAsia" w:ascii="宋体" w:hAnsi="宋体" w:cs="宋体"/>
                <w:bCs/>
                <w:kern w:val="0"/>
                <w:szCs w:val="21"/>
              </w:rPr>
              <w:t>8</w:t>
            </w:r>
            <w:r>
              <w:rPr>
                <w:rFonts w:hint="eastAsia" w:ascii="宋体" w:hAnsi="宋体" w:cs="宋体"/>
                <w:bCs/>
                <w:kern w:val="0"/>
                <w:szCs w:val="21"/>
                <w:lang w:val="zh-CN"/>
              </w:rPr>
              <w:t>、</w:t>
            </w:r>
            <w:r>
              <w:rPr>
                <w:rFonts w:hint="eastAsia" w:ascii="宋体" w:hAnsi="宋体" w:cs="宋体"/>
                <w:bCs/>
                <w:kern w:val="0"/>
                <w:szCs w:val="21"/>
              </w:rPr>
              <w:t>供应商</w:t>
            </w:r>
            <w:r>
              <w:rPr>
                <w:rFonts w:hint="eastAsia" w:ascii="宋体" w:hAnsi="宋体" w:cs="宋体"/>
                <w:bCs/>
                <w:kern w:val="0"/>
                <w:szCs w:val="21"/>
                <w:lang w:val="zh-CN"/>
              </w:rPr>
              <w:t>认为需要提供的其他资格证明文件和商务资料。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360" w:lineRule="auto"/>
              <w:ind w:left="105" w:leftChars="5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zh-CN"/>
              </w:rPr>
              <w:t>本项目要求</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bCs/>
                <w:kern w:val="0"/>
                <w:szCs w:val="21"/>
                <w:lang w:val="zh-CN"/>
              </w:rPr>
              <w:t>提供的</w:t>
            </w:r>
            <w:r>
              <w:rPr>
                <w:rFonts w:hint="eastAsia" w:asciiTheme="minorEastAsia" w:hAnsiTheme="minorEastAsia" w:eastAsiaTheme="minorEastAsia" w:cstheme="minorEastAsia"/>
                <w:bCs/>
                <w:kern w:val="0"/>
                <w:szCs w:val="21"/>
              </w:rPr>
              <w:t>响应</w:t>
            </w:r>
            <w:r>
              <w:rPr>
                <w:rFonts w:hint="eastAsia" w:asciiTheme="minorEastAsia" w:hAnsiTheme="minorEastAsia" w:eastAsiaTheme="minorEastAsia" w:cstheme="minorEastAsia"/>
                <w:bCs/>
                <w:szCs w:val="21"/>
                <w:lang w:val="zh-CN"/>
              </w:rPr>
              <w:t>报价文件</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rPr>
              <w:t>1、</w:t>
            </w:r>
            <w:r>
              <w:rPr>
                <w:rFonts w:hint="eastAsia" w:asciiTheme="minorEastAsia" w:hAnsiTheme="minorEastAsia" w:eastAsiaTheme="minorEastAsia" w:cstheme="minorEastAsia"/>
                <w:bCs/>
                <w:kern w:val="0"/>
                <w:szCs w:val="21"/>
                <w:lang w:val="zh-CN"/>
              </w:rPr>
              <w:t>开标一览表</w:t>
            </w:r>
          </w:p>
          <w:p>
            <w:pPr>
              <w:adjustRightInd w:val="0"/>
              <w:snapToGrid w:val="0"/>
              <w:spacing w:line="360" w:lineRule="auto"/>
              <w:ind w:left="105" w:leftChars="5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kern w:val="0"/>
                <w:szCs w:val="21"/>
              </w:rPr>
              <w:t>2、</w:t>
            </w:r>
            <w:r>
              <w:rPr>
                <w:rFonts w:hint="eastAsia" w:asciiTheme="minorEastAsia" w:hAnsiTheme="minorEastAsia" w:eastAsiaTheme="minorEastAsia" w:cstheme="minorEastAsia"/>
                <w:bCs/>
                <w:kern w:val="0"/>
                <w:szCs w:val="21"/>
                <w:lang w:val="zh-CN"/>
              </w:rPr>
              <w:t>报价明细表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pPr>
              <w:pStyle w:val="30"/>
              <w:snapToGrid w:val="0"/>
              <w:spacing w:line="360" w:lineRule="auto"/>
              <w:ind w:left="105" w:leftChars="50"/>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响应</w:t>
            </w:r>
            <w:r>
              <w:rPr>
                <w:rFonts w:hint="eastAsia" w:asciiTheme="minorEastAsia" w:hAnsiTheme="minorEastAsia" w:eastAsiaTheme="minorEastAsia" w:cstheme="minorEastAsia"/>
                <w:bCs/>
                <w:sz w:val="21"/>
                <w:szCs w:val="21"/>
                <w:lang w:val="zh-CN"/>
              </w:rPr>
              <w:t>有效期</w:t>
            </w:r>
          </w:p>
        </w:tc>
        <w:tc>
          <w:tcPr>
            <w:tcW w:w="5220" w:type="dxa"/>
            <w:tcBorders>
              <w:top w:val="single" w:color="auto" w:sz="8" w:space="0"/>
              <w:left w:val="single" w:color="auto" w:sz="8" w:space="0"/>
              <w:bottom w:val="single" w:color="auto" w:sz="8" w:space="0"/>
              <w:right w:val="single" w:color="auto" w:sz="18" w:space="0"/>
            </w:tcBorders>
            <w:vAlign w:val="center"/>
          </w:tcPr>
          <w:p>
            <w:pPr>
              <w:pStyle w:val="30"/>
              <w:snapToGrid w:val="0"/>
              <w:spacing w:line="360" w:lineRule="auto"/>
              <w:ind w:left="105" w:leftChars="50"/>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自响应文件递交截止之日起90天。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9</w:t>
            </w:r>
          </w:p>
        </w:tc>
        <w:tc>
          <w:tcPr>
            <w:tcW w:w="2435" w:type="dxa"/>
            <w:tcBorders>
              <w:top w:val="single" w:color="auto" w:sz="8" w:space="0"/>
              <w:left w:val="single" w:color="auto" w:sz="4" w:space="0"/>
              <w:bottom w:val="single" w:color="auto" w:sz="8" w:space="0"/>
              <w:right w:val="single" w:color="auto" w:sz="8" w:space="0"/>
            </w:tcBorders>
            <w:vAlign w:val="center"/>
          </w:tcPr>
          <w:p>
            <w:pPr>
              <w:pStyle w:val="30"/>
              <w:snapToGrid w:val="0"/>
              <w:spacing w:line="360" w:lineRule="auto"/>
              <w:ind w:left="105" w:leftChars="50"/>
              <w:rPr>
                <w:bCs/>
                <w:kern w:val="2"/>
                <w:sz w:val="21"/>
                <w:szCs w:val="21"/>
              </w:rPr>
            </w:pPr>
            <w:r>
              <w:rPr>
                <w:rFonts w:hint="eastAsia"/>
                <w:bCs/>
                <w:kern w:val="2"/>
                <w:sz w:val="21"/>
                <w:szCs w:val="21"/>
              </w:rPr>
              <w:t>响应</w:t>
            </w:r>
            <w:r>
              <w:rPr>
                <w:rFonts w:hint="eastAsia"/>
                <w:bCs/>
                <w:kern w:val="2"/>
                <w:sz w:val="21"/>
                <w:szCs w:val="21"/>
                <w:lang w:val="zh-CN"/>
              </w:rPr>
              <w:t>保证金</w:t>
            </w:r>
            <w:r>
              <w:rPr>
                <w:rFonts w:hint="eastAsia"/>
                <w:bCs/>
                <w:kern w:val="2"/>
                <w:sz w:val="21"/>
                <w:szCs w:val="21"/>
              </w:rPr>
              <w:t>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6"/>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本项目不收取响应保证金。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snapToGrid w:val="0"/>
              <w:spacing w:line="360" w:lineRule="auto"/>
              <w:ind w:left="9"/>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pPr>
              <w:pStyle w:val="30"/>
              <w:snapToGrid w:val="0"/>
              <w:spacing w:line="360" w:lineRule="auto"/>
              <w:ind w:left="105" w:leftChars="50"/>
              <w:jc w:val="both"/>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响应</w:t>
            </w:r>
            <w:r>
              <w:rPr>
                <w:rFonts w:hint="eastAsia" w:asciiTheme="minorEastAsia" w:hAnsiTheme="minorEastAsia" w:eastAsiaTheme="minorEastAsia" w:cstheme="minorEastAsia"/>
                <w:bCs/>
                <w:sz w:val="21"/>
                <w:szCs w:val="21"/>
                <w:lang w:val="zh-CN"/>
              </w:rPr>
              <w:t>文件份数要求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6"/>
              <w:adjustRightInd w:val="0"/>
              <w:snapToGrid w:val="0"/>
              <w:spacing w:line="360" w:lineRule="auto"/>
              <w:ind w:left="105" w:leftChars="5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 1 \* GB3 \* MERGEFORMAT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szCs w:val="21"/>
              </w:rPr>
              <w:t>①</w:t>
            </w:r>
            <w:r>
              <w:rPr>
                <w:rFonts w:hint="eastAsia" w:asciiTheme="minorEastAsia" w:hAnsiTheme="minorEastAsia" w:eastAsiaTheme="minorEastAsia" w:cstheme="minorEastAsia"/>
                <w:bCs/>
                <w:szCs w:val="21"/>
                <w:lang w:val="zh-CN"/>
              </w:rPr>
              <w:fldChar w:fldCharType="end"/>
            </w:r>
            <w:r>
              <w:rPr>
                <w:rFonts w:hint="eastAsia" w:asciiTheme="minorEastAsia" w:hAnsiTheme="minorEastAsia" w:eastAsiaTheme="minorEastAsia" w:cstheme="minorEastAsia"/>
                <w:bCs/>
                <w:szCs w:val="21"/>
                <w:lang w:val="zh-CN"/>
              </w:rPr>
              <w:t xml:space="preserve">正本壹份  </w:t>
            </w: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 2 \* GB3 \* MERGEFORMAT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szCs w:val="21"/>
              </w:rPr>
              <w:t>②</w:t>
            </w:r>
            <w:r>
              <w:rPr>
                <w:rFonts w:hint="eastAsia" w:asciiTheme="minorEastAsia" w:hAnsiTheme="minorEastAsia" w:eastAsiaTheme="minorEastAsia" w:cstheme="minorEastAsia"/>
                <w:bCs/>
                <w:szCs w:val="21"/>
                <w:lang w:val="zh-CN"/>
              </w:rPr>
              <w:fldChar w:fldCharType="end"/>
            </w:r>
            <w:r>
              <w:rPr>
                <w:rFonts w:hint="eastAsia" w:asciiTheme="minorEastAsia" w:hAnsiTheme="minorEastAsia" w:eastAsiaTheme="minorEastAsia" w:cstheme="minorEastAsia"/>
                <w:bCs/>
                <w:szCs w:val="21"/>
                <w:lang w:val="zh-CN"/>
              </w:rPr>
              <w:t>副本</w:t>
            </w:r>
            <w:r>
              <w:rPr>
                <w:rFonts w:hint="eastAsia" w:asciiTheme="minorEastAsia" w:hAnsiTheme="minorEastAsia" w:eastAsiaTheme="minorEastAsia" w:cstheme="minorEastAsia"/>
                <w:bCs/>
                <w:szCs w:val="21"/>
              </w:rPr>
              <w:t>贰</w:t>
            </w:r>
            <w:r>
              <w:rPr>
                <w:rFonts w:hint="eastAsia" w:asciiTheme="minorEastAsia" w:hAnsiTheme="minorEastAsia" w:eastAsiaTheme="minorEastAsia" w:cstheme="minorEastAsia"/>
                <w:bCs/>
                <w:szCs w:val="21"/>
                <w:lang w:val="zh-CN"/>
              </w:rPr>
              <w:t>份</w:t>
            </w:r>
            <w:r>
              <w:rPr>
                <w:rFonts w:hint="eastAsia" w:asciiTheme="minorEastAsia" w:hAnsiTheme="minorEastAsia" w:eastAsiaTheme="minorEastAsia" w:cstheme="minorEastAsia"/>
                <w:bCs/>
                <w:szCs w:val="21"/>
              </w:rPr>
              <w:t>。</w:t>
            </w:r>
          </w:p>
          <w:p>
            <w:pPr>
              <w:tabs>
                <w:tab w:val="left" w:pos="420"/>
              </w:tabs>
              <w:adjustRightInd w:val="0"/>
              <w:snapToGrid w:val="0"/>
              <w:spacing w:line="360" w:lineRule="auto"/>
              <w:ind w:left="105" w:leftChars="5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rPr>
              <w:t>要求：少于数量要求的响应文件视为无效响应文件。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snapToGrid w:val="0"/>
              <w:spacing w:line="360" w:lineRule="auto"/>
              <w:ind w:left="9"/>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pPr>
              <w:pStyle w:val="30"/>
              <w:snapToGrid w:val="0"/>
              <w:spacing w:line="360" w:lineRule="auto"/>
              <w:ind w:left="105" w:leftChars="50"/>
              <w:jc w:val="both"/>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响应</w:t>
            </w:r>
            <w:r>
              <w:rPr>
                <w:rFonts w:hint="eastAsia" w:asciiTheme="minorEastAsia" w:hAnsiTheme="minorEastAsia" w:eastAsiaTheme="minorEastAsia" w:cstheme="minorEastAsia"/>
                <w:bCs/>
                <w:sz w:val="21"/>
                <w:szCs w:val="21"/>
                <w:lang w:val="zh-CN"/>
              </w:rPr>
              <w:t>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30"/>
              <w:snapToGrid w:val="0"/>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响应文件正本和副本须密封，并在密封处加盖单位公章或法定代表人或其授权代表签名；</w:t>
            </w:r>
          </w:p>
          <w:p>
            <w:pPr>
              <w:pStyle w:val="30"/>
              <w:snapToGrid w:val="0"/>
              <w:spacing w:line="360" w:lineRule="auto"/>
              <w:ind w:left="105" w:leftChars="50"/>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要求：不符合上述密封签章要求的响应文件存在视为无效响应文件风险。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5"/>
              <w:adjustRightInd w:val="0"/>
              <w:snapToGrid w:val="0"/>
              <w:spacing w:line="360" w:lineRule="auto"/>
              <w:ind w:left="9" w:firstLine="0"/>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w:t>
            </w:r>
            <w:r>
              <w:rPr>
                <w:rFonts w:hint="eastAsia" w:asciiTheme="minorEastAsia" w:hAnsiTheme="minorEastAsia" w:eastAsiaTheme="minorEastAsia" w:cstheme="minorEastAsia"/>
                <w:bCs/>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响应文件封套上标示</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    正本（副本）</w:t>
            </w:r>
          </w:p>
          <w:p>
            <w:pPr>
              <w:adjustRightInd w:val="0"/>
              <w:snapToGrid w:val="0"/>
              <w:spacing w:line="360" w:lineRule="auto"/>
              <w:ind w:left="105" w:leftChars="50"/>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bCs/>
                <w:szCs w:val="21"/>
              </w:rPr>
              <w:t>项目名称:</w:t>
            </w:r>
          </w:p>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项目编号：</w:t>
            </w:r>
          </w:p>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供应商的名称（加盖公章）：</w:t>
            </w:r>
          </w:p>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供应商联系人姓名、联系电话：</w:t>
            </w:r>
          </w:p>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于</w:t>
            </w:r>
            <w:r>
              <w:rPr>
                <w:rFonts w:hint="eastAsia" w:asciiTheme="minorEastAsia" w:hAnsiTheme="minorEastAsia" w:eastAsiaTheme="minorEastAsia" w:cstheme="minorEastAsia"/>
                <w:bCs/>
                <w:kern w:val="0"/>
                <w:szCs w:val="21"/>
              </w:rPr>
              <w:t>在2024</w:t>
            </w:r>
            <w:r>
              <w:rPr>
                <w:rFonts w:hint="eastAsia" w:asciiTheme="minorEastAsia" w:hAnsiTheme="minorEastAsia" w:eastAsiaTheme="minorEastAsia" w:cstheme="minorEastAsia"/>
                <w:bCs/>
                <w:kern w:val="0"/>
                <w:szCs w:val="21"/>
                <w:lang w:val="zh-CN"/>
              </w:rPr>
              <w:t>年</w:t>
            </w:r>
            <w:r>
              <w:rPr>
                <w:rFonts w:hint="eastAsia" w:asciiTheme="minorEastAsia" w:hAnsiTheme="minorEastAsia" w:eastAsiaTheme="minorEastAsia" w:cstheme="minorEastAsia"/>
                <w:bCs/>
                <w:kern w:val="0"/>
                <w:szCs w:val="21"/>
                <w:lang w:val="en-US" w:eastAsia="zh-CN"/>
              </w:rPr>
              <w:t>7</w:t>
            </w:r>
            <w:r>
              <w:rPr>
                <w:rFonts w:hint="eastAsia" w:asciiTheme="minorEastAsia" w:hAnsiTheme="minorEastAsia" w:eastAsiaTheme="minorEastAsia" w:cstheme="minorEastAsia"/>
                <w:bCs/>
                <w:kern w:val="0"/>
                <w:szCs w:val="21"/>
                <w:lang w:val="zh-CN"/>
              </w:rPr>
              <w:t>月</w:t>
            </w:r>
            <w:r>
              <w:rPr>
                <w:rFonts w:hint="eastAsia" w:asciiTheme="minorEastAsia" w:hAnsiTheme="minorEastAsia" w:eastAsiaTheme="minorEastAsia" w:cstheme="minorEastAsia"/>
                <w:bCs/>
                <w:kern w:val="0"/>
                <w:szCs w:val="21"/>
                <w:lang w:val="en-US" w:eastAsia="zh-CN"/>
              </w:rPr>
              <w:t>1</w:t>
            </w:r>
            <w:r>
              <w:rPr>
                <w:rFonts w:hint="eastAsia" w:asciiTheme="minorEastAsia" w:hAnsiTheme="minorEastAsia" w:eastAsiaTheme="minorEastAsia" w:cstheme="minorEastAsia"/>
                <w:bCs/>
                <w:kern w:val="0"/>
                <w:szCs w:val="21"/>
                <w:lang w:val="zh-CN"/>
              </w:rPr>
              <w:t>日</w:t>
            </w:r>
            <w:r>
              <w:rPr>
                <w:rFonts w:hint="eastAsia" w:asciiTheme="minorEastAsia" w:hAnsiTheme="minorEastAsia" w:eastAsiaTheme="minorEastAsia" w:cstheme="minorEastAsia"/>
                <w:bCs/>
                <w:kern w:val="0"/>
                <w:szCs w:val="21"/>
              </w:rPr>
              <w:t>15</w:t>
            </w:r>
            <w:r>
              <w:rPr>
                <w:rFonts w:hint="eastAsia" w:asciiTheme="minorEastAsia" w:hAnsiTheme="minorEastAsia" w:eastAsiaTheme="minorEastAsia" w:cstheme="minorEastAsia"/>
                <w:bCs/>
                <w:kern w:val="0"/>
                <w:szCs w:val="21"/>
                <w:lang w:val="zh-CN"/>
              </w:rPr>
              <w:t>时</w:t>
            </w:r>
            <w:r>
              <w:rPr>
                <w:rFonts w:hint="eastAsia" w:asciiTheme="minorEastAsia" w:hAnsiTheme="minorEastAsia" w:eastAsiaTheme="minorEastAsia" w:cstheme="minorEastAsia"/>
                <w:bCs/>
                <w:kern w:val="0"/>
                <w:szCs w:val="21"/>
              </w:rPr>
              <w:t>00</w:t>
            </w:r>
            <w:r>
              <w:rPr>
                <w:rFonts w:hint="eastAsia" w:asciiTheme="minorEastAsia" w:hAnsiTheme="minorEastAsia" w:eastAsiaTheme="minorEastAsia" w:cstheme="minorEastAsia"/>
                <w:bCs/>
                <w:kern w:val="0"/>
                <w:szCs w:val="21"/>
                <w:lang w:val="zh-CN"/>
              </w:rPr>
              <w:t>分前</w:t>
            </w:r>
            <w:r>
              <w:rPr>
                <w:rFonts w:hint="eastAsia" w:asciiTheme="minorEastAsia" w:hAnsiTheme="minorEastAsia" w:eastAsiaTheme="minorEastAsia" w:cstheme="minorEastAsia"/>
                <w:bCs/>
                <w:kern w:val="0"/>
                <w:szCs w:val="21"/>
              </w:rPr>
              <w:t>（开标时间</w:t>
            </w:r>
            <w:r>
              <w:rPr>
                <w:rFonts w:hint="eastAsia" w:asciiTheme="minorEastAsia" w:hAnsiTheme="minorEastAsia" w:eastAsiaTheme="minorEastAsia" w:cstheme="minorEastAsia"/>
                <w:bCs/>
                <w:szCs w:val="21"/>
              </w:rPr>
              <w:t>）不得开启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pPr>
              <w:pStyle w:val="5"/>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w:t>
            </w:r>
          </w:p>
        </w:tc>
        <w:tc>
          <w:tcPr>
            <w:tcW w:w="2435" w:type="dxa"/>
            <w:vAlign w:val="center"/>
          </w:tcPr>
          <w:p>
            <w:pPr>
              <w:pStyle w:val="30"/>
              <w:snapToGrid w:val="0"/>
              <w:spacing w:line="360" w:lineRule="auto"/>
              <w:ind w:left="105" w:leftChars="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参加开标供应商代表身份证明文件</w:t>
            </w:r>
          </w:p>
        </w:tc>
        <w:tc>
          <w:tcPr>
            <w:tcW w:w="5220" w:type="dxa"/>
            <w:vAlign w:val="center"/>
          </w:tcPr>
          <w:p>
            <w:pPr>
              <w:pStyle w:val="30"/>
              <w:snapToGrid w:val="0"/>
              <w:spacing w:line="360" w:lineRule="auto"/>
              <w:ind w:left="105" w:leftChars="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个人身份证（或其他有效证件）复印件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5"/>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w:t>
            </w:r>
          </w:p>
        </w:tc>
        <w:tc>
          <w:tcPr>
            <w:tcW w:w="2435"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开标程序</w:t>
            </w:r>
          </w:p>
        </w:tc>
        <w:tc>
          <w:tcPr>
            <w:tcW w:w="5220" w:type="dxa"/>
            <w:vAlign w:val="center"/>
          </w:tcPr>
          <w:p>
            <w:pPr>
              <w:adjustRightInd w:val="0"/>
              <w:snapToGrid w:val="0"/>
              <w:spacing w:line="360" w:lineRule="auto"/>
              <w:ind w:left="105" w:leftChars="50"/>
              <w:outlineLvl w:val="1"/>
            </w:pPr>
            <w:r>
              <w:rPr>
                <w:rFonts w:hint="eastAsia"/>
              </w:rPr>
              <w:t>1、主持人宣布开标会议开始；</w:t>
            </w:r>
          </w:p>
          <w:p>
            <w:pPr>
              <w:adjustRightInd w:val="0"/>
              <w:snapToGrid w:val="0"/>
              <w:spacing w:line="360" w:lineRule="auto"/>
              <w:ind w:left="105" w:leftChars="50"/>
              <w:outlineLvl w:val="1"/>
            </w:pPr>
            <w:r>
              <w:rPr>
                <w:rFonts w:hint="eastAsia"/>
              </w:rPr>
              <w:t>2、介绍参加开标会议的人员；</w:t>
            </w:r>
          </w:p>
          <w:p>
            <w:pPr>
              <w:adjustRightInd w:val="0"/>
              <w:snapToGrid w:val="0"/>
              <w:spacing w:line="360" w:lineRule="auto"/>
              <w:ind w:left="105" w:leftChars="50"/>
              <w:outlineLvl w:val="1"/>
            </w:pPr>
            <w:r>
              <w:rPr>
                <w:rFonts w:hint="eastAsia"/>
              </w:rPr>
              <w:t>3、宣读开标纪律；</w:t>
            </w:r>
          </w:p>
          <w:p>
            <w:pPr>
              <w:adjustRightInd w:val="0"/>
              <w:snapToGrid w:val="0"/>
              <w:spacing w:line="360" w:lineRule="auto"/>
              <w:ind w:left="105" w:leftChars="50"/>
              <w:outlineLvl w:val="1"/>
            </w:pPr>
            <w:r>
              <w:rPr>
                <w:rFonts w:hint="eastAsia"/>
              </w:rPr>
              <w:t>4、查验各响应文件的密封性并予以确认；</w:t>
            </w:r>
          </w:p>
          <w:p>
            <w:pPr>
              <w:adjustRightInd w:val="0"/>
              <w:snapToGrid w:val="0"/>
              <w:spacing w:line="360" w:lineRule="auto"/>
              <w:ind w:left="105" w:leftChars="50"/>
              <w:outlineLvl w:val="1"/>
            </w:pPr>
            <w:r>
              <w:rPr>
                <w:rFonts w:hint="eastAsia"/>
              </w:rPr>
              <w:t>5、拆封响应文件；</w:t>
            </w:r>
          </w:p>
          <w:p>
            <w:pPr>
              <w:adjustRightInd w:val="0"/>
              <w:snapToGrid w:val="0"/>
              <w:spacing w:line="360" w:lineRule="auto"/>
              <w:ind w:left="105" w:leftChars="50"/>
              <w:outlineLvl w:val="1"/>
            </w:pPr>
            <w:r>
              <w:rPr>
                <w:rFonts w:hint="eastAsia"/>
              </w:rPr>
              <w:t>6、唱标，唱标内容为“开标一览表”所载明的内容；</w:t>
            </w:r>
          </w:p>
          <w:p>
            <w:pPr>
              <w:adjustRightInd w:val="0"/>
              <w:snapToGrid w:val="0"/>
              <w:spacing w:line="360" w:lineRule="auto"/>
              <w:ind w:left="105" w:leftChars="50"/>
              <w:outlineLvl w:val="1"/>
            </w:pPr>
            <w:r>
              <w:rPr>
                <w:rFonts w:hint="eastAsia"/>
              </w:rPr>
              <w:t>7、记录唱标结果及开标过程；</w:t>
            </w:r>
          </w:p>
          <w:p>
            <w:pPr>
              <w:adjustRightInd w:val="0"/>
              <w:snapToGrid w:val="0"/>
              <w:spacing w:line="360" w:lineRule="auto"/>
              <w:ind w:left="105" w:leftChars="50"/>
            </w:pPr>
            <w:r>
              <w:rPr>
                <w:rFonts w:hint="eastAsia"/>
              </w:rPr>
              <w:t>8、主持人宣布开标会议结束。</w:t>
            </w:r>
          </w:p>
          <w:p>
            <w:pPr>
              <w:pStyle w:val="15"/>
              <w:ind w:left="0" w:leftChars="0" w:firstLine="0" w:firstLineChars="0"/>
              <w:rPr>
                <w:rFonts w:eastAsiaTheme="minorEastAsia"/>
              </w:rPr>
            </w:pPr>
            <w:r>
              <w:rPr>
                <w:rFonts w:hint="eastAsia" w:asciiTheme="minorEastAsia" w:hAnsiTheme="minorEastAsia" w:eastAsiaTheme="minorEastAsia" w:cstheme="minorEastAsia"/>
              </w:rPr>
              <w:t>备注：本项目不要求供应商授权代表参与开标会议</w:t>
            </w:r>
            <w:r>
              <w:rPr>
                <w:rFonts w:hint="eastAsia" w:asciiTheme="minorEastAsia" w:hAnsiTheme="minorEastAsia" w:eastAsiaTheme="minorEastAsia" w:cstheme="minorEastAsia"/>
                <w:color w:val="00B0F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5"/>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w:t>
            </w:r>
          </w:p>
        </w:tc>
        <w:tc>
          <w:tcPr>
            <w:tcW w:w="2435"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唱标内容</w:t>
            </w:r>
          </w:p>
        </w:tc>
        <w:tc>
          <w:tcPr>
            <w:tcW w:w="5220"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1、“开标一览表”所载明的内容</w:t>
            </w:r>
          </w:p>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对响应报价若有说明应在开标一览表显著处予以注明，只有开标时唱出的响应价格、价格折扣等内容才会被考虑。供应商若有响应报价、价格折扣等未被唱出的，应在唱标时及时提出。否则，采购人对此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3" w:hRule="atLeast"/>
        </w:trPr>
        <w:tc>
          <w:tcPr>
            <w:tcW w:w="640" w:type="dxa"/>
            <w:vAlign w:val="center"/>
          </w:tcPr>
          <w:p>
            <w:pPr>
              <w:pStyle w:val="5"/>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w:t>
            </w:r>
          </w:p>
        </w:tc>
        <w:tc>
          <w:tcPr>
            <w:tcW w:w="2435"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资格审查</w:t>
            </w:r>
          </w:p>
        </w:tc>
        <w:tc>
          <w:tcPr>
            <w:tcW w:w="5220"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开标结束后，先对供应商的资格进行审查。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pPr>
              <w:pStyle w:val="5"/>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w:t>
            </w:r>
          </w:p>
        </w:tc>
        <w:tc>
          <w:tcPr>
            <w:tcW w:w="2435"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修正内容</w:t>
            </w:r>
          </w:p>
        </w:tc>
        <w:tc>
          <w:tcPr>
            <w:tcW w:w="5220" w:type="dxa"/>
            <w:vAlign w:val="center"/>
          </w:tcPr>
          <w:p>
            <w:pPr>
              <w:adjustRightInd w:val="0"/>
              <w:snapToGrid w:val="0"/>
              <w:spacing w:line="360" w:lineRule="auto"/>
              <w:ind w:left="105" w:leftChars="5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响应文件中开标一览表（报价表）内容与响应文件中相应内容不一致的，以开标一览表（报价表）为准,但价格评审时则以最不利于评审结果的标准取值。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pPr>
              <w:pStyle w:val="5"/>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w:t>
            </w:r>
          </w:p>
        </w:tc>
        <w:tc>
          <w:tcPr>
            <w:tcW w:w="2435" w:type="dxa"/>
            <w:vAlign w:val="center"/>
          </w:tcPr>
          <w:p>
            <w:pPr>
              <w:pStyle w:val="30"/>
              <w:snapToGrid w:val="0"/>
              <w:spacing w:line="360" w:lineRule="auto"/>
              <w:ind w:left="105" w:leftChars="5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评审方法</w:t>
            </w:r>
          </w:p>
        </w:tc>
        <w:tc>
          <w:tcPr>
            <w:tcW w:w="5220" w:type="dxa"/>
            <w:vAlign w:val="center"/>
          </w:tcPr>
          <w:p>
            <w:pPr>
              <w:pStyle w:val="30"/>
              <w:snapToGrid w:val="0"/>
              <w:spacing w:line="360" w:lineRule="auto"/>
              <w:ind w:left="105" w:leftChars="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pPr>
              <w:pStyle w:val="5"/>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w:t>
            </w:r>
          </w:p>
        </w:tc>
        <w:tc>
          <w:tcPr>
            <w:tcW w:w="7655" w:type="dxa"/>
            <w:gridSpan w:val="2"/>
            <w:vAlign w:val="center"/>
          </w:tcPr>
          <w:p>
            <w:pPr>
              <w:pStyle w:val="30"/>
              <w:snapToGrid w:val="0"/>
              <w:spacing w:line="360" w:lineRule="auto"/>
              <w:ind w:left="105" w:leftChars="50"/>
              <w:rPr>
                <w:rFonts w:asciiTheme="minorEastAsia" w:hAnsiTheme="minorEastAsia" w:cstheme="minorEastAsia"/>
                <w:bCs/>
                <w:sz w:val="21"/>
                <w:szCs w:val="21"/>
              </w:rPr>
            </w:pPr>
            <w:r>
              <w:rPr>
                <w:rFonts w:hint="eastAsia" w:asciiTheme="minorEastAsia" w:hAnsiTheme="minorEastAsia" w:eastAsiaTheme="minorEastAsia" w:cstheme="minorEastAsia"/>
                <w:bCs/>
                <w:sz w:val="21"/>
                <w:szCs w:val="21"/>
              </w:rPr>
              <w:t>本项目</w:t>
            </w:r>
            <w:r>
              <w:rPr>
                <w:rFonts w:hint="eastAsia"/>
                <w:sz w:val="21"/>
                <w:szCs w:val="21"/>
              </w:rPr>
              <w:t>对应的中小企业划分标准所属行业：租赁和商业服务业</w:t>
            </w:r>
          </w:p>
        </w:tc>
      </w:tr>
      <w:bookmarkEnd w:id="26"/>
    </w:tbl>
    <w:p>
      <w:pPr>
        <w:adjustRightInd w:val="0"/>
        <w:snapToGrid w:val="0"/>
        <w:spacing w:line="360" w:lineRule="auto"/>
        <w:ind w:firstLine="420" w:firstLineChars="200"/>
        <w:outlineLvl w:val="1"/>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一、总则</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bookmarkStart w:id="27" w:name="_Toc246826115"/>
      <w:r>
        <w:rPr>
          <w:rFonts w:hint="eastAsia" w:asciiTheme="minorEastAsia" w:hAnsiTheme="minorEastAsia" w:eastAsiaTheme="minorEastAsia" w:cstheme="minorEastAsia"/>
          <w:bCs/>
          <w:kern w:val="0"/>
          <w:szCs w:val="21"/>
        </w:rPr>
        <w:t>1、适用范围</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本采购比选文件仅适用于本次比选公告中所述项目的采购。</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2、定义</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本采购比选文件中的下列术语应解释为：</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2.1“采购人”系指本项目的采购人，是依法开展政府采购活动的国家机关、事业单位和团体组织。在履行合同阶段称为甲方或买方。</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bookmarkStart w:id="28" w:name="_Toc267320062"/>
      <w:r>
        <w:rPr>
          <w:rFonts w:hint="eastAsia" w:asciiTheme="minorEastAsia" w:hAnsiTheme="minorEastAsia" w:eastAsiaTheme="minorEastAsia" w:cstheme="minorEastAsia"/>
          <w:bCs/>
          <w:kern w:val="0"/>
          <w:szCs w:val="21"/>
        </w:rPr>
        <w:t>2.2“供应商”系指向采购人提供货物、工程或者服务的法人、其他组织或者自然人。法人的分支机构不得参加政府采购活动，但银行、保险、石油石化、电力、电信等特殊行业除外</w:t>
      </w:r>
      <w:r>
        <w:rPr>
          <w:rFonts w:hint="eastAsia" w:asciiTheme="minorEastAsia" w:hAnsiTheme="minorEastAsia" w:eastAsiaTheme="minorEastAsia" w:cstheme="minorEastAsia"/>
          <w:bCs/>
          <w:szCs w:val="21"/>
          <w:lang w:val="zh-CN"/>
        </w:rPr>
        <w:t>。</w:t>
      </w:r>
      <w:r>
        <w:rPr>
          <w:rFonts w:hint="eastAsia" w:asciiTheme="minorEastAsia" w:hAnsiTheme="minorEastAsia" w:eastAsiaTheme="minorEastAsia" w:cstheme="minorEastAsia"/>
          <w:bCs/>
          <w:kern w:val="0"/>
          <w:szCs w:val="21"/>
        </w:rPr>
        <w:t>在响应阶段称为供应商、供应商，在签订和履行合同阶段称为乙方、卖方或成交供应商。</w:t>
      </w:r>
    </w:p>
    <w:bookmarkEnd w:id="28"/>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3、供应商</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3.1合格供应商条件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szCs w:val="21"/>
          <w:lang w:val="zh-CN"/>
        </w:rPr>
        <w:t>或者</w:t>
      </w:r>
      <w:r>
        <w:rPr>
          <w:rFonts w:hint="eastAsia" w:asciiTheme="minorEastAsia" w:hAnsiTheme="minorEastAsia" w:eastAsiaTheme="minorEastAsia" w:cstheme="minorEastAsia"/>
          <w:bCs/>
          <w:szCs w:val="21"/>
        </w:rPr>
        <w:t>自然人；</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3.1.2符合《政府采购法》第二十二条规定的条件：</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3.1.2.1具有独立承担民事责任的能力；</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tab/>
      </w:r>
      <w:r>
        <w:rPr>
          <w:rFonts w:hint="eastAsia" w:asciiTheme="minorEastAsia" w:hAnsiTheme="minorEastAsia" w:eastAsiaTheme="minorEastAsia" w:cstheme="minorEastAsia"/>
          <w:bCs/>
          <w:kern w:val="0"/>
          <w:szCs w:val="21"/>
        </w:rPr>
        <w:t>3.1.2.1具有良好的商业信誉和健全的财务会计制度；</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tab/>
      </w:r>
      <w:r>
        <w:rPr>
          <w:rFonts w:hint="eastAsia" w:asciiTheme="minorEastAsia" w:hAnsiTheme="minorEastAsia" w:eastAsiaTheme="minorEastAsia" w:cstheme="minorEastAsia"/>
          <w:bCs/>
          <w:kern w:val="0"/>
          <w:szCs w:val="21"/>
        </w:rPr>
        <w:t>3.1.2.1具有履行合同所必需的设备和专业技术能力；</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tab/>
      </w:r>
      <w:r>
        <w:rPr>
          <w:rFonts w:hint="eastAsia" w:asciiTheme="minorEastAsia" w:hAnsiTheme="minorEastAsia" w:eastAsiaTheme="minorEastAsia" w:cstheme="minorEastAsia"/>
          <w:bCs/>
          <w:kern w:val="0"/>
          <w:szCs w:val="21"/>
        </w:rPr>
        <w:t>3.1.2.1有依法缴纳税收和社会保障资金的良好记录；</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tab/>
      </w:r>
      <w:r>
        <w:rPr>
          <w:rFonts w:hint="eastAsia" w:asciiTheme="minorEastAsia" w:hAnsiTheme="minorEastAsia" w:eastAsiaTheme="minorEastAsia" w:cstheme="minorEastAsia"/>
          <w:bCs/>
          <w:kern w:val="0"/>
          <w:szCs w:val="21"/>
        </w:rPr>
        <w:t>3.1.2.1参加政府采购活动前三年内，在经营活动中没有重大违法记录；</w:t>
      </w:r>
    </w:p>
    <w:p>
      <w:pPr>
        <w:adjustRightInd w:val="0"/>
        <w:snapToGrid w:val="0"/>
        <w:spacing w:line="360" w:lineRule="auto"/>
        <w:ind w:firstLine="420" w:firstLineChars="200"/>
        <w:rPr>
          <w:rFonts w:asciiTheme="minorEastAsia" w:hAnsiTheme="minorEastAsia" w:eastAsiaTheme="minorEastAsia" w:cstheme="minorEastAsia"/>
          <w:bCs/>
          <w:szCs w:val="21"/>
        </w:rPr>
      </w:pPr>
      <w:r>
        <w:tab/>
      </w:r>
      <w:r>
        <w:rPr>
          <w:rFonts w:hint="eastAsia" w:asciiTheme="minorEastAsia" w:hAnsiTheme="minorEastAsia" w:eastAsiaTheme="minorEastAsia" w:cstheme="minorEastAsia"/>
          <w:bCs/>
          <w:kern w:val="0"/>
          <w:szCs w:val="21"/>
        </w:rPr>
        <w:t>3.1.2.1法律、行政法规规定的其他条件。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3.1.3满足采购比选文件报价、商务和技术等实质性要求的；</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3.2供应商的风险</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3.2.1供应商没有按照采购比选文件的要求编制、签署、密封、标记、递交及修正响应文件的，或者响应文件没有对采购比选文件在各方面都做出实质性响应的，将导致响应无效。</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3.2.2供应商提交的响应文件内容有下列情形之一的，一经发现，视为无效响应，并依法上报政府采购监督管理部门处理</w:t>
      </w:r>
      <w:r>
        <w:rPr>
          <w:rFonts w:hint="eastAsia" w:asciiTheme="minorEastAsia" w:hAnsiTheme="minorEastAsia" w:eastAsiaTheme="minorEastAsia" w:cstheme="minorEastAsia"/>
          <w:bCs/>
          <w:kern w:val="0"/>
          <w:szCs w:val="21"/>
        </w:rPr>
        <w:t>：</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（1）提供虚假的资料；</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（2）在实质性方面失实；</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3.2.3</w:t>
      </w:r>
      <w:r>
        <w:rPr>
          <w:rFonts w:hint="eastAsia" w:asciiTheme="minorEastAsia" w:hAnsiTheme="minorEastAsia" w:eastAsiaTheme="minorEastAsia" w:cstheme="minorEastAsia"/>
          <w:bCs/>
          <w:szCs w:val="21"/>
        </w:rPr>
        <w:t>供应商享受政策优惠条件但提供的证明（说明）文件或</w:t>
      </w:r>
      <w:r>
        <w:rPr>
          <w:rFonts w:hint="eastAsia"/>
          <w:szCs w:val="21"/>
        </w:rPr>
        <w:t>承诺文件失实的，</w:t>
      </w:r>
      <w:r>
        <w:rPr>
          <w:rFonts w:hint="eastAsia" w:asciiTheme="minorEastAsia" w:hAnsiTheme="minorEastAsia" w:eastAsiaTheme="minorEastAsia" w:cstheme="minorEastAsia"/>
          <w:bCs/>
          <w:szCs w:val="21"/>
        </w:rPr>
        <w:t>视同响应文件提供虚假资料论处。</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4、参与采购活动费用</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4.1无论参与本项目采购活动过程中的做法和结果如何，供应商自行承担所有与参加采购活动有关的全部费用；</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政策优惠条件及要求:根据财政部、工业和信息化部关于《政府采购促进中小企业发展管理办法》（财库〔2020〕46号）、《关于进一步加大政府采购支持中小企业力度的通知》（财库〔2022〕19号）、《海南省财政厅关于进一步加强政府采购支持中小企业发展的通知》（海财采〔2022〕1798号）、《财政部、司法部关于政府采购支持监狱企业发展有关问题的通知》（财库〔2014〕68号）和《财政部、民政部、中国残疾人联合会关于促进残疾人就业政府采购政策的通知》（财库〔2017〕141号）的文件精神，</w:t>
      </w:r>
      <w:r>
        <w:rPr>
          <w:rFonts w:hint="eastAsia" w:hAnsi="宋体" w:cs="宋体"/>
          <w:bCs/>
          <w:szCs w:val="21"/>
        </w:rPr>
        <w:t>本项目专门面对中小微企业采购（监狱企业、残疾人福利性单位视同小型、微型企业）</w:t>
      </w:r>
      <w:r>
        <w:rPr>
          <w:rFonts w:hint="eastAsia" w:hAnsi="宋体" w:cs="宋体"/>
          <w:bCs/>
          <w:color w:val="00B0F0"/>
          <w:szCs w:val="21"/>
        </w:rPr>
        <w:t>。</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6、注意事项</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6.1如果没有特别声明或要求，供应商被视为充分熟悉本采购项目所在地与履行合同有关的各种情况，包括自然环境、气候条件、劳动力及公用设施等，本采购比选文件不再对上述情况进行描述。</w:t>
      </w:r>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29" w:name="_Toc246826107"/>
      <w:bookmarkEnd w:id="29"/>
      <w:r>
        <w:rPr>
          <w:rFonts w:hint="eastAsia" w:asciiTheme="minorEastAsia" w:hAnsiTheme="minorEastAsia" w:eastAsiaTheme="minorEastAsia" w:cstheme="minorEastAsia"/>
          <w:bCs/>
          <w:szCs w:val="21"/>
        </w:rPr>
        <w:t>二、采购比选文件</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7、采购比选文件的组成</w:t>
      </w:r>
    </w:p>
    <w:p>
      <w:pPr>
        <w:pStyle w:val="5"/>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采购比选文件用以阐明供应商准备响应文件所必须的信息，以及开标、评审和签订合同等有关规定。采购比选文件以电子版形式下载，采购比选文件由下述章节组成：</w:t>
      </w:r>
    </w:p>
    <w:p>
      <w:pPr>
        <w:pStyle w:val="5"/>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（1）比选公告</w:t>
      </w:r>
    </w:p>
    <w:p>
      <w:pPr>
        <w:pStyle w:val="5"/>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（2）采购需求</w:t>
      </w:r>
    </w:p>
    <w:p>
      <w:pPr>
        <w:pStyle w:val="5"/>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（3）供应商须知</w:t>
      </w:r>
    </w:p>
    <w:p>
      <w:pPr>
        <w:pStyle w:val="5"/>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（4）评审标准</w:t>
      </w:r>
    </w:p>
    <w:p>
      <w:pPr>
        <w:pStyle w:val="5"/>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（5）采购合同格式</w:t>
      </w:r>
    </w:p>
    <w:p>
      <w:pPr>
        <w:pStyle w:val="5"/>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（6）响应文件格式及附件</w:t>
      </w:r>
    </w:p>
    <w:p>
      <w:pPr>
        <w:tabs>
          <w:tab w:val="left" w:pos="720"/>
        </w:tabs>
        <w:adjustRightInd w:val="0"/>
        <w:snapToGrid w:val="0"/>
        <w:spacing w:line="360" w:lineRule="auto"/>
        <w:ind w:firstLine="420" w:firstLineChars="200"/>
        <w:rPr>
          <w:rFonts w:asciiTheme="minorEastAsia" w:hAnsiTheme="minorEastAsia" w:eastAsiaTheme="minorEastAsia" w:cstheme="minorEastAsia"/>
          <w:bCs/>
          <w:szCs w:val="21"/>
        </w:rPr>
      </w:pPr>
      <w:bookmarkStart w:id="30" w:name="_Toc183682348"/>
      <w:bookmarkEnd w:id="30"/>
      <w:bookmarkStart w:id="31" w:name="_Toc217446040"/>
      <w:bookmarkEnd w:id="31"/>
      <w:bookmarkStart w:id="32" w:name="_Toc183582211"/>
      <w:bookmarkEnd w:id="32"/>
      <w:r>
        <w:rPr>
          <w:rFonts w:hint="eastAsia" w:asciiTheme="minorEastAsia" w:hAnsiTheme="minorEastAsia" w:eastAsiaTheme="minorEastAsia" w:cstheme="minorEastAsia"/>
          <w:bCs/>
          <w:szCs w:val="21"/>
        </w:rPr>
        <w:t>8、采购比选文件的澄清和修改</w:t>
      </w:r>
    </w:p>
    <w:p>
      <w:pPr>
        <w:tabs>
          <w:tab w:val="left" w:pos="720"/>
        </w:tabs>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8.1 在响应文件递交截止时间前，采购人无论出于何种原因，可以对采购比选文件进行澄清或者修改。</w:t>
      </w:r>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33" w:name="_Toc430489120"/>
      <w:bookmarkEnd w:id="33"/>
      <w:bookmarkStart w:id="34" w:name="_Toc415567498"/>
      <w:bookmarkEnd w:id="34"/>
      <w:bookmarkStart w:id="35" w:name="_Toc430488645"/>
      <w:bookmarkEnd w:id="35"/>
      <w:bookmarkStart w:id="36" w:name="_Toc430422414"/>
      <w:bookmarkEnd w:id="36"/>
      <w:bookmarkStart w:id="37" w:name="_Toc430490613"/>
      <w:bookmarkEnd w:id="37"/>
      <w:bookmarkStart w:id="38" w:name="_Toc430488852"/>
      <w:bookmarkEnd w:id="38"/>
      <w:bookmarkStart w:id="39" w:name="_Toc430492127"/>
      <w:bookmarkEnd w:id="39"/>
      <w:r>
        <w:rPr>
          <w:rFonts w:hint="eastAsia" w:asciiTheme="minorEastAsia" w:hAnsiTheme="minorEastAsia" w:eastAsiaTheme="minorEastAsia" w:cstheme="minorEastAsia"/>
          <w:bCs/>
          <w:szCs w:val="21"/>
        </w:rPr>
        <w:t>8.2 采购比选文件的修改</w:t>
      </w:r>
    </w:p>
    <w:p>
      <w:pPr>
        <w:pStyle w:val="9"/>
        <w:adjustRightInd w:val="0"/>
        <w:snapToGrid w:val="0"/>
        <w:spacing w:line="360" w:lineRule="auto"/>
        <w:ind w:firstLine="420" w:firstLineChars="200"/>
        <w:rPr>
          <w:rFonts w:asciiTheme="minorEastAsia" w:hAnsiTheme="minorEastAsia" w:eastAsiaTheme="minorEastAsia" w:cstheme="minorEastAsia"/>
          <w:bCs/>
          <w:szCs w:val="21"/>
        </w:rPr>
      </w:pPr>
      <w:bookmarkStart w:id="40" w:name="_Toc246826109"/>
      <w:bookmarkEnd w:id="40"/>
      <w:bookmarkStart w:id="41" w:name="_Toc245887536"/>
      <w:bookmarkEnd w:id="41"/>
      <w:bookmarkStart w:id="42" w:name="_Toc246825804"/>
      <w:bookmarkEnd w:id="42"/>
      <w:bookmarkStart w:id="43" w:name="_Toc245888275"/>
      <w:bookmarkEnd w:id="43"/>
      <w:bookmarkStart w:id="44" w:name="_Toc217446041"/>
      <w:bookmarkStart w:id="45" w:name="_Toc208848971"/>
      <w:r>
        <w:rPr>
          <w:rFonts w:hint="eastAsia" w:asciiTheme="minorEastAsia" w:hAnsiTheme="minorEastAsia" w:eastAsiaTheme="minorEastAsia" w:cstheme="minorEastAsia"/>
          <w:bCs/>
          <w:szCs w:val="21"/>
        </w:rPr>
        <w:t>（1）在响应文件递交截止时间以前，采购人可主动或依供应商要求澄清或质疑的问题对采购比选文件进行必要的补遗、澄清或修改；</w:t>
      </w:r>
    </w:p>
    <w:p>
      <w:pPr>
        <w:pStyle w:val="9"/>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（2）补遗、澄清或修改内容可能影响响应文件编制的，采购人适当延长响应文件递交截止时间（以公告为准），在此情况下，采购当事人受响应文件递交截止期制约的所有权利和义务均应延长至新的截止日期；</w:t>
      </w:r>
    </w:p>
    <w:p>
      <w:pPr>
        <w:pStyle w:val="9"/>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（3）补遗、澄清或修改后的内容是采购比选文件的组成部分，并对潜在供应商具有约束力。有关</w:t>
      </w:r>
      <w:r>
        <w:rPr>
          <w:rFonts w:hint="eastAsia" w:asciiTheme="minorEastAsia" w:hAnsiTheme="minorEastAsia" w:eastAsiaTheme="minorEastAsia" w:cstheme="minorEastAsia"/>
          <w:bCs/>
          <w:spacing w:val="-8"/>
          <w:szCs w:val="21"/>
        </w:rPr>
        <w:t>本项目采购比选文件的补遗、澄清及变更信息以第一章指定网站公告及下载内容为准，</w:t>
      </w:r>
      <w:r>
        <w:rPr>
          <w:rFonts w:hint="eastAsia" w:asciiTheme="minorEastAsia" w:hAnsiTheme="minorEastAsia" w:eastAsiaTheme="minorEastAsia" w:cstheme="minorEastAsia"/>
          <w:bCs/>
          <w:szCs w:val="21"/>
        </w:rPr>
        <w:t>采购人不再另行通知，潜在供应商须及时关注关于本项目采购信息的更新事项，否则自行承担由此产生的风险。采购比选文件与更正公告的内容相互矛盾时，以最后发出的更正公告为准。</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9、其他</w:t>
      </w:r>
    </w:p>
    <w:bookmarkEnd w:id="44"/>
    <w:bookmarkEnd w:id="45"/>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9.1标前答疑会和现场考察</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9.1.1供应商须知前附表规定组织答疑会或/和现场考察的，采购人按供应商须知前附表规定的时间、地点组织答疑会或/和供应商考察项目现场，供应商如不参加的，其风险由供应商自行承担，采购人不承担任何责任。采购人不组织现场考察的，供应商可以自行决定是否考察现场。</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9.1.2答疑会上，采购人将解答供应商的疑问。会上所有的解答与说明仅供供应商编制响应文件时参考，采购人不对供应商据此作出的判断和决策负责。</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9.1.3采购人在考察现场中口头介绍的情况（如有），供供应商在编制响应文件时参考，采购人不对供应商据此作出的判断和决策负责。</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9.1.4采购人不单独或者分别组织只有1个供应商参加的现场考察及标前答疑会。</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9.1.5供应商自行承担参加答疑或现场考察所发生的一切费用。</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9.2述标和/或演示</w:t>
      </w:r>
    </w:p>
    <w:p>
      <w:pPr>
        <w:pStyle w:val="5"/>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具体要求详见第二章“采购需求”和/或“供应商须知前附表”有关规定。</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46" w:name="_Toc246826110"/>
      <w:bookmarkEnd w:id="46"/>
      <w:r>
        <w:rPr>
          <w:rFonts w:hint="eastAsia" w:asciiTheme="minorEastAsia" w:hAnsiTheme="minorEastAsia" w:eastAsiaTheme="minorEastAsia" w:cstheme="minorEastAsia"/>
          <w:bCs/>
          <w:szCs w:val="21"/>
        </w:rPr>
        <w:t>三、响应文件的编写</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 响应文件的编制要求：供应商应当根据采购比选文件的要求编制响应文件（包括签名和盖章），否则自行承担由此产生的风险。</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10.1供应商应当根据自己的商务能力、技术水平对采购比选文件提出的要求和条件逐条标明响应与否。如果因为响应文件填报的内容不详，或没有提供采购比选文件中所要求的全部资料及数据，则供应商自行承担由此产生的风险。</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10.2供应商提供的文件必须真实、充分、全面，并对响应文件所提供全部资料的真实性和合法性承担法律责任。</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10.3每一单项服务项目只允许有一个报价，否则将被视为无效响应。</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10.4只允许供应商有一个响应方案，否则将被视为无效响应（采购比选文件允许有备选方案的除外）。</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10.5 供应商根据采购比选文件载明的采购项目实际情况，拟在成交后将成交项目的非主体、非关键性工作交由他人完成的，应当在响应文件中载明。</w:t>
      </w:r>
    </w:p>
    <w:p>
      <w:pPr>
        <w:pStyle w:val="6"/>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10.6响应文件的正本、副本的数量应当符合采购比选文件的要求。</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10.7响应文件必须编页码，页码必须连续。</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10.8响应文件应装订牢固不可拆卸（如：胶订），如因装订不牢固导致的任何损失及风险由供应商承担。</w:t>
      </w:r>
    </w:p>
    <w:p>
      <w:pPr>
        <w:pStyle w:val="9"/>
        <w:tabs>
          <w:tab w:val="left" w:pos="8360"/>
        </w:tabs>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 响应文件语言、货物及计量单位</w:t>
      </w:r>
    </w:p>
    <w:p>
      <w:pPr>
        <w:pStyle w:val="9"/>
        <w:tabs>
          <w:tab w:val="left" w:pos="8360"/>
        </w:tabs>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11.1除采购比选文件中另有规定外，供应商提交的响应文件及其与采购人所有来往文件均应使用中文，若有不同文本，以中文文本为准。非中文的响应文件内容应翻译成中文。</w:t>
      </w:r>
    </w:p>
    <w:p>
      <w:pPr>
        <w:pStyle w:val="9"/>
        <w:tabs>
          <w:tab w:val="left" w:pos="8360"/>
        </w:tabs>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11.2货币单位：本次采购项目的响应均以人民币报价。</w:t>
      </w:r>
    </w:p>
    <w:p>
      <w:pPr>
        <w:pStyle w:val="9"/>
        <w:tabs>
          <w:tab w:val="left" w:pos="8360"/>
        </w:tabs>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11.3计量单位：除采购比选文件中另有规定外，供应商在响应文件中及其与采购人所有往来文件中所使用的计量单位均应采用中华人民共和国法定计量单位。</w:t>
      </w:r>
    </w:p>
    <w:p>
      <w:pPr>
        <w:pStyle w:val="9"/>
        <w:tabs>
          <w:tab w:val="left" w:pos="8360"/>
        </w:tabs>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响应文件的组成：由商务部分、技术部分、价格部分以及其他部分组成。所有证明材料、说明文件、响应要求详见“供应商须知前附表”的具体要求，供应商不提供或不按要求提供的则自行承担由此产生的风险。</w:t>
      </w:r>
    </w:p>
    <w:p>
      <w:pPr>
        <w:pStyle w:val="8"/>
        <w:adjustRightInd w:val="0"/>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12.1响应文件的商务部分</w:t>
      </w:r>
    </w:p>
    <w:p>
      <w:pPr>
        <w:pStyle w:val="8"/>
        <w:adjustRightInd w:val="0"/>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12.1.1 商务部分是证明供应商是合格的，并且在成交后有能力履行合同的证明文件，这些文件可以是但不限于文字资料、证书复印件和数据报表等。</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12.1.2 不满足商务部分实质性要求的将视为无效响应。</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12.2 响应文件的技术部分</w:t>
      </w:r>
    </w:p>
    <w:p>
      <w:pPr>
        <w:pStyle w:val="8"/>
        <w:adjustRightInd w:val="0"/>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是证明响应的技术（服务）标准以及配套/辅助服务标准是符合国家或/和行业的强制标准（包括但不限于经营许可或质量标准等），并符合采购比选文件要求的证明文件，这些文件可以是但不限于文字资料、图片和数据等。</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12.3 响应文件的价格部分 </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价格部分是供应商对响应服务以及配套所需设施设备等价格的构成所作的说明。该响应总价是供应商在可独立履行项目合同义务，通过准确核算，可满足预期实施效果、验收标准和符合自身合法利益的前提下所作出的综合性合理报价。对在采购比选文件和合同书中未有明确列述、市场剧变因素、应预见和不可预见的费用等均视为已完全考虑到并包括在响应报价之内；该响应总价不得高于预算金额或最高限价，且须是本项目服务期限内所有服务费用的总和，否则视为无效响应。</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12.4 响应文件的其他部分</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其他部分由供应商根据编制响应文件需要提供的其他相关文件组成。</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13、响应有效期</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13.1 响应文件从“供应商须知前附表”所规定的响应文件递交截止期之后开始生效，在“供应商须知前附表”所规定的响应有效期期限内保持有效。有效期不足将导致其响应无效。</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13.2 特殊情况下采购人可于响应有效期满之前书面要求供应商同意延长有效期，供应商应在采购人规定的期限内以书面形式予以答复，供应商答复不明确或者逾期未答复的，均视为拒绝上述要求。供应商拒绝上述要求的，其响应保证金（如有）可按规定予以退还。对于接受该要求的供应商，既不要求也不允许其修改响应文件，但将要求其相应延长响应保证金有效期，有关退还和不予退还响应保证金的规定在响应有效期延长期内继续有效。同意响应有效期延长的，如提交的保证金为保函，应对保函做相应延长，供应商自行承担由此产生的费用；同意响应有效期延长的供应商不足三家的，予以废标。不同意延长响应有效期的，响应有效期满自动失效。</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14、响应保证金</w:t>
      </w:r>
    </w:p>
    <w:p>
      <w:pPr>
        <w:pStyle w:val="15"/>
        <w:ind w:left="0" w:leftChars="0" w:firstLineChars="0"/>
        <w:rPr>
          <w:rFonts w:eastAsiaTheme="minorEastAsia"/>
        </w:rPr>
      </w:pPr>
      <w:r>
        <w:rPr>
          <w:rFonts w:hint="eastAsia" w:asciiTheme="minorEastAsia" w:hAnsiTheme="minorEastAsia" w:eastAsiaTheme="minorEastAsia" w:cstheme="minorEastAsia"/>
        </w:rPr>
        <w:t>本项目不要求提交响应保证金。</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 响应文件的格式及签署</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15.1响应文件正本壹份，副本肆份。正本、副本必须打印装订，副本可以用正本的完整复印件，并在封面标明“正本”、“副本”字样。正本与副本如有不一致，则以正本为准。</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15.2响应文件应当由供应商的法定代表人或经其正式授权的代表签字，授权代表须出具书面的法定代表人授权委托书并附载响应文件中，否则视为无效响应文件；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15.3响应文件所使用的印章必须为单位公章，且与供应商单位名称完全一致，不能以其他业务章或附属机构印章代替，否则视为无效响应文件；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15.4响应文件中的任何行间插字，涂改和增删，须由法定代表人或经其正式授权的代表在旁边签字方可有效；</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15.5供应商应按照采购比选文件第六章中提供的“响应文件格式”编制响应文件，如自有格式并按其格式编制的响应文件，其内容必须包含“响应文件格式”中所有的实质性内容并受其约束。</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15.6供应商须将响应文件的商务部分、技术部分和价格部分整合为一份响应文件，并制作详细目录、页码索引。</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15.7响应文件因字迹潦草或表达不清所引起的后果由供应商负责。</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47" w:name="_Toc246826111"/>
      <w:bookmarkEnd w:id="47"/>
      <w:r>
        <w:rPr>
          <w:rFonts w:hint="eastAsia" w:asciiTheme="minorEastAsia" w:hAnsiTheme="minorEastAsia" w:eastAsiaTheme="minorEastAsia" w:cstheme="minorEastAsia"/>
          <w:bCs/>
          <w:szCs w:val="21"/>
        </w:rPr>
        <w:t>四、响应文件的提交</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16.响应文件的密封和递交</w:t>
      </w:r>
    </w:p>
    <w:p>
      <w:pPr>
        <w:pStyle w:val="6"/>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16.1 供应商应将纸质版响应文件密封提交，响应文件密封袋上标示“供应商须知前附表”所规定的内容。</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16.2供应商应将响应文件按照本须知正文第16.1条的规定进行密封和标记后，按第一章/比选公告注明的递交响应文件地址送至指定地点。</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16.3如果未按上述规定进行密封和标记，采购人将不承担由此造成的对响应文件的误投或提前拆封的责任。</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16.4响应文件应在第一章比选公告中所规定的响应文件递交截止时间前送达，迟到的响应文件为无效响应文件, 将被拒收；未按照采购比选文件要求密封的响应文件将被拒收。</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48" w:name="_Toc183582228"/>
      <w:bookmarkStart w:id="49" w:name="_Toc183682365"/>
      <w:bookmarkStart w:id="50" w:name="_Toc217446055"/>
      <w:r>
        <w:rPr>
          <w:rFonts w:hint="eastAsia" w:asciiTheme="minorEastAsia" w:hAnsiTheme="minorEastAsia" w:eastAsiaTheme="minorEastAsia" w:cstheme="minorEastAsia"/>
          <w:bCs/>
          <w:szCs w:val="21"/>
        </w:rPr>
        <w:t>16.5 邮寄送达的响应文件应按要求密封完整，否决采购人有权拒收其响应文件。</w:t>
      </w:r>
    </w:p>
    <w:bookmarkEnd w:id="48"/>
    <w:bookmarkEnd w:id="49"/>
    <w:bookmarkEnd w:id="50"/>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17.响应文件的修改和撤回</w:t>
      </w:r>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51" w:name="_Toc246826112"/>
      <w:r>
        <w:rPr>
          <w:rFonts w:hint="eastAsia" w:asciiTheme="minorEastAsia" w:hAnsiTheme="minorEastAsia" w:eastAsiaTheme="minorEastAsia" w:cstheme="minorEastAsia"/>
          <w:bCs/>
          <w:szCs w:val="21"/>
        </w:rPr>
        <w:t>17.l 供应商在提交响应文件后可对其进行修改或撤回，但必须使采购人在响应文件递交截止时间前收到该修改的书面内容或撤回的书面通知。</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17.2 响应文件的修改文件应按第15条规定签署，并按第 16.1条规定盖章及标记，还须注明“修改响应文件”和“开标前不得启封”字样。修改文件须在响应文件递交截止时间前送达规定的地点。上述补充或修改若涉及响应报价，必须注明“最终唯一报价”字样，否则将视为有选择的报价。</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17.3 供应商不得在响应文件递交截止时间以后修改或/和撤回响应文件。</w:t>
      </w:r>
    </w:p>
    <w:bookmarkEnd w:id="51"/>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五、开标与评审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18．开标</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18.1 在第一章比选公告所规定的开标时间和地点开标。开标由采购人内部自行召开，供应商可自愿参与参加开标会议。</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18.2开标时，参加开标会议的供应商法定代表人或法人授权的代表须携带个人身份证（或其他有效证件）复印件和授权委托书原件亲自出席开标会并确认开标情况。如果不参加开标会议的，则视为认可开标情况。</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18.3 开标时，由采购人检查响应文件的密封情况，对密封等情形予以确认。</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18.4开标程序详见“供应商须知前附表”。</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18.5唱标要求详见“供应商须知前附表”。</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18.6资格审查：开标结束后，先对供应商的资格进行审查，以确定其是否具备合格的供应商资格。依据法律法规和采购比选文件的规定，资格审查内容是指采购比选文件对供应商的资格要求等内容，详见《资格审查表》。</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19、评审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19.1评审委员会</w:t>
      </w:r>
    </w:p>
    <w:p>
      <w:pPr>
        <w:pStyle w:val="6"/>
        <w:adjustRightInd w:val="0"/>
        <w:snapToGrid w:val="0"/>
        <w:spacing w:line="360" w:lineRule="auto"/>
        <w:ind w:firstLine="420" w:firstLineChars="200"/>
        <w:rPr>
          <w:rFonts w:asciiTheme="minorEastAsia" w:hAnsiTheme="minorEastAsia" w:eastAsiaTheme="minorEastAsia" w:cstheme="minorEastAsia"/>
          <w:bCs/>
          <w:color w:val="00B0F0"/>
          <w:szCs w:val="21"/>
        </w:rPr>
      </w:pPr>
      <w:r>
        <w:rPr>
          <w:rFonts w:hint="eastAsia" w:asciiTheme="minorEastAsia" w:hAnsiTheme="minorEastAsia" w:eastAsiaTheme="minorEastAsia" w:cstheme="minorEastAsia"/>
          <w:bCs/>
          <w:szCs w:val="21"/>
        </w:rPr>
        <w:t>19.1.1评审委员会由采购人各部门代表3人以上单数。</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19.1.2评审委员会成员与供应商有下列利害关系之一的，应当回避：</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（1）参加采购活动前3年内与供应商存在劳动关系；</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（2）参加采购活动前3年内担任供应商的董事、监事；</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（3）参加采购活动前3年内是供应商的控股股东或者实际控制人；</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（4）与供应商的法定代表人或者负责人有夫妻、直系血亲、三代以内旁系血亲或者近姻亲关系；</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（5）与供应商有其他可能影响政府采购活动公平、公正进行的关系。</w:t>
      </w:r>
    </w:p>
    <w:p>
      <w:pPr>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宋体" w:hAnsi="宋体" w:cs="宋体"/>
          <w:bCs/>
          <w:szCs w:val="21"/>
        </w:rPr>
        <w:t>供应商认为评审委员会成员与其他供应商有利害关系的，可以向采购人书面提出回避申请，并说明理由。采购人应当及时询问被申请回避人员，有利害关系的被申请回避人员应当回避。评审专家发现本人与参加采购活动的供应商有利害关系的，应当主动提出回避。</w:t>
      </w:r>
    </w:p>
    <w:p>
      <w:pPr>
        <w:pStyle w:val="6"/>
        <w:adjustRightInd w:val="0"/>
        <w:snapToGrid w:val="0"/>
        <w:spacing w:line="360" w:lineRule="auto"/>
        <w:ind w:firstLine="420" w:firstLineChars="200"/>
        <w:rPr>
          <w:rFonts w:ascii="宋体" w:hAnsi="宋体" w:cs="宋体"/>
          <w:bCs/>
          <w:szCs w:val="21"/>
        </w:rPr>
      </w:pPr>
      <w:r>
        <w:rPr>
          <w:rFonts w:hint="eastAsia" w:asciiTheme="minorEastAsia" w:hAnsiTheme="minorEastAsia" w:eastAsiaTheme="minorEastAsia" w:cstheme="minorEastAsia"/>
          <w:bCs/>
          <w:szCs w:val="21"/>
        </w:rPr>
        <w:t>19.1.3</w:t>
      </w:r>
      <w:r>
        <w:rPr>
          <w:rFonts w:hint="eastAsia" w:ascii="宋体" w:hAnsi="宋体" w:cs="宋体"/>
          <w:bCs/>
          <w:szCs w:val="21"/>
        </w:rPr>
        <w:t>评审委员会将严格遵守评审工作纪律，按照客观、公正、审慎的原则，根据采购比选文件规定的评审程序、评审方法和评审标准进行独立评审。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 响应文件的评审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19.2.1 要求</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审委员会对所有供应商的评审，都采用相同的程序和标准并严格按照采购比选文件的要求和条件进行。评审委员会决定响应文件实质性响应与否只根据响应文件本身的内容，以及述标和/或演示内容（如果有），而不寻求其他的外部证据。</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19.2.2 符合性审查：依据采购比选文件的规定，评审委员会将从响应文件的有效性、完整性和对采购比选文件的响应程度进行审查，以确定是否符合对采购比选文件的实质性要求作出响应。</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19.2.3 响应文件的澄清 </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19.2.3．1对响应文件中含义不明确、同类问题表述不一致或者有明显文字和计算错误的内容，评审委员会应当以书面形式要求供应商作出必要的澄清、说明或者补正。供应商的澄清、说明或者补正应当在评审委员会规定的时间内以书面形式作出，并加盖公章，或者由法定代表人或者其授权代表签字。供应商的澄清、说明或者补正不得超出响应文件的范围或者改变响应文件的实质性内容。</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19.2.3.2算术错误将按以下方法更正：</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（1）响应文件中开标一览表（报价表）内容与响应文件中相应内容不一致的，以开标一览表（报价表）为准；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（2）大写金额和小写金额不一致的，以大写金额为准；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（3）单价金额小数点或者百分比有明显错位的，以开标一览表的总价为准，并修改单价；</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（4）总价金额与按单价汇总金额不一致的，以单价金额计算结果为准；同时出现两种以上不一致的，按照前款规定的顺序修正。修正后的报价经供应商确认后产生约束力，供应商不确认的，其响应无效。</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19.2.4 比较与评价</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19.2.4.1 评审委员会将按第四章所规定的评审标准，对资格性审查和符合性检查合格的响应文件进行评审。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19.2.4.2 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经评审委员会投票认定，超过半数将以无效响应处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19.2.5有下列情形之一的，视为供应商串通谋取成交，其响应无效：</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（一）不同供应商的响应文件由同一单位或者个人编制；</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（二）不同供应商委托同一单位或者个人办理响应事宜；</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（三）不同供应商的响应文件载明的项目管理成员或者联系人员为同一人；</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（四）不同供应商的响应文件异常一致或者响应报价呈规律性差异；</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（五）不同供应商的响应文件相互混装。</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52" w:name="_Toc217446072"/>
      <w:bookmarkEnd w:id="52"/>
      <w:r>
        <w:rPr>
          <w:rFonts w:hint="eastAsia" w:asciiTheme="minorEastAsia" w:hAnsiTheme="minorEastAsia" w:eastAsiaTheme="minorEastAsia" w:cstheme="minorEastAsia"/>
          <w:bCs/>
          <w:szCs w:val="21"/>
        </w:rPr>
        <w:t>20、废标的情形</w:t>
      </w:r>
    </w:p>
    <w:p>
      <w:pPr>
        <w:pStyle w:val="5"/>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招标采购中，出现下列情形之一的，予以废标：</w:t>
      </w:r>
    </w:p>
    <w:p>
      <w:pPr>
        <w:pStyle w:val="5"/>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（1）出现影响采购公正的违法、违规行为的；</w:t>
      </w:r>
    </w:p>
    <w:p>
      <w:pPr>
        <w:pStyle w:val="5"/>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（2）供应商的报价均超过了预算，采购人不能支付的；</w:t>
      </w:r>
    </w:p>
    <w:p>
      <w:pPr>
        <w:pStyle w:val="5"/>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（3）因重大变故，采购任务取消的。</w:t>
      </w:r>
    </w:p>
    <w:p>
      <w:pPr>
        <w:pStyle w:val="5"/>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废标后，采购人将在指定网站发布废标公告。</w:t>
      </w:r>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53" w:name="_Toc179632594"/>
      <w:bookmarkEnd w:id="53"/>
      <w:bookmarkStart w:id="54" w:name="_Toc144974544"/>
      <w:bookmarkEnd w:id="54"/>
      <w:bookmarkStart w:id="55" w:name="_Toc247085734"/>
      <w:bookmarkEnd w:id="55"/>
      <w:bookmarkStart w:id="56" w:name="_Toc152042352"/>
      <w:bookmarkEnd w:id="56"/>
      <w:bookmarkStart w:id="57" w:name="_Toc246996963"/>
      <w:bookmarkEnd w:id="57"/>
      <w:bookmarkStart w:id="58" w:name="_Toc152045576"/>
      <w:bookmarkEnd w:id="58"/>
      <w:bookmarkStart w:id="59" w:name="_Toc296602463"/>
      <w:bookmarkEnd w:id="59"/>
      <w:bookmarkStart w:id="60" w:name="_Toc246996220"/>
      <w:bookmarkEnd w:id="60"/>
      <w:r>
        <w:rPr>
          <w:rFonts w:hint="eastAsia" w:asciiTheme="minorEastAsia" w:hAnsiTheme="minorEastAsia" w:eastAsiaTheme="minorEastAsia" w:cstheme="minorEastAsia"/>
          <w:bCs/>
          <w:szCs w:val="21"/>
        </w:rPr>
        <w:t>21.1对供应商的纪律要求</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供应商不得相互串通或者与采购人串通谋取成交，不得评审委员会成员行贿谋取谋取成交，不得以他人名义响应或者以其他方式弄虚作假骗取成交；供应商不得以任何方式干扰、影响评审工作。</w:t>
      </w:r>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61" w:name="_Toc179632595"/>
      <w:bookmarkEnd w:id="61"/>
      <w:bookmarkStart w:id="62" w:name="_Toc246996964"/>
      <w:bookmarkEnd w:id="62"/>
      <w:bookmarkStart w:id="63" w:name="_Toc246996221"/>
      <w:bookmarkEnd w:id="63"/>
      <w:bookmarkStart w:id="64" w:name="_Toc152045577"/>
      <w:bookmarkEnd w:id="64"/>
      <w:bookmarkStart w:id="65" w:name="_Toc247085735"/>
      <w:bookmarkEnd w:id="65"/>
      <w:bookmarkStart w:id="66" w:name="_Toc152042353"/>
      <w:bookmarkEnd w:id="66"/>
      <w:bookmarkStart w:id="67" w:name="_Toc296602464"/>
      <w:bookmarkEnd w:id="67"/>
      <w:bookmarkStart w:id="68" w:name="_Toc144974545"/>
      <w:bookmarkEnd w:id="68"/>
      <w:r>
        <w:rPr>
          <w:rFonts w:hint="eastAsia" w:asciiTheme="minorEastAsia" w:hAnsiTheme="minorEastAsia" w:eastAsiaTheme="minorEastAsia" w:cstheme="minorEastAsia"/>
          <w:bCs/>
          <w:szCs w:val="21"/>
        </w:rPr>
        <w:t>21.3对评审委员会成员的纪律要求</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审委员会成员不得收受他人的财物或者其他好处，不得向他人透漏对响应文件的评审和比较、成交候选人的推荐情况以及评审有关的其他情况。在评审活动中，评审委员会成员应当客观、公正地履行职责，独立评审，遵守职业道德，不得擅离职守，影响评审程序正常进行，不得使用采购比选文件没有规定的评审因素和标准进行评审。</w:t>
      </w:r>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69" w:name="_Toc152042354"/>
      <w:bookmarkEnd w:id="69"/>
      <w:bookmarkStart w:id="70" w:name="_Toc296602465"/>
      <w:bookmarkEnd w:id="70"/>
      <w:bookmarkStart w:id="71" w:name="_Toc247085736"/>
      <w:bookmarkEnd w:id="71"/>
      <w:bookmarkStart w:id="72" w:name="_Toc246996965"/>
      <w:bookmarkEnd w:id="72"/>
      <w:bookmarkStart w:id="73" w:name="_Toc246996222"/>
      <w:bookmarkEnd w:id="73"/>
      <w:bookmarkStart w:id="74" w:name="_Toc179632596"/>
      <w:bookmarkEnd w:id="74"/>
      <w:bookmarkStart w:id="75" w:name="_Toc152045578"/>
      <w:bookmarkEnd w:id="75"/>
      <w:r>
        <w:rPr>
          <w:rFonts w:hint="eastAsia" w:asciiTheme="minorEastAsia" w:hAnsiTheme="minorEastAsia" w:eastAsiaTheme="minorEastAsia" w:cstheme="minorEastAsia"/>
          <w:bCs/>
          <w:szCs w:val="21"/>
        </w:rPr>
        <w:t>21.4对与评审活动有关的工作人员的纪律要求</w:t>
      </w:r>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76" w:name="_Toc152042355"/>
      <w:bookmarkEnd w:id="76"/>
      <w:r>
        <w:rPr>
          <w:rFonts w:hint="eastAsia" w:asciiTheme="minorEastAsia" w:hAnsiTheme="minorEastAsia" w:eastAsiaTheme="minorEastAsia" w:cstheme="minorEastAsia"/>
          <w:bCs/>
          <w:szCs w:val="21"/>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77" w:name="_Toc246826113"/>
      <w:bookmarkEnd w:id="77"/>
      <w:r>
        <w:rPr>
          <w:rFonts w:hint="eastAsia" w:asciiTheme="minorEastAsia" w:hAnsiTheme="minorEastAsia" w:eastAsiaTheme="minorEastAsia" w:cstheme="minorEastAsia"/>
          <w:bCs/>
          <w:szCs w:val="21"/>
        </w:rPr>
        <w:t>六、定标、合同与验收</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22、定标准则</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22.1任何单项因素的最优不能作为成交的保证。</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22.2评审委员会推荐排名第一的供应商即为成交供应商。</w:t>
      </w:r>
    </w:p>
    <w:p>
      <w:pPr>
        <w:adjustRightInd w:val="0"/>
        <w:snapToGrid w:val="0"/>
        <w:spacing w:line="360" w:lineRule="auto"/>
        <w:ind w:left="420" w:left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23、成交通知</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23.1由采购人在比选公告发布媒体上公布成交结果，并向成交供应商发送《成交通知书》。</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23.2成交通知书为签订采购合同的依据，是合同的有效组成部分。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23.3成交通知书对采购人和成交供应商均具有法律效力。成交通知书发出后，采购人改变成交结果，或者成交供应商无正当理由放弃成交的，应当承担相应的法律责任。</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24、合同签订</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24.1成交供应商在收到《成交通知书》后，应在规定的时间内与采购人签订采购合同。由于成交供应商的原因逾期未与采购人签订采购合同的，将视为放弃中标，取消其中标资格并将按相关规定进行处理。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24.2采购人不得向成交供应商提出任何不合理的要求作为签订合同的条件，不得与成交供应商私下订立背离合同实质性内容的任何协议，所签订的合同不得对采购比选文件和成交供应商响应文件作实质性修改。</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78" w:name="_Toc217446069"/>
      <w:bookmarkEnd w:id="78"/>
      <w:r>
        <w:rPr>
          <w:rFonts w:hint="eastAsia" w:asciiTheme="minorEastAsia" w:hAnsiTheme="minorEastAsia" w:eastAsiaTheme="minorEastAsia" w:cstheme="minorEastAsia"/>
          <w:bCs/>
          <w:szCs w:val="21"/>
        </w:rPr>
        <w:t>25、合同履行</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25.1成交供应商与采购人签订合同后，合同双方应严格执行合同条款，履行合同规定的义务，保证合同的顺利完成。</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25.2采购人应严格按照合同约定事项，制定科学合理的验收方案开展验收；</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25.3在合同履行过程中，如发生合同纠纷，合同双方应按照《民法典》的有关规定进行处理。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七、评审方法</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26、政府采购招标评审方法分为:最低评审价法和综合评分法。</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26.1最低评审价法，是指响应文件满足采购比选文件全部实质性要求且响应报价最低的供应商为成交候选人的评审方法。</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26.2综合评分法，是指响应文件满足采购比选文件全部实质性要求且按照评审因素的量化指标评审得分最高的供应商为成交候选人的评审方法。</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评审总得分＝F1×A1＋F2×A2＋……＋Fn×An</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F1、F2……Fn分别为价格、商务和技术部分评分因素的汇总得分；A1、A2、……An分别为价格、商务和技术部分评分因素所占的权重(A1＋A2＋......＋An＝1)。</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其中价格分统一采用低价优先法计算，即满足采购比选文件要求且响应价格最低的响应报价为评审基准价，其价格分为满分。其他供应商的价格分统一按照下列公式计算：</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响应报价得分＝（评审基准价／响应报价）×价格权值×100　　</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八、质疑</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27、供应商认为采购比选文件、采购过程和成交结果使自己的合法权益受到损害的，应当在知道或者应知其权益受到损害之日起七个工作日（质疑有效期）内，向采购人提出询问或以书面形式向其质疑。 </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28、采购人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29、质疑有效期的计算</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比选文件的质疑有效期为采购比选文件公告期限届满之日起七个工作日内；采购过程的质疑有效期为各采购程序环节结束之日起七个工作日内；采购结果的质疑有效期为采购结果公告期限届满之日起七个工作日内。</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九、无效响应的其他有关规定：</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30、除符合采购比选文件中载明的无效响应规定外，如果发现下列情况之一者，同样作无效响应处理，其中30.1至30.3款情形的所有相关供应商均作无效响应处理。因此产生其他法律责任的由供应商自行承担：</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30.1不同供应商的法定代表人、委托代理人等由同一个单位缴纳社会保险的；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30.2由同一人携带两个及以上供应商的企业资料参与开标会议的；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30.3单位负责人为同一人或者存在直接控股、管理关系的不同供应商，同时参加同一合同项下的政府采购活动的；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30.4为采购项目提供整体设计、规范编制或者项目管理、监理、检测等服务的供应商，再参加该采购项目的其他采购活动的；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30.5属于采购人任何不具有独立法人资格的附属机构（单位）；</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30.6没有按要求提供补充文件，或调整补充内容超出规定范围。</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30.7</w:t>
      </w:r>
      <w:r>
        <w:rPr>
          <w:rFonts w:asciiTheme="minorEastAsia" w:hAnsiTheme="minorEastAsia" w:eastAsiaTheme="minorEastAsia" w:cstheme="minorEastAsia"/>
          <w:bCs/>
          <w:szCs w:val="21"/>
        </w:rPr>
        <w:t>未按照</w:t>
      </w:r>
      <w:r>
        <w:rPr>
          <w:rFonts w:hint="eastAsia" w:asciiTheme="minorEastAsia" w:hAnsiTheme="minorEastAsia" w:eastAsiaTheme="minorEastAsia" w:cstheme="minorEastAsia"/>
          <w:bCs/>
          <w:szCs w:val="21"/>
        </w:rPr>
        <w:t>采购比选文件</w:t>
      </w:r>
      <w:r>
        <w:rPr>
          <w:rFonts w:asciiTheme="minorEastAsia" w:hAnsiTheme="minorEastAsia" w:eastAsiaTheme="minorEastAsia" w:cstheme="minorEastAsia"/>
          <w:bCs/>
          <w:szCs w:val="21"/>
        </w:rPr>
        <w:t>的规定提交保证金的；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30.8响应文件</w:t>
      </w:r>
      <w:r>
        <w:rPr>
          <w:rFonts w:asciiTheme="minorEastAsia" w:hAnsiTheme="minorEastAsia" w:eastAsiaTheme="minorEastAsia" w:cstheme="minorEastAsia"/>
          <w:bCs/>
          <w:szCs w:val="21"/>
        </w:rPr>
        <w:t>未按</w:t>
      </w:r>
      <w:r>
        <w:rPr>
          <w:rFonts w:hint="eastAsia" w:asciiTheme="minorEastAsia" w:hAnsiTheme="minorEastAsia" w:eastAsiaTheme="minorEastAsia" w:cstheme="minorEastAsia"/>
          <w:bCs/>
          <w:szCs w:val="21"/>
        </w:rPr>
        <w:t>采购比选文件</w:t>
      </w:r>
      <w:r>
        <w:rPr>
          <w:rFonts w:asciiTheme="minorEastAsia" w:hAnsiTheme="minorEastAsia" w:eastAsiaTheme="minorEastAsia" w:cstheme="minorEastAsia"/>
          <w:bCs/>
          <w:szCs w:val="21"/>
        </w:rPr>
        <w:t>要求签署、盖章的；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30.9</w:t>
      </w:r>
      <w:r>
        <w:rPr>
          <w:rFonts w:asciiTheme="minorEastAsia" w:hAnsiTheme="minorEastAsia" w:eastAsiaTheme="minorEastAsia" w:cstheme="minorEastAsia"/>
          <w:bCs/>
          <w:szCs w:val="21"/>
        </w:rPr>
        <w:t>不具备</w:t>
      </w:r>
      <w:r>
        <w:rPr>
          <w:rFonts w:hint="eastAsia" w:asciiTheme="minorEastAsia" w:hAnsiTheme="minorEastAsia" w:eastAsiaTheme="minorEastAsia" w:cstheme="minorEastAsia"/>
          <w:bCs/>
          <w:szCs w:val="21"/>
        </w:rPr>
        <w:t>采购比选文件</w:t>
      </w:r>
      <w:r>
        <w:rPr>
          <w:rFonts w:asciiTheme="minorEastAsia" w:hAnsiTheme="minorEastAsia" w:eastAsiaTheme="minorEastAsia" w:cstheme="minorEastAsia"/>
          <w:bCs/>
          <w:szCs w:val="21"/>
        </w:rPr>
        <w:t>中规定的资格要求的；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30.10</w:t>
      </w:r>
      <w:r>
        <w:rPr>
          <w:rFonts w:asciiTheme="minorEastAsia" w:hAnsiTheme="minorEastAsia" w:eastAsiaTheme="minorEastAsia" w:cstheme="minorEastAsia"/>
          <w:bCs/>
          <w:szCs w:val="21"/>
        </w:rPr>
        <w:t>报价超过</w:t>
      </w:r>
      <w:r>
        <w:rPr>
          <w:rFonts w:hint="eastAsia" w:asciiTheme="minorEastAsia" w:hAnsiTheme="minorEastAsia" w:eastAsiaTheme="minorEastAsia" w:cstheme="minorEastAsia"/>
          <w:bCs/>
          <w:szCs w:val="21"/>
        </w:rPr>
        <w:t>采购比选文件</w:t>
      </w:r>
      <w:r>
        <w:rPr>
          <w:rFonts w:asciiTheme="minorEastAsia" w:hAnsiTheme="minorEastAsia" w:eastAsiaTheme="minorEastAsia" w:cstheme="minorEastAsia"/>
          <w:bCs/>
          <w:szCs w:val="21"/>
        </w:rPr>
        <w:t>中规定的预算金额或者最高限价的；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30.11响应文件</w:t>
      </w:r>
      <w:r>
        <w:rPr>
          <w:rFonts w:asciiTheme="minorEastAsia" w:hAnsiTheme="minorEastAsia" w:eastAsiaTheme="minorEastAsia" w:cstheme="minorEastAsia"/>
          <w:bCs/>
          <w:szCs w:val="21"/>
        </w:rPr>
        <w:t>含有采购人不能接受的附加条件的；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30.12</w:t>
      </w:r>
      <w:r>
        <w:rPr>
          <w:rFonts w:asciiTheme="minorEastAsia" w:hAnsiTheme="minorEastAsia" w:eastAsiaTheme="minorEastAsia" w:cstheme="minorEastAsia"/>
          <w:bCs/>
          <w:szCs w:val="21"/>
        </w:rPr>
        <w:t>法律、法规和</w:t>
      </w:r>
      <w:r>
        <w:rPr>
          <w:rFonts w:hint="eastAsia" w:asciiTheme="minorEastAsia" w:hAnsiTheme="minorEastAsia" w:eastAsiaTheme="minorEastAsia" w:cstheme="minorEastAsia"/>
          <w:bCs/>
          <w:szCs w:val="21"/>
        </w:rPr>
        <w:t>采购比选文件</w:t>
      </w:r>
      <w:r>
        <w:rPr>
          <w:rFonts w:asciiTheme="minorEastAsia" w:hAnsiTheme="minorEastAsia" w:eastAsiaTheme="minorEastAsia" w:cstheme="minorEastAsia"/>
          <w:bCs/>
          <w:szCs w:val="21"/>
        </w:rPr>
        <w:t>规定的其他无效情形。</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31、其他法律法规及规章制度认定参加政府采购无效的情形等。</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31.1存在恶意串通投标行为的；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31.2参与政府采购活动有不良行为记录且正处于处罚期内并适用于海口行政区域的；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31.3企业在经营活动中存在不诚信记录且正处于处罚期内并适用于海口行政区域政府采购领域的；</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31.4其他法律法规及规章制度认定参加政府采购活动无效并适用海口行政区域的情形等。</w:t>
      </w:r>
    </w:p>
    <w:p>
      <w:pPr>
        <w:rPr>
          <w:rFonts w:asciiTheme="minorEastAsia" w:hAnsiTheme="minorEastAsia" w:eastAsiaTheme="minorEastAsia" w:cstheme="minorEastAsia"/>
          <w:b/>
          <w:szCs w:val="21"/>
        </w:rPr>
      </w:pPr>
      <w:r>
        <w:br w:type="page"/>
      </w:r>
    </w:p>
    <w:p/>
    <w:bookmarkEnd w:id="27"/>
    <w:p>
      <w:pPr>
        <w:pStyle w:val="5"/>
        <w:adjustRightInd w:val="0"/>
        <w:snapToGrid w:val="0"/>
        <w:spacing w:line="360" w:lineRule="auto"/>
        <w:ind w:firstLine="0"/>
        <w:jc w:val="center"/>
        <w:outlineLvl w:val="0"/>
        <w:rPr>
          <w:rFonts w:asciiTheme="minorEastAsia" w:hAnsiTheme="minorEastAsia" w:eastAsiaTheme="minorEastAsia" w:cstheme="minorEastAsia"/>
          <w:b/>
          <w:szCs w:val="21"/>
        </w:rPr>
      </w:pPr>
      <w:bookmarkStart w:id="79" w:name="_Toc246826116"/>
      <w:r>
        <w:rPr>
          <w:rFonts w:hint="eastAsia" w:asciiTheme="minorEastAsia" w:hAnsiTheme="minorEastAsia" w:eastAsiaTheme="minorEastAsia" w:cstheme="minorEastAsia"/>
          <w:b/>
          <w:szCs w:val="21"/>
        </w:rPr>
        <w:t>第四章  评审标准</w:t>
      </w:r>
    </w:p>
    <w:bookmarkEnd w:id="79"/>
    <w:p>
      <w:pPr>
        <w:spacing w:line="360" w:lineRule="auto"/>
        <w:ind w:firstLine="422" w:firstLineChars="200"/>
        <w:outlineLvl w:val="0"/>
        <w:rPr>
          <w:rFonts w:ascii="宋体" w:hAnsi="宋体" w:cs="宋体"/>
          <w:b/>
          <w:szCs w:val="21"/>
        </w:rPr>
      </w:pPr>
      <w:bookmarkStart w:id="80" w:name="_Toc246826117"/>
      <w:r>
        <w:rPr>
          <w:rFonts w:hint="eastAsia" w:ascii="宋体" w:hAnsi="宋体" w:cs="宋体"/>
          <w:b/>
          <w:szCs w:val="21"/>
        </w:rPr>
        <w:t>一、基本要求：</w:t>
      </w:r>
    </w:p>
    <w:p>
      <w:pPr>
        <w:pStyle w:val="5"/>
        <w:snapToGrid w:val="0"/>
        <w:spacing w:line="360" w:lineRule="auto"/>
        <w:ind w:firstLineChars="200"/>
        <w:outlineLvl w:val="0"/>
        <w:rPr>
          <w:rFonts w:ascii="宋体" w:hAnsi="宋体" w:cs="宋体"/>
          <w:bCs/>
          <w:szCs w:val="21"/>
        </w:rPr>
      </w:pPr>
      <w:r>
        <w:rPr>
          <w:rFonts w:hint="eastAsia" w:ascii="宋体" w:hAnsi="宋体" w:cs="宋体"/>
          <w:bCs/>
          <w:szCs w:val="21"/>
        </w:rPr>
        <w:t>（一）资格审查、符合性审查或评审标准中凡涉及到提供针对本项目授权书、承诺书的，均须以原件为准，否则不予认可，</w:t>
      </w:r>
    </w:p>
    <w:p>
      <w:pPr>
        <w:pStyle w:val="5"/>
        <w:snapToGrid w:val="0"/>
        <w:spacing w:line="360" w:lineRule="auto"/>
        <w:ind w:firstLineChars="200"/>
        <w:outlineLvl w:val="0"/>
        <w:rPr>
          <w:rFonts w:ascii="宋体" w:hAnsi="宋体" w:cs="宋体"/>
          <w:b/>
          <w:color w:val="0000FF"/>
          <w:szCs w:val="21"/>
        </w:rPr>
      </w:pPr>
      <w:r>
        <w:rPr>
          <w:rFonts w:hint="eastAsia" w:ascii="宋体" w:hAnsi="宋体" w:cs="宋体"/>
          <w:bCs/>
          <w:szCs w:val="21"/>
        </w:rPr>
        <w:t>（二）资格审查、符合性审查或评审标准中凡涉及到提供合同、报告、证书或认证等证明材料的，须提供清晰可见且在有效期内的复印件并加盖供应商单位公章。如提供的证明材料不清晰或者无法明确证明的将不予认可。如提供的证明材料与原件不一致的，无论是在评审过程中乃至成交后，其响应将以无效响应或取消成交资格论处，并上报政府采购监督管理部门。</w:t>
      </w:r>
    </w:p>
    <w:p>
      <w:pPr>
        <w:pStyle w:val="5"/>
        <w:snapToGrid w:val="0"/>
        <w:spacing w:line="360" w:lineRule="auto"/>
        <w:ind w:firstLine="422" w:firstLineChars="200"/>
        <w:outlineLvl w:val="1"/>
        <w:rPr>
          <w:rFonts w:ascii="宋体" w:hAnsi="宋体" w:cs="宋体"/>
          <w:b/>
          <w:szCs w:val="21"/>
        </w:rPr>
      </w:pPr>
      <w:r>
        <w:rPr>
          <w:rFonts w:hint="eastAsia" w:ascii="宋体" w:hAnsi="宋体" w:cs="宋体"/>
          <w:b/>
          <w:szCs w:val="21"/>
        </w:rPr>
        <w:t>二、审查标准</w:t>
      </w:r>
    </w:p>
    <w:p>
      <w:pPr>
        <w:snapToGrid w:val="0"/>
        <w:spacing w:line="360" w:lineRule="auto"/>
        <w:ind w:firstLine="420" w:firstLineChars="200"/>
        <w:outlineLvl w:val="0"/>
        <w:rPr>
          <w:rFonts w:ascii="宋体" w:hAnsi="宋体" w:cs="宋体"/>
          <w:bCs/>
          <w:szCs w:val="21"/>
        </w:rPr>
      </w:pPr>
      <w:r>
        <w:rPr>
          <w:rFonts w:hint="eastAsia" w:ascii="宋体" w:hAnsi="宋体" w:cs="宋体"/>
          <w:bCs/>
          <w:szCs w:val="21"/>
        </w:rPr>
        <w:t>1、资格审查表和符合性审查表中所列内容全部审查意见为“合格”，方视为“合格”，其中有一项不合格，将视为不合格供应商。</w:t>
      </w:r>
    </w:p>
    <w:p>
      <w:pPr>
        <w:snapToGrid w:val="0"/>
        <w:spacing w:line="360" w:lineRule="auto"/>
        <w:ind w:firstLine="420" w:firstLineChars="200"/>
        <w:outlineLvl w:val="0"/>
        <w:rPr>
          <w:rFonts w:ascii="宋体" w:hAnsi="宋体" w:cs="宋体"/>
          <w:bCs/>
          <w:szCs w:val="21"/>
        </w:rPr>
      </w:pPr>
      <w:r>
        <w:rPr>
          <w:rFonts w:hint="eastAsia" w:ascii="宋体" w:hAnsi="宋体" w:cs="宋体"/>
          <w:bCs/>
          <w:szCs w:val="21"/>
        </w:rPr>
        <w:t>2、在审查意见汇总的过程中，如存在不同审查意见，则按照少数服从多数的原则做出结论。</w:t>
      </w:r>
    </w:p>
    <w:p>
      <w:pPr>
        <w:snapToGrid w:val="0"/>
        <w:spacing w:line="360" w:lineRule="auto"/>
        <w:ind w:firstLine="420" w:firstLineChars="200"/>
        <w:outlineLvl w:val="0"/>
        <w:rPr>
          <w:rFonts w:ascii="宋体" w:hAnsi="宋体" w:cs="宋体"/>
          <w:bCs/>
          <w:szCs w:val="21"/>
        </w:rPr>
      </w:pPr>
      <w:r>
        <w:rPr>
          <w:rFonts w:hint="eastAsia" w:ascii="宋体" w:hAnsi="宋体" w:cs="宋体"/>
          <w:bCs/>
          <w:szCs w:val="21"/>
        </w:rPr>
        <w:t>3、本表格“审查意见”栏默认“√”视为合格标示，“×”视为不合格标示。</w:t>
      </w:r>
    </w:p>
    <w:p>
      <w:pPr>
        <w:snapToGrid w:val="0"/>
        <w:spacing w:line="360" w:lineRule="auto"/>
        <w:ind w:firstLine="211" w:firstLineChars="100"/>
        <w:jc w:val="left"/>
        <w:rPr>
          <w:rFonts w:ascii="宋体" w:hAnsi="宋体" w:cs="宋体"/>
          <w:b/>
          <w:szCs w:val="21"/>
        </w:rPr>
      </w:pPr>
      <w:r>
        <w:rPr>
          <w:rFonts w:hint="eastAsia" w:ascii="宋体" w:hAnsi="宋体" w:cs="宋体"/>
          <w:b/>
          <w:szCs w:val="21"/>
        </w:rPr>
        <w:t>（一）资格审查表</w:t>
      </w:r>
    </w:p>
    <w:tbl>
      <w:tblPr>
        <w:tblStyle w:val="16"/>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szCs w:val="21"/>
              </w:rPr>
            </w:pPr>
            <w:r>
              <w:rPr>
                <w:rFonts w:hint="eastAsia" w:ascii="宋体" w:hAnsi="宋体" w:cs="宋体"/>
                <w:b/>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szCs w:val="21"/>
              </w:rPr>
            </w:pPr>
            <w:r>
              <w:rPr>
                <w:rFonts w:hint="eastAsia" w:ascii="宋体" w:hAnsi="宋体" w:cs="宋体"/>
                <w:b/>
                <w:szCs w:val="21"/>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szCs w:val="21"/>
              </w:rPr>
            </w:pPr>
            <w:r>
              <w:rPr>
                <w:rFonts w:hint="eastAsia" w:ascii="宋体" w:hAnsi="宋体" w:cs="宋体"/>
                <w:b/>
                <w:szCs w:val="21"/>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szCs w:val="21"/>
              </w:rPr>
            </w:pPr>
            <w:r>
              <w:rPr>
                <w:rFonts w:hint="eastAsia" w:ascii="宋体" w:hAnsi="宋体" w:cs="宋体"/>
                <w:b/>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szCs w:val="21"/>
              </w:rPr>
            </w:pPr>
            <w:r>
              <w:rPr>
                <w:rFonts w:hint="eastAsia" w:ascii="宋体" w:hAnsi="宋体" w:cs="宋体"/>
                <w:bCs/>
                <w:szCs w:val="21"/>
              </w:rPr>
              <w:t>1</w:t>
            </w:r>
          </w:p>
        </w:tc>
        <w:tc>
          <w:tcPr>
            <w:tcW w:w="46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bCs/>
                <w:szCs w:val="21"/>
              </w:rPr>
            </w:pPr>
            <w:r>
              <w:rPr>
                <w:rFonts w:hint="eastAsia" w:ascii="宋体" w:hAnsi="宋体" w:cs="宋体"/>
                <w:bCs/>
                <w:szCs w:val="21"/>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ascii="宋体" w:hAnsi="宋体" w:cs="宋体"/>
                <w:bCs/>
                <w:szCs w:val="21"/>
              </w:rPr>
            </w:pPr>
            <w:r>
              <w:rPr>
                <w:rFonts w:hint="eastAsia" w:ascii="宋体" w:hAnsi="宋体" w:cs="宋体"/>
                <w:bCs/>
                <w:szCs w:val="21"/>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561" w:type="dxa"/>
            <w:tcBorders>
              <w:top w:val="single" w:color="auto" w:sz="4" w:space="0"/>
              <w:left w:val="single" w:color="auto" w:sz="4" w:space="0"/>
              <w:right w:val="single" w:color="auto" w:sz="4" w:space="0"/>
            </w:tcBorders>
            <w:noWrap/>
            <w:vAlign w:val="center"/>
          </w:tcPr>
          <w:p>
            <w:pPr>
              <w:snapToGrid w:val="0"/>
              <w:spacing w:line="360" w:lineRule="auto"/>
              <w:jc w:val="center"/>
              <w:rPr>
                <w:rFonts w:ascii="宋体" w:hAnsi="宋体" w:cs="宋体"/>
                <w:bCs/>
                <w:kern w:val="0"/>
                <w:szCs w:val="21"/>
              </w:rPr>
            </w:pPr>
            <w:r>
              <w:rPr>
                <w:rFonts w:hint="eastAsia" w:ascii="宋体" w:hAnsi="宋体" w:cs="宋体"/>
                <w:bCs/>
                <w:kern w:val="0"/>
                <w:szCs w:val="21"/>
              </w:rPr>
              <w:t>2</w:t>
            </w:r>
          </w:p>
        </w:tc>
        <w:tc>
          <w:tcPr>
            <w:tcW w:w="4650" w:type="dxa"/>
            <w:tcBorders>
              <w:top w:val="single" w:color="auto" w:sz="4" w:space="0"/>
              <w:left w:val="single" w:color="auto" w:sz="4" w:space="0"/>
              <w:right w:val="single" w:color="auto" w:sz="4" w:space="0"/>
            </w:tcBorders>
            <w:noWrap/>
            <w:vAlign w:val="center"/>
          </w:tcPr>
          <w:p>
            <w:pPr>
              <w:snapToGrid w:val="0"/>
              <w:spacing w:line="360" w:lineRule="auto"/>
              <w:jc w:val="left"/>
              <w:rPr>
                <w:rFonts w:ascii="宋体" w:hAnsi="宋体" w:cs="宋体"/>
                <w:bCs/>
                <w:kern w:val="0"/>
                <w:szCs w:val="21"/>
                <w:lang w:val="zh-CN"/>
              </w:rPr>
            </w:pPr>
            <w:r>
              <w:rPr>
                <w:rFonts w:hint="eastAsia" w:ascii="宋体" w:hAnsi="宋体" w:cs="宋体"/>
                <w:bCs/>
                <w:kern w:val="0"/>
                <w:szCs w:val="21"/>
                <w:lang w:val="zh-CN"/>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pPr>
              <w:snapToGrid w:val="0"/>
              <w:spacing w:line="360" w:lineRule="auto"/>
              <w:jc w:val="left"/>
              <w:rPr>
                <w:rFonts w:ascii="宋体" w:hAnsi="宋体" w:cs="宋体"/>
                <w:bCs/>
                <w:kern w:val="0"/>
                <w:szCs w:val="21"/>
                <w:lang w:val="zh-CN"/>
              </w:rPr>
            </w:pPr>
            <w:r>
              <w:rPr>
                <w:rFonts w:hint="eastAsia" w:ascii="宋体" w:hAnsi="宋体" w:cs="宋体"/>
                <w:bCs/>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szCs w:val="21"/>
              </w:rPr>
            </w:pPr>
            <w:r>
              <w:rPr>
                <w:rFonts w:hint="eastAsia" w:ascii="宋体" w:hAnsi="宋体" w:cs="宋体"/>
                <w:bCs/>
                <w:szCs w:val="21"/>
              </w:rPr>
              <w:t>3</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6"/>
              <w:spacing w:line="360" w:lineRule="auto"/>
              <w:rPr>
                <w:rFonts w:ascii="宋体" w:hAnsi="宋体" w:cs="宋体"/>
                <w:bCs/>
                <w:szCs w:val="21"/>
                <w:lang w:val="zh-CN"/>
              </w:rPr>
            </w:pPr>
            <w:r>
              <w:rPr>
                <w:rFonts w:hint="eastAsia" w:ascii="宋体" w:hAnsi="宋体" w:cs="宋体"/>
                <w:bCs/>
                <w:szCs w:val="21"/>
                <w:lang w:val="zh-CN"/>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6"/>
              <w:spacing w:line="360" w:lineRule="auto"/>
              <w:rPr>
                <w:rFonts w:ascii="宋体" w:hAnsi="宋体" w:cs="宋体"/>
                <w:bCs/>
                <w:szCs w:val="21"/>
                <w:lang w:val="zh-CN"/>
              </w:rPr>
            </w:pPr>
            <w:r>
              <w:rPr>
                <w:rFonts w:hint="eastAsia" w:ascii="宋体" w:hAnsi="宋体" w:cs="宋体"/>
                <w:bCs/>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3"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szCs w:val="21"/>
              </w:rPr>
            </w:pPr>
            <w:r>
              <w:rPr>
                <w:rFonts w:hint="eastAsia" w:ascii="宋体" w:hAnsi="宋体" w:cs="宋体"/>
                <w:bCs/>
                <w:szCs w:val="21"/>
              </w:rPr>
              <w:t>4</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jc w:val="both"/>
              <w:rPr>
                <w:rFonts w:ascii="宋体" w:hAnsi="宋体" w:cs="宋体"/>
                <w:bCs/>
                <w:szCs w:val="21"/>
              </w:rPr>
            </w:pPr>
            <w:r>
              <w:rPr>
                <w:rFonts w:hint="eastAsia" w:ascii="宋体" w:hAnsi="宋体" w:cs="宋体"/>
                <w:bCs/>
                <w:szCs w:val="21"/>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rPr>
                <w:rFonts w:ascii="宋体" w:hAnsi="宋体" w:cs="宋体"/>
                <w:bCs/>
                <w:szCs w:val="21"/>
              </w:rPr>
            </w:pPr>
            <w:r>
              <w:rPr>
                <w:rFonts w:hint="eastAsia" w:ascii="宋体" w:hAnsi="宋体" w:cs="宋体"/>
                <w:bCs/>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szCs w:val="21"/>
              </w:rPr>
            </w:pPr>
            <w:r>
              <w:rPr>
                <w:rFonts w:hint="eastAsia" w:ascii="宋体" w:hAnsi="宋体" w:cs="宋体"/>
                <w:bCs/>
                <w:szCs w:val="21"/>
              </w:rPr>
              <w:t>5</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jc w:val="both"/>
              <w:rPr>
                <w:rFonts w:ascii="宋体" w:hAnsi="宋体" w:cs="宋体"/>
                <w:bCs/>
                <w:szCs w:val="21"/>
              </w:rPr>
            </w:pPr>
            <w:r>
              <w:rPr>
                <w:rFonts w:hint="eastAsia" w:ascii="宋体" w:hAnsi="宋体" w:cs="宋体"/>
                <w:bCs/>
                <w:szCs w:val="21"/>
              </w:rPr>
              <w:t>供应商未被列入“信用中国”网站(www.creditchina.gov.cn)“记录失信被执行人或重大税收违法案件当事人名单；不处于中国政府采购网(www.ccgp.gov.cn)“政府采购严重违法失信行为信息记录”中的禁止参加政府采购活动期间。</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rPr>
                <w:rFonts w:ascii="宋体" w:hAnsi="宋体" w:cs="宋体"/>
                <w:bCs/>
                <w:szCs w:val="21"/>
              </w:rPr>
            </w:pPr>
            <w:r>
              <w:rPr>
                <w:rFonts w:hint="eastAsia" w:ascii="宋体" w:hAnsi="宋体" w:cs="宋体"/>
                <w:bCs/>
                <w:kern w:val="0"/>
                <w:szCs w:val="21"/>
                <w:lang w:val="zh-CN"/>
              </w:rPr>
              <w:t>提供“信用中国”、“中国政府采购网网站”截图。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szCs w:val="21"/>
              </w:rPr>
            </w:pPr>
            <w:r>
              <w:rPr>
                <w:rFonts w:hint="eastAsia" w:ascii="宋体" w:hAnsi="宋体" w:cs="宋体"/>
                <w:bCs/>
                <w:szCs w:val="21"/>
              </w:rPr>
              <w:t>6</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jc w:val="both"/>
              <w:rPr>
                <w:rFonts w:ascii="宋体" w:hAnsi="宋体" w:cs="宋体"/>
                <w:bCs/>
                <w:szCs w:val="21"/>
              </w:rPr>
            </w:pPr>
            <w:r>
              <w:rPr>
                <w:rFonts w:hint="eastAsia" w:ascii="宋体" w:hAnsi="宋体" w:cs="宋体"/>
                <w:bCs/>
                <w:szCs w:val="21"/>
              </w:rPr>
              <w:t>中小企业</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rPr>
                <w:rFonts w:ascii="宋体" w:hAnsi="宋体" w:cs="宋体"/>
                <w:bCs/>
                <w:kern w:val="0"/>
                <w:szCs w:val="21"/>
              </w:rPr>
            </w:pPr>
            <w:r>
              <w:rPr>
                <w:rFonts w:hint="eastAsia" w:ascii="宋体" w:hAnsi="宋体" w:cs="宋体"/>
                <w:bCs/>
                <w:kern w:val="0"/>
                <w:szCs w:val="21"/>
              </w:rPr>
              <w:t>提供中小企业声明函</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bl>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（二）符合性审查表</w:t>
      </w:r>
    </w:p>
    <w:tbl>
      <w:tblPr>
        <w:tblStyle w:val="16"/>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供应商名称。</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与营业执照一致。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响应文件的有效性、完整性。</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cstheme="minorEastAsia"/>
                <w:bCs/>
                <w:szCs w:val="21"/>
              </w:rPr>
            </w:pPr>
            <w:r>
              <w:rPr>
                <w:rFonts w:hint="eastAsia" w:asciiTheme="minorEastAsia" w:hAnsiTheme="minorEastAsia" w:cstheme="minorEastAsia"/>
                <w:bCs/>
                <w:szCs w:val="21"/>
              </w:rPr>
              <w:t>服务期限。</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质量标准。</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报价。</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cstheme="minorEastAsia"/>
                <w:bCs/>
                <w:szCs w:val="21"/>
              </w:rPr>
            </w:pPr>
            <w:r>
              <w:rPr>
                <w:rFonts w:hint="eastAsia" w:asciiTheme="minorEastAsia" w:hAnsiTheme="minorEastAsia" w:cstheme="minorEastAsia"/>
                <w:bCs/>
                <w:szCs w:val="21"/>
              </w:rPr>
              <w:t>响应有效期</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asciiTheme="minorEastAsia" w:hAnsiTheme="minorEastAsia" w:eastAsiaTheme="minorEastAsia" w:cstheme="minorEastAsia"/>
                <w:bCs/>
                <w:szCs w:val="21"/>
              </w:rPr>
            </w:pPr>
          </w:p>
        </w:tc>
      </w:tr>
    </w:tbl>
    <w:p>
      <w:pPr>
        <w:pStyle w:val="15"/>
        <w:ind w:left="0" w:leftChars="0" w:firstLine="0" w:firstLineChars="0"/>
      </w:pPr>
    </w:p>
    <w:p>
      <w:pPr>
        <w:adjustRightInd w:val="0"/>
        <w:snapToGrid w:val="0"/>
        <w:spacing w:line="360" w:lineRule="auto"/>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三、评审标准</w:t>
      </w:r>
    </w:p>
    <w:p>
      <w:pPr>
        <w:adjustRightInd w:val="0"/>
        <w:snapToGrid w:val="0"/>
        <w:spacing w:line="360" w:lineRule="auto"/>
        <w:ind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（一）评审方法及评审结果排列顺序规定如下：</w:t>
      </w:r>
    </w:p>
    <w:p>
      <w:pPr>
        <w:pStyle w:val="6"/>
        <w:spacing w:line="360" w:lineRule="auto"/>
        <w:ind w:firstLine="420" w:firstLineChars="200"/>
        <w:jc w:val="both"/>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采用综合评分法的，评审结果按评审后得分由高到低顺序排列。得分相同的，按响应报价由低到高顺序排列。得分且响应报价相同的并列或者评审委员会根据投标情况推荐评审结果排列顺序或予以授标建议。</w:t>
      </w:r>
    </w:p>
    <w:p>
      <w:pPr>
        <w:numPr>
          <w:ilvl w:val="0"/>
          <w:numId w:val="1"/>
        </w:numPr>
        <w:adjustRightInd w:val="0"/>
        <w:snapToGrid w:val="0"/>
        <w:spacing w:line="360" w:lineRule="auto"/>
        <w:ind w:firstLine="422"/>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评审因素及分值分配</w:t>
      </w:r>
    </w:p>
    <w:tbl>
      <w:tblPr>
        <w:tblStyle w:val="16"/>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szCs w:val="21"/>
              </w:rPr>
            </w:pPr>
            <w:r>
              <w:rPr>
                <w:rFonts w:hint="eastAsia" w:ascii="宋体" w:hAnsi="宋体" w:cs="宋体"/>
                <w:bCs/>
                <w:szCs w:val="21"/>
              </w:rPr>
              <w:t>评审因素</w:t>
            </w:r>
          </w:p>
        </w:tc>
        <w:tc>
          <w:tcPr>
            <w:tcW w:w="28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szCs w:val="21"/>
              </w:rPr>
            </w:pPr>
            <w:r>
              <w:rPr>
                <w:rFonts w:hint="eastAsia" w:ascii="宋体" w:hAnsi="宋体" w:cs="宋体"/>
                <w:bCs/>
                <w:szCs w:val="21"/>
              </w:rPr>
              <w:t>技术商务</w:t>
            </w:r>
          </w:p>
        </w:tc>
        <w:tc>
          <w:tcPr>
            <w:tcW w:w="291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szCs w:val="21"/>
              </w:rPr>
            </w:pPr>
            <w:r>
              <w:rPr>
                <w:rFonts w:hint="eastAsia" w:ascii="宋体" w:hAnsi="宋体" w:cs="宋体"/>
                <w:bCs/>
                <w:szCs w:val="21"/>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szCs w:val="21"/>
              </w:rPr>
            </w:pPr>
            <w:r>
              <w:rPr>
                <w:rFonts w:hint="eastAsia" w:ascii="宋体" w:hAnsi="宋体" w:cs="宋体"/>
                <w:bCs/>
                <w:szCs w:val="21"/>
              </w:rPr>
              <w:t>分值</w:t>
            </w:r>
          </w:p>
        </w:tc>
        <w:tc>
          <w:tcPr>
            <w:tcW w:w="28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szCs w:val="21"/>
              </w:rPr>
            </w:pPr>
            <w:r>
              <w:rPr>
                <w:rFonts w:hint="eastAsia" w:ascii="宋体" w:hAnsi="宋体" w:cs="宋体"/>
                <w:bCs/>
                <w:szCs w:val="21"/>
              </w:rPr>
              <w:t>90分</w:t>
            </w:r>
          </w:p>
        </w:tc>
        <w:tc>
          <w:tcPr>
            <w:tcW w:w="291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szCs w:val="21"/>
              </w:rPr>
            </w:pPr>
            <w:r>
              <w:rPr>
                <w:rFonts w:hint="eastAsia" w:ascii="宋体" w:hAnsi="宋体" w:cs="宋体"/>
                <w:bCs/>
                <w:szCs w:val="21"/>
              </w:rPr>
              <w:t>10分</w:t>
            </w:r>
          </w:p>
        </w:tc>
      </w:tr>
      <w:bookmarkEnd w:id="80"/>
    </w:tbl>
    <w:p>
      <w:pPr>
        <w:adjustRightInd w:val="0"/>
        <w:snapToGrid w:val="0"/>
        <w:spacing w:line="360" w:lineRule="auto"/>
        <w:ind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（三）响应报价的评审要求</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1、价格核准：评审委员会对符合性审查合格的供应商的响应报价明细进行复核，看其是否有计算错误，如有则按供应商须知有关规定修正或澄清。</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2、价格评审：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综合评分法，价格分统一采用低价优先法计算，即满足采购比选文件要求（通过资格审查和符合性审查）且评审价(指修正及价格扣除后的价格，下同)最低的为评审基准价，其价格分为满分。其他供应商的价格分统一按照下列公式计算：</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价格评分=（评审基准价／评审价）×价格分值</w:t>
      </w:r>
    </w:p>
    <w:p>
      <w:pPr>
        <w:adjustRightInd w:val="0"/>
        <w:snapToGrid w:val="0"/>
        <w:spacing w:line="360" w:lineRule="auto"/>
        <w:ind w:firstLine="561"/>
        <w:outlineLvl w:val="1"/>
        <w:rPr>
          <w:rFonts w:asciiTheme="minorEastAsia" w:hAnsiTheme="minorEastAsia" w:eastAsiaTheme="minorEastAsia" w:cstheme="minorEastAsia"/>
          <w:b/>
          <w:szCs w:val="21"/>
        </w:rPr>
      </w:pPr>
    </w:p>
    <w:p>
      <w:pPr>
        <w:adjustRightInd w:val="0"/>
        <w:snapToGrid w:val="0"/>
        <w:spacing w:line="360" w:lineRule="auto"/>
        <w:ind w:firstLine="561"/>
        <w:outlineLvl w:val="1"/>
        <w:rPr>
          <w:rFonts w:asciiTheme="minorEastAsia" w:hAnsiTheme="minorEastAsia" w:eastAsiaTheme="minorEastAsia" w:cstheme="minorEastAsia"/>
          <w:b/>
          <w:szCs w:val="21"/>
        </w:rPr>
      </w:pPr>
    </w:p>
    <w:p>
      <w:pPr>
        <w:adjustRightInd w:val="0"/>
        <w:snapToGrid w:val="0"/>
        <w:spacing w:line="360" w:lineRule="auto"/>
        <w:ind w:firstLine="561"/>
        <w:outlineLvl w:val="1"/>
        <w:rPr>
          <w:rFonts w:asciiTheme="minorEastAsia" w:hAnsiTheme="minorEastAsia" w:eastAsiaTheme="minorEastAsia" w:cstheme="minorEastAsia"/>
          <w:b/>
          <w:szCs w:val="21"/>
        </w:rPr>
      </w:pPr>
    </w:p>
    <w:p>
      <w:pPr>
        <w:adjustRightInd w:val="0"/>
        <w:snapToGrid w:val="0"/>
        <w:spacing w:line="360" w:lineRule="auto"/>
        <w:ind w:firstLine="561"/>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（四）评审细则</w:t>
      </w:r>
    </w:p>
    <w:tbl>
      <w:tblPr>
        <w:tblStyle w:val="16"/>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00"/>
        <w:gridCol w:w="6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auto"/>
                <w:sz w:val="20"/>
                <w:szCs w:val="20"/>
              </w:rPr>
            </w:pPr>
            <w:r>
              <w:rPr>
                <w:rFonts w:hint="eastAsia" w:ascii="宋体" w:hAnsi="宋体" w:cs="宋体"/>
                <w:b/>
                <w:color w:val="auto"/>
                <w:sz w:val="20"/>
                <w:szCs w:val="20"/>
              </w:rPr>
              <w:t>条款号</w:t>
            </w: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auto"/>
                <w:sz w:val="20"/>
                <w:szCs w:val="20"/>
              </w:rPr>
            </w:pPr>
            <w:r>
              <w:rPr>
                <w:rFonts w:hint="eastAsia" w:ascii="宋体" w:hAnsi="宋体" w:cs="宋体"/>
                <w:b/>
                <w:color w:val="auto"/>
                <w:sz w:val="20"/>
                <w:szCs w:val="20"/>
              </w:rPr>
              <w:t>评审因素</w:t>
            </w:r>
          </w:p>
        </w:tc>
        <w:tc>
          <w:tcPr>
            <w:tcW w:w="63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auto"/>
                <w:sz w:val="20"/>
                <w:szCs w:val="20"/>
              </w:rPr>
            </w:pPr>
            <w:r>
              <w:rPr>
                <w:rFonts w:hint="eastAsia" w:ascii="宋体" w:hAnsi="宋体" w:cs="宋体"/>
                <w:b/>
                <w:color w:val="auto"/>
                <w:sz w:val="20"/>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分值构成</w:t>
            </w:r>
          </w:p>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0"/>
                <w:szCs w:val="20"/>
              </w:rPr>
              <w:t>(总分100分)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价格评审</w:t>
            </w:r>
            <w:r>
              <w:rPr>
                <w:rFonts w:hint="eastAsia" w:asciiTheme="minorEastAsia" w:hAnsiTheme="minorEastAsia" w:eastAsiaTheme="minorEastAsia" w:cstheme="minorEastAsia"/>
                <w:color w:val="auto"/>
                <w:sz w:val="18"/>
                <w:szCs w:val="18"/>
                <w:u w:val="single"/>
              </w:rPr>
              <w:t>10</w:t>
            </w:r>
            <w:r>
              <w:rPr>
                <w:rFonts w:hint="eastAsia" w:asciiTheme="minorEastAsia" w:hAnsiTheme="minorEastAsia" w:eastAsiaTheme="minorEastAsia" w:cstheme="minorEastAsia"/>
                <w:color w:val="auto"/>
                <w:sz w:val="18"/>
                <w:szCs w:val="18"/>
              </w:rPr>
              <w:t>分</w:t>
            </w:r>
          </w:p>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技术部分</w:t>
            </w:r>
            <w:r>
              <w:rPr>
                <w:rFonts w:hint="eastAsia" w:asciiTheme="minorEastAsia" w:hAnsiTheme="minorEastAsia" w:eastAsiaTheme="minorEastAsia" w:cstheme="minorEastAsia"/>
                <w:color w:val="auto"/>
                <w:sz w:val="18"/>
                <w:szCs w:val="18"/>
                <w:u w:val="single"/>
              </w:rPr>
              <w:t>54</w:t>
            </w:r>
            <w:r>
              <w:rPr>
                <w:rFonts w:hint="eastAsia" w:asciiTheme="minorEastAsia" w:hAnsiTheme="minorEastAsia" w:eastAsiaTheme="minorEastAsia" w:cstheme="minorEastAsia"/>
                <w:color w:val="auto"/>
                <w:sz w:val="18"/>
                <w:szCs w:val="18"/>
              </w:rPr>
              <w:t>分</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18"/>
                <w:szCs w:val="18"/>
              </w:rPr>
              <w:t>商务部分</w:t>
            </w:r>
            <w:r>
              <w:rPr>
                <w:rFonts w:hint="eastAsia" w:asciiTheme="minorEastAsia" w:hAnsiTheme="minorEastAsia" w:eastAsiaTheme="minorEastAsia" w:cstheme="minorEastAsia"/>
                <w:color w:val="auto"/>
                <w:sz w:val="18"/>
                <w:szCs w:val="18"/>
                <w:u w:val="single"/>
              </w:rPr>
              <w:t>36</w:t>
            </w:r>
            <w:r>
              <w:rPr>
                <w:rFonts w:hint="eastAsia" w:asciiTheme="minorEastAsia" w:hAnsiTheme="minorEastAsia" w:eastAsiaTheme="minorEastAsia" w:cstheme="minorEastAsia"/>
                <w:color w:val="auto"/>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价格评审</w:t>
            </w:r>
          </w:p>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0"/>
                <w:szCs w:val="20"/>
              </w:rPr>
              <w:t>（10分）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响应报价得分以满分</w:t>
            </w:r>
            <w:r>
              <w:rPr>
                <w:rFonts w:hint="eastAsia" w:asciiTheme="minorEastAsia" w:hAnsiTheme="minorEastAsia" w:eastAsiaTheme="minorEastAsia" w:cstheme="minorEastAsia"/>
                <w:color w:val="auto"/>
                <w:sz w:val="18"/>
                <w:szCs w:val="18"/>
                <w:u w:val="single"/>
              </w:rPr>
              <w:t>10分</w:t>
            </w:r>
            <w:r>
              <w:rPr>
                <w:rFonts w:hint="eastAsia" w:asciiTheme="minorEastAsia" w:hAnsiTheme="minorEastAsia" w:eastAsiaTheme="minorEastAsia" w:cstheme="minorEastAsia"/>
                <w:color w:val="auto"/>
                <w:sz w:val="18"/>
                <w:szCs w:val="18"/>
              </w:rPr>
              <w:t>计算。满足招标文件要求且响应报价最低的响应报价为评审基准价，其价格分为满分。其他供应商的价格分统一按照下列公式计算：</w:t>
            </w:r>
          </w:p>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响应报价得分=（评审基准价/响应报价）×20</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18"/>
                <w:szCs w:val="18"/>
              </w:rPr>
              <w:t>财政部印发财政部令87号《政府采购货物和服务招标投标管理办法》第六十条：评审委员会认为供应商的报价明显低于其他通过符合性审查供应商的报价，有可能影响服务质量或者不能诚信履约的，应当要求其在评审现场合理的时间内提供书面说明，必要时提交相关证明材料；供应商不能证明其报价合理性的，评审委员会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color w:val="auto"/>
                <w:sz w:val="20"/>
                <w:szCs w:val="20"/>
              </w:rPr>
            </w:pPr>
            <w:r>
              <w:rPr>
                <w:rFonts w:hint="eastAsia" w:ascii="宋体" w:hAnsi="宋体" w:cs="宋体"/>
                <w:color w:val="auto"/>
                <w:sz w:val="20"/>
                <w:szCs w:val="20"/>
              </w:rPr>
              <w:t>技术部分</w:t>
            </w:r>
          </w:p>
          <w:p>
            <w:pPr>
              <w:jc w:val="center"/>
              <w:rPr>
                <w:rFonts w:ascii="宋体" w:hAnsi="宋体" w:cs="宋体"/>
                <w:color w:val="auto"/>
                <w:sz w:val="20"/>
                <w:szCs w:val="20"/>
              </w:rPr>
            </w:pPr>
            <w:r>
              <w:rPr>
                <w:rFonts w:hint="eastAsia" w:ascii="宋体" w:hAnsi="宋体" w:cs="宋体"/>
                <w:color w:val="auto"/>
                <w:sz w:val="20"/>
                <w:szCs w:val="20"/>
              </w:rPr>
              <w:t>（54分）</w:t>
            </w:r>
          </w:p>
          <w:p>
            <w:pPr>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对项目背景的理解</w:t>
            </w:r>
          </w:p>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20"/>
                <w:szCs w:val="20"/>
              </w:rPr>
              <w:t>（20分）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根据供应商结合本项目采购需求实际情况提供的“对项目背景的理解”进行综合评分：①对优化营商环境工作意义的理解；②对世界银行B-ready指标体系的理解；③对国家营商环境评价的理解；④对海南省重点园区营商环境评价体系的理解。上述内容满分20分；每有一项缺项的扣5分，每有一处内容存在不足的扣2.5分，每项最多扣5分，满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noWrap/>
            <w:vAlign w:val="center"/>
          </w:tcPr>
          <w:p>
            <w:pPr>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对营商环境情况的理解</w:t>
            </w:r>
          </w:p>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（12分）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根据供应商拥有并提供的“对营商环境改革经验案例的理解”进行综合评分，至少包含：①整理举例分析不少于3个国外先进城市营商环境经验做法；②整理举例分析不少于3个国内其他先进地区改革经验做法； ③对江东新区营商环境现状的理解，上述内容满分12分；每有一项缺项的扣4分，每有一处内容存在不足的扣2分，每项最多扣4分，满分扣完为止。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noWrap/>
            <w:vAlign w:val="center"/>
          </w:tcPr>
          <w:p>
            <w:pPr>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项目实施方案</w:t>
            </w:r>
          </w:p>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20"/>
                <w:szCs w:val="20"/>
              </w:rPr>
              <w:t>（10分）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根据供应商结合本项目采购需求实际情况提供的“项目实施方案”进行综合评分，至少包含：①项目时间规划及进度安排；②项目团队人员分工。上述内容满分10分；每有一项缺项的扣5分，每有一处内容存在不足的扣3分，每项最多扣5分，满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noWrap/>
            <w:vAlign w:val="center"/>
          </w:tcPr>
          <w:p>
            <w:pPr>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项目保障方案</w:t>
            </w:r>
          </w:p>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（12分）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根据供应商结合本项目采购需求实际情况提供的“项目保障方案”进行综合评分，至少包含：①质量保障措施；②进度保障措施；③人员保障措施；④风险控制措施， 上述内容满分12分；每有一项缺项的扣4分，每有一处内容存在不足的扣2分，每项最多扣4分，满分扣完为止。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vMerge w:val="restart"/>
            <w:tcBorders>
              <w:left w:val="single" w:color="auto" w:sz="4" w:space="0"/>
              <w:right w:val="single" w:color="auto" w:sz="4" w:space="0"/>
            </w:tcBorders>
            <w:noWrap/>
            <w:vAlign w:val="center"/>
          </w:tcPr>
          <w:p>
            <w:pPr>
              <w:jc w:val="center"/>
              <w:rPr>
                <w:rFonts w:ascii="宋体" w:hAnsi="宋体" w:cs="宋体"/>
                <w:color w:val="auto"/>
                <w:sz w:val="20"/>
                <w:szCs w:val="20"/>
              </w:rPr>
            </w:pPr>
            <w:r>
              <w:rPr>
                <w:rFonts w:hint="eastAsia" w:ascii="宋体" w:hAnsi="宋体" w:cs="宋体"/>
                <w:color w:val="auto"/>
                <w:sz w:val="20"/>
                <w:szCs w:val="20"/>
              </w:rPr>
              <w:t>商务部分（36分）</w:t>
            </w: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供应商业绩</w:t>
            </w:r>
          </w:p>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（15分）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供应商2020年1月1日后承接过类似项目的，每提供一个项目业绩得5分，满分15分。（类似业绩包括但不限于营商环境评价、咨询和提升类等。）</w:t>
            </w:r>
          </w:p>
          <w:p>
            <w:pP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 w:val="18"/>
                <w:szCs w:val="18"/>
              </w:rPr>
              <w:t>证明材料：提供相关项目合同（首页、签字盖章页）或中标通知书复印件，日期以合同签订时间为评审标准。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vMerge w:val="continue"/>
            <w:tcBorders>
              <w:left w:val="single" w:color="auto" w:sz="4" w:space="0"/>
              <w:right w:val="single" w:color="auto" w:sz="4" w:space="0"/>
            </w:tcBorders>
            <w:noWrap/>
            <w:vAlign w:val="center"/>
          </w:tcPr>
          <w:p>
            <w:pPr>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项目负责人情况</w:t>
            </w:r>
          </w:p>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（6分）</w:t>
            </w:r>
          </w:p>
        </w:tc>
        <w:tc>
          <w:tcPr>
            <w:tcW w:w="6369" w:type="dxa"/>
            <w:tcBorders>
              <w:top w:val="single" w:color="auto" w:sz="4" w:space="0"/>
              <w:left w:val="single" w:color="auto" w:sz="4" w:space="0"/>
              <w:bottom w:val="single" w:color="auto" w:sz="4" w:space="0"/>
              <w:right w:val="single" w:color="auto" w:sz="4" w:space="0"/>
            </w:tcBorders>
            <w:noWrap/>
            <w:vAlign w:val="center"/>
          </w:tcPr>
          <w:p>
            <w:pPr>
              <w:pStyle w:val="62"/>
              <w:rPr>
                <w:rFonts w:eastAsia="宋体"/>
                <w:color w:val="auto"/>
              </w:rPr>
            </w:pPr>
            <w:r>
              <w:rPr>
                <w:rFonts w:hint="eastAsia" w:asciiTheme="minorEastAsia" w:hAnsiTheme="minorEastAsia" w:eastAsiaTheme="minorEastAsia" w:cstheme="minorEastAsia"/>
                <w:color w:val="auto"/>
                <w:sz w:val="18"/>
                <w:szCs w:val="18"/>
              </w:rPr>
              <w:t>1.项目负责人具有3年及以上营商环境相关工作经验的得3分，2年得2分，1年得1分，不足1年的不得分</w:t>
            </w:r>
            <w:r>
              <w:rPr>
                <w:rFonts w:hint="eastAsia" w:eastAsia="宋体"/>
                <w:color w:val="auto"/>
              </w:rPr>
              <w:t>；</w:t>
            </w:r>
          </w:p>
          <w:p>
            <w:pPr>
              <w:pStyle w:val="62"/>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2.项目负责人具有中级及以上职称的得3分，不具备不得分。</w:t>
            </w:r>
          </w:p>
          <w:p>
            <w:pP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注：需提供项目负责人简历，以及近三年参与的营商环境工作说明，职称证书需要相应证书的复印件。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vMerge w:val="continue"/>
            <w:tcBorders>
              <w:left w:val="single" w:color="auto" w:sz="4" w:space="0"/>
              <w:right w:val="single" w:color="auto" w:sz="4" w:space="0"/>
            </w:tcBorders>
            <w:noWrap/>
            <w:vAlign w:val="center"/>
          </w:tcPr>
          <w:p>
            <w:pPr>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项目团队</w:t>
            </w:r>
          </w:p>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(15分)</w:t>
            </w:r>
          </w:p>
        </w:tc>
        <w:tc>
          <w:tcPr>
            <w:tcW w:w="6369" w:type="dxa"/>
            <w:tcBorders>
              <w:top w:val="single" w:color="auto" w:sz="4" w:space="0"/>
              <w:left w:val="single" w:color="auto" w:sz="4" w:space="0"/>
              <w:bottom w:val="single" w:color="auto" w:sz="4" w:space="0"/>
              <w:right w:val="single" w:color="auto" w:sz="4" w:space="0"/>
            </w:tcBorders>
            <w:noWrap/>
            <w:vAlign w:val="center"/>
          </w:tcPr>
          <w:p>
            <w:pPr>
              <w:pStyle w:val="62"/>
              <w:rPr>
                <w:rFonts w:ascii="宋体" w:hAnsi="宋体" w:eastAsia="宋体" w:cs="宋体"/>
                <w:color w:val="auto"/>
                <w:sz w:val="18"/>
                <w:szCs w:val="18"/>
              </w:rPr>
            </w:pPr>
            <w:r>
              <w:rPr>
                <w:rFonts w:hint="eastAsia" w:ascii="宋体" w:hAnsi="宋体" w:eastAsia="宋体" w:cs="宋体"/>
                <w:color w:val="auto"/>
                <w:sz w:val="18"/>
                <w:szCs w:val="18"/>
              </w:rPr>
              <w:t>1.项目团队不少于3人得6分，每增加一人得1分，最多得9分。</w:t>
            </w:r>
          </w:p>
          <w:p>
            <w:pPr>
              <w:pStyle w:val="62"/>
              <w:rPr>
                <w:rFonts w:ascii="宋体" w:hAnsi="宋体" w:eastAsia="宋体" w:cs="宋体"/>
                <w:color w:val="auto"/>
                <w:sz w:val="18"/>
                <w:szCs w:val="18"/>
              </w:rPr>
            </w:pPr>
            <w:r>
              <w:rPr>
                <w:rFonts w:hint="eastAsia" w:ascii="宋体" w:hAnsi="宋体" w:eastAsia="宋体" w:cs="宋体"/>
                <w:color w:val="auto"/>
                <w:sz w:val="18"/>
                <w:szCs w:val="18"/>
              </w:rPr>
              <w:t>2.项目团队成员中具有研究生学历及以上的，每提供1人得2分，最多得6分。</w:t>
            </w:r>
          </w:p>
          <w:p>
            <w:pPr>
              <w:rPr>
                <w:rFonts w:asciiTheme="minorEastAsia" w:hAnsiTheme="minorEastAsia" w:eastAsiaTheme="minorEastAsia" w:cstheme="minorEastAsia"/>
                <w:color w:val="auto"/>
                <w:kern w:val="0"/>
                <w:sz w:val="18"/>
                <w:szCs w:val="18"/>
              </w:rPr>
            </w:pPr>
            <w:r>
              <w:rPr>
                <w:rFonts w:hint="eastAsia" w:ascii="宋体" w:hAnsi="宋体" w:cs="宋体"/>
                <w:color w:val="auto"/>
                <w:sz w:val="18"/>
                <w:szCs w:val="18"/>
              </w:rPr>
              <w:t>注：项目团队需要提供身份证、学历或学位证书复印件。</w:t>
            </w:r>
          </w:p>
        </w:tc>
      </w:tr>
    </w:tbl>
    <w:p>
      <w:pPr>
        <w:pStyle w:val="15"/>
        <w:ind w:left="0" w:leftChars="0" w:firstLine="0" w:firstLineChars="0"/>
        <w:rPr>
          <w:rFonts w:asciiTheme="minorEastAsia" w:hAnsiTheme="minorEastAsia" w:eastAsiaTheme="minorEastAsia" w:cstheme="minorEastAsia"/>
          <w:b/>
        </w:rPr>
        <w:sectPr>
          <w:pgSz w:w="11906" w:h="16838"/>
          <w:pgMar w:top="1440" w:right="1800" w:bottom="1440" w:left="1800" w:header="794" w:footer="992" w:gutter="0"/>
          <w:cols w:space="425" w:num="1"/>
          <w:docGrid w:type="lines" w:linePitch="312" w:charSpace="0"/>
        </w:sectPr>
      </w:pPr>
    </w:p>
    <w:p>
      <w:pPr>
        <w:adjustRightInd w:val="0"/>
        <w:snapToGrid w:val="0"/>
        <w:spacing w:line="360" w:lineRule="auto"/>
        <w:jc w:val="center"/>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第五章  采购合同格式</w:t>
      </w:r>
    </w:p>
    <w:p>
      <w:pPr>
        <w:spacing w:line="360" w:lineRule="atLeast"/>
        <w:jc w:val="center"/>
        <w:rPr>
          <w:szCs w:val="21"/>
        </w:rPr>
      </w:pPr>
      <w:r>
        <w:rPr>
          <w:rFonts w:hint="eastAsia"/>
          <w:szCs w:val="21"/>
        </w:rPr>
        <w:t>（注：本合同格式为参考格式，具体内容按采购人及比选文件要求与中标单位签订）</w:t>
      </w:r>
    </w:p>
    <w:p>
      <w:pPr>
        <w:pStyle w:val="9"/>
        <w:spacing w:line="560" w:lineRule="exact"/>
        <w:jc w:val="center"/>
        <w:rPr>
          <w:rFonts w:ascii="黑体" w:hAnsi="黑体" w:eastAsia="黑体" w:cs="黑体"/>
          <w:bCs/>
          <w:color w:val="000000"/>
          <w:sz w:val="32"/>
          <w:szCs w:val="32"/>
        </w:rPr>
      </w:pPr>
    </w:p>
    <w:p>
      <w:pPr>
        <w:jc w:val="center"/>
        <w:rPr>
          <w:rFonts w:cstheme="minorBidi"/>
          <w:sz w:val="28"/>
          <w:szCs w:val="28"/>
        </w:rPr>
      </w:pPr>
      <w:r>
        <w:rPr>
          <w:rFonts w:hint="eastAsia" w:cstheme="minorBidi"/>
          <w:sz w:val="44"/>
          <w:szCs w:val="44"/>
        </w:rPr>
        <w:t>营商环境咨询服务</w:t>
      </w:r>
    </w:p>
    <w:p>
      <w:pPr>
        <w:rPr>
          <w:rFonts w:cstheme="minorBidi"/>
          <w:sz w:val="28"/>
          <w:szCs w:val="28"/>
        </w:rPr>
      </w:pPr>
    </w:p>
    <w:p>
      <w:pPr>
        <w:ind w:firstLine="1190" w:firstLineChars="425"/>
        <w:rPr>
          <w:rFonts w:cstheme="minorBidi"/>
          <w:sz w:val="28"/>
          <w:szCs w:val="28"/>
        </w:rPr>
      </w:pPr>
      <w:r>
        <w:rPr>
          <w:rFonts w:hint="eastAsia" w:cstheme="minorBidi"/>
          <w:sz w:val="28"/>
          <w:szCs w:val="28"/>
        </w:rPr>
        <w:t>项目名称：江东新区示范标杆园区营商环境咨询</w:t>
      </w:r>
    </w:p>
    <w:p>
      <w:pPr>
        <w:ind w:firstLine="1190" w:firstLineChars="425"/>
        <w:rPr>
          <w:rFonts w:cstheme="minorBidi"/>
          <w:sz w:val="28"/>
          <w:szCs w:val="28"/>
        </w:rPr>
      </w:pPr>
      <w:r>
        <w:rPr>
          <w:rFonts w:hint="eastAsia" w:cstheme="minorBidi"/>
          <w:sz w:val="28"/>
          <w:szCs w:val="28"/>
        </w:rPr>
        <w:t>合同编号：</w:t>
      </w:r>
      <w:r>
        <w:rPr>
          <w:rFonts w:hint="eastAsia" w:cstheme="minorBidi"/>
          <w:sz w:val="28"/>
          <w:szCs w:val="28"/>
          <w:u w:val="single"/>
        </w:rPr>
        <w:t xml:space="preserve"> </w:t>
      </w:r>
      <w:r>
        <w:rPr>
          <w:rFonts w:cstheme="minorBidi"/>
          <w:sz w:val="28"/>
          <w:szCs w:val="28"/>
          <w:u w:val="single"/>
        </w:rPr>
        <w:t xml:space="preserve">             </w:t>
      </w:r>
    </w:p>
    <w:p>
      <w:pPr>
        <w:rPr>
          <w:rFonts w:cstheme="minorBidi"/>
          <w:sz w:val="28"/>
          <w:szCs w:val="28"/>
        </w:rPr>
      </w:pPr>
    </w:p>
    <w:p>
      <w:pPr>
        <w:rPr>
          <w:rFonts w:cstheme="minorBidi"/>
          <w:sz w:val="28"/>
          <w:szCs w:val="28"/>
        </w:rPr>
      </w:pPr>
    </w:p>
    <w:p>
      <w:pPr>
        <w:rPr>
          <w:rFonts w:cstheme="minorBidi"/>
          <w:sz w:val="28"/>
          <w:szCs w:val="28"/>
        </w:rPr>
      </w:pPr>
    </w:p>
    <w:p>
      <w:pPr>
        <w:rPr>
          <w:rFonts w:cstheme="minorBidi"/>
          <w:sz w:val="28"/>
          <w:szCs w:val="28"/>
        </w:rPr>
      </w:pPr>
    </w:p>
    <w:p>
      <w:pPr>
        <w:ind w:firstLine="1456" w:firstLineChars="520"/>
        <w:rPr>
          <w:rFonts w:cstheme="minorBidi"/>
          <w:sz w:val="28"/>
          <w:szCs w:val="28"/>
        </w:rPr>
      </w:pPr>
      <w:r>
        <w:rPr>
          <w:rFonts w:hint="eastAsia" w:cstheme="minorBidi"/>
          <w:sz w:val="28"/>
          <w:szCs w:val="28"/>
        </w:rPr>
        <w:t>甲方：海口江东新区管理局</w:t>
      </w:r>
    </w:p>
    <w:p>
      <w:pPr>
        <w:ind w:firstLine="1456" w:firstLineChars="520"/>
        <w:rPr>
          <w:rFonts w:cstheme="minorBidi"/>
          <w:sz w:val="28"/>
          <w:szCs w:val="28"/>
        </w:rPr>
      </w:pPr>
      <w:r>
        <w:rPr>
          <w:rFonts w:hint="eastAsia" w:cstheme="minorBidi"/>
          <w:sz w:val="28"/>
          <w:szCs w:val="28"/>
        </w:rPr>
        <w:t>乙方：</w:t>
      </w:r>
    </w:p>
    <w:p>
      <w:pPr>
        <w:ind w:firstLine="1456" w:firstLineChars="520"/>
        <w:rPr>
          <w:rFonts w:cstheme="minorBidi"/>
          <w:sz w:val="28"/>
          <w:szCs w:val="28"/>
        </w:rPr>
      </w:pPr>
    </w:p>
    <w:p>
      <w:pPr>
        <w:ind w:firstLine="1456" w:firstLineChars="520"/>
        <w:rPr>
          <w:rFonts w:cstheme="minorBidi"/>
          <w:sz w:val="28"/>
          <w:szCs w:val="28"/>
        </w:rPr>
      </w:pPr>
      <w:r>
        <w:rPr>
          <w:rFonts w:hint="eastAsia" w:cstheme="minorBidi"/>
          <w:sz w:val="28"/>
          <w:szCs w:val="28"/>
        </w:rPr>
        <w:t xml:space="preserve">签订日期： </w:t>
      </w:r>
      <w:r>
        <w:rPr>
          <w:rFonts w:cstheme="minorBidi"/>
          <w:sz w:val="28"/>
          <w:szCs w:val="28"/>
        </w:rPr>
        <w:t xml:space="preserve">   </w:t>
      </w:r>
      <w:r>
        <w:rPr>
          <w:rFonts w:hint="eastAsia" w:cstheme="minorBidi"/>
          <w:sz w:val="28"/>
          <w:szCs w:val="28"/>
        </w:rPr>
        <w:t xml:space="preserve">年 </w:t>
      </w:r>
      <w:r>
        <w:rPr>
          <w:rFonts w:cstheme="minorBidi"/>
          <w:sz w:val="28"/>
          <w:szCs w:val="28"/>
        </w:rPr>
        <w:t xml:space="preserve">   </w:t>
      </w:r>
      <w:r>
        <w:rPr>
          <w:rFonts w:hint="eastAsia" w:cstheme="minorBidi"/>
          <w:sz w:val="28"/>
          <w:szCs w:val="28"/>
        </w:rPr>
        <w:t xml:space="preserve">月 </w:t>
      </w:r>
      <w:r>
        <w:rPr>
          <w:rFonts w:cstheme="minorBidi"/>
          <w:sz w:val="28"/>
          <w:szCs w:val="28"/>
        </w:rPr>
        <w:t xml:space="preserve">   </w:t>
      </w:r>
      <w:r>
        <w:rPr>
          <w:rFonts w:hint="eastAsia" w:cstheme="minorBidi"/>
          <w:sz w:val="28"/>
          <w:szCs w:val="28"/>
        </w:rPr>
        <w:t>日</w:t>
      </w:r>
    </w:p>
    <w:p>
      <w:pPr>
        <w:widowControl/>
        <w:jc w:val="left"/>
        <w:rPr>
          <w:rFonts w:cstheme="minorBidi"/>
          <w:sz w:val="22"/>
          <w:szCs w:val="21"/>
        </w:rPr>
      </w:pPr>
      <w:r>
        <w:br w:type="page"/>
      </w:r>
    </w:p>
    <w:p>
      <w:pPr>
        <w:adjustRightInd w:val="0"/>
        <w:snapToGrid w:val="0"/>
        <w:spacing w:line="360" w:lineRule="auto"/>
        <w:jc w:val="center"/>
        <w:outlineLvl w:val="1"/>
        <w:rPr>
          <w:rFonts w:asciiTheme="minorEastAsia" w:hAnsiTheme="minorEastAsia" w:eastAsiaTheme="minorEastAsia" w:cstheme="minorEastAsia"/>
          <w:b/>
          <w:szCs w:val="21"/>
        </w:rPr>
      </w:pPr>
    </w:p>
    <w:p>
      <w:pPr>
        <w:adjustRightInd w:val="0"/>
        <w:snapToGrid w:val="0"/>
        <w:spacing w:line="360" w:lineRule="auto"/>
        <w:jc w:val="center"/>
        <w:outlineLvl w:val="1"/>
        <w:rPr>
          <w:rFonts w:ascii="宋体" w:hAnsi="宋体" w:cs="宋体"/>
          <w:szCs w:val="21"/>
          <w:u w:val="single"/>
        </w:rPr>
      </w:pPr>
    </w:p>
    <w:p>
      <w:pPr>
        <w:ind w:firstLine="440" w:firstLineChars="200"/>
        <w:rPr>
          <w:rFonts w:cstheme="minorBidi"/>
          <w:sz w:val="22"/>
          <w:szCs w:val="21"/>
        </w:rPr>
      </w:pPr>
    </w:p>
    <w:p>
      <w:pPr>
        <w:ind w:firstLine="440" w:firstLineChars="200"/>
        <w:rPr>
          <w:rFonts w:cstheme="minorBidi"/>
          <w:sz w:val="22"/>
          <w:szCs w:val="21"/>
        </w:rPr>
      </w:pPr>
      <w:r>
        <w:rPr>
          <w:rFonts w:hint="eastAsia" w:cstheme="minorBidi"/>
          <w:sz w:val="22"/>
          <w:szCs w:val="21"/>
        </w:rPr>
        <w:t>甲方：海口江东新区管理局</w:t>
      </w:r>
    </w:p>
    <w:p>
      <w:pPr>
        <w:ind w:firstLine="440" w:firstLineChars="200"/>
        <w:rPr>
          <w:rFonts w:cstheme="minorBidi"/>
          <w:sz w:val="22"/>
          <w:szCs w:val="21"/>
        </w:rPr>
      </w:pPr>
      <w:r>
        <w:rPr>
          <w:rFonts w:hint="eastAsia" w:cstheme="minorBidi"/>
          <w:sz w:val="22"/>
          <w:szCs w:val="21"/>
        </w:rPr>
        <w:t>法定代表人：</w:t>
      </w:r>
    </w:p>
    <w:p>
      <w:pPr>
        <w:ind w:firstLine="440" w:firstLineChars="200"/>
        <w:rPr>
          <w:rFonts w:cstheme="minorBidi"/>
          <w:sz w:val="22"/>
          <w:szCs w:val="21"/>
        </w:rPr>
      </w:pPr>
      <w:r>
        <w:rPr>
          <w:rFonts w:hint="eastAsia" w:cstheme="minorBidi"/>
          <w:sz w:val="22"/>
          <w:szCs w:val="21"/>
        </w:rPr>
        <w:t>地址：</w:t>
      </w:r>
    </w:p>
    <w:p>
      <w:pPr>
        <w:ind w:firstLine="440" w:firstLineChars="200"/>
        <w:rPr>
          <w:rFonts w:cstheme="minorBidi"/>
          <w:sz w:val="22"/>
          <w:szCs w:val="21"/>
        </w:rPr>
      </w:pPr>
    </w:p>
    <w:p>
      <w:pPr>
        <w:ind w:firstLine="440" w:firstLineChars="200"/>
        <w:rPr>
          <w:rFonts w:cstheme="minorBidi"/>
          <w:sz w:val="22"/>
          <w:szCs w:val="21"/>
        </w:rPr>
      </w:pPr>
      <w:r>
        <w:rPr>
          <w:rFonts w:hint="eastAsia" w:cstheme="minorBidi"/>
          <w:sz w:val="22"/>
          <w:szCs w:val="21"/>
        </w:rPr>
        <w:t xml:space="preserve">乙方： </w:t>
      </w:r>
    </w:p>
    <w:p>
      <w:pPr>
        <w:ind w:firstLine="440" w:firstLineChars="200"/>
        <w:rPr>
          <w:rFonts w:cstheme="minorBidi"/>
          <w:sz w:val="22"/>
          <w:szCs w:val="21"/>
        </w:rPr>
      </w:pPr>
      <w:r>
        <w:rPr>
          <w:rFonts w:hint="eastAsia" w:cstheme="minorBidi"/>
          <w:sz w:val="22"/>
          <w:szCs w:val="21"/>
        </w:rPr>
        <w:t xml:space="preserve">法定代表人： </w:t>
      </w:r>
    </w:p>
    <w:p>
      <w:pPr>
        <w:ind w:firstLine="440" w:firstLineChars="200"/>
        <w:rPr>
          <w:rFonts w:cstheme="minorBidi"/>
          <w:sz w:val="22"/>
          <w:szCs w:val="21"/>
        </w:rPr>
      </w:pPr>
      <w:r>
        <w:rPr>
          <w:rFonts w:hint="eastAsia" w:cstheme="minorBidi"/>
          <w:sz w:val="22"/>
          <w:szCs w:val="21"/>
        </w:rPr>
        <w:t xml:space="preserve">地址： </w:t>
      </w:r>
    </w:p>
    <w:p>
      <w:pPr>
        <w:ind w:firstLine="440" w:firstLineChars="200"/>
        <w:rPr>
          <w:rFonts w:cstheme="minorBidi"/>
          <w:sz w:val="22"/>
          <w:szCs w:val="21"/>
        </w:rPr>
      </w:pPr>
    </w:p>
    <w:p>
      <w:pPr>
        <w:ind w:firstLine="440" w:firstLineChars="200"/>
        <w:rPr>
          <w:rFonts w:cstheme="minorBidi"/>
          <w:sz w:val="22"/>
          <w:szCs w:val="21"/>
        </w:rPr>
      </w:pPr>
      <w:r>
        <w:rPr>
          <w:rFonts w:hint="eastAsia" w:cstheme="minorBidi"/>
          <w:sz w:val="22"/>
          <w:szCs w:val="21"/>
        </w:rPr>
        <w:t>根据《中华人民共和国民法典》等法律法规规定，本着平等互利、公开公正公平的原则，经甲、乙双方友好协商，现就</w:t>
      </w:r>
      <w:r>
        <w:rPr>
          <w:rFonts w:hint="eastAsia" w:cstheme="minorBidi"/>
          <w:sz w:val="22"/>
          <w:szCs w:val="21"/>
          <w:u w:val="single"/>
        </w:rPr>
        <w:t>江东新区示范标杆园区营商环境咨询</w:t>
      </w:r>
      <w:r>
        <w:rPr>
          <w:rFonts w:hint="eastAsia" w:cstheme="minorBidi"/>
          <w:sz w:val="22"/>
          <w:szCs w:val="21"/>
        </w:rPr>
        <w:t>服务事宜，达成以下协议，供双方遵照执行。</w:t>
      </w:r>
    </w:p>
    <w:p>
      <w:pPr>
        <w:spacing w:line="400" w:lineRule="exact"/>
        <w:ind w:firstLine="422" w:firstLineChars="200"/>
        <w:rPr>
          <w:rFonts w:ascii="宋体" w:hAnsi="宋体" w:cs="宋体"/>
          <w:b/>
          <w:bCs/>
          <w:szCs w:val="21"/>
        </w:rPr>
      </w:pPr>
    </w:p>
    <w:p>
      <w:pPr>
        <w:spacing w:line="400" w:lineRule="exact"/>
        <w:ind w:firstLine="422" w:firstLineChars="200"/>
        <w:rPr>
          <w:rFonts w:ascii="宋体" w:hAnsi="宋体" w:cs="宋体"/>
          <w:b/>
          <w:bCs/>
          <w:szCs w:val="21"/>
        </w:rPr>
      </w:pPr>
      <w:r>
        <w:rPr>
          <w:rFonts w:hint="eastAsia" w:ascii="宋体" w:hAnsi="宋体" w:cs="宋体"/>
          <w:b/>
          <w:bCs/>
          <w:szCs w:val="21"/>
        </w:rPr>
        <w:t>一、基本情况</w:t>
      </w:r>
    </w:p>
    <w:p>
      <w:pPr>
        <w:spacing w:line="400" w:lineRule="exact"/>
        <w:ind w:firstLine="422" w:firstLineChars="200"/>
        <w:rPr>
          <w:rFonts w:ascii="宋体" w:hAnsi="宋体" w:cs="宋体"/>
          <w:b/>
          <w:bCs/>
          <w:szCs w:val="21"/>
        </w:rPr>
      </w:pPr>
      <w:r>
        <w:rPr>
          <w:rFonts w:hint="eastAsia" w:ascii="宋体" w:hAnsi="宋体" w:cs="宋体"/>
          <w:b/>
          <w:bCs/>
          <w:szCs w:val="21"/>
        </w:rPr>
        <w:t>省营商环境建设厅制定《关于建设营商环境示范标杆园区加快打造一流营商环境行动方案》，并于2024年开展“营商环境示范标杆园区”创建工作，实现《海南自由贸易港建设总体方案》“到2025年营商环境总体达到国内一流”的目标要求。江东新区被选定为全省6个重点先行先试改革创新园区之一，结合省市国际一流营商环境创建工作要求及江东新区“出形象、聚人气、强管理、优服务”的工作总目标，率先成为示范标杆园区中的样板典范，委托第三方咨询服务机构提供咨询服务。</w:t>
      </w:r>
    </w:p>
    <w:p>
      <w:pPr>
        <w:spacing w:line="400" w:lineRule="exact"/>
        <w:ind w:firstLine="422" w:firstLineChars="200"/>
        <w:rPr>
          <w:rFonts w:ascii="宋体" w:hAnsi="宋体" w:cs="宋体"/>
          <w:b/>
          <w:bCs/>
          <w:szCs w:val="21"/>
        </w:rPr>
      </w:pPr>
      <w:r>
        <w:rPr>
          <w:rFonts w:hint="eastAsia" w:ascii="宋体" w:hAnsi="宋体" w:cs="宋体"/>
          <w:b/>
          <w:bCs/>
          <w:szCs w:val="21"/>
        </w:rPr>
        <w:t>二、委托内容</w:t>
      </w:r>
    </w:p>
    <w:p>
      <w:pPr>
        <w:spacing w:line="400" w:lineRule="exact"/>
        <w:ind w:firstLine="422" w:firstLineChars="200"/>
        <w:rPr>
          <w:b/>
          <w:bCs/>
          <w:color w:val="auto"/>
        </w:rPr>
      </w:pPr>
      <w:r>
        <w:rPr>
          <w:rFonts w:hint="eastAsia"/>
          <w:b/>
          <w:bCs/>
          <w:color w:val="auto"/>
        </w:rPr>
        <w:t>（一）工作内容</w:t>
      </w:r>
    </w:p>
    <w:p>
      <w:pPr>
        <w:spacing w:line="400" w:lineRule="exact"/>
        <w:ind w:firstLine="422" w:firstLineChars="200"/>
        <w:rPr>
          <w:color w:val="auto"/>
        </w:rPr>
      </w:pPr>
      <w:r>
        <w:rPr>
          <w:rFonts w:hint="eastAsia"/>
          <w:b/>
          <w:bCs/>
          <w:color w:val="auto"/>
        </w:rPr>
        <w:t>1.对标分析《海口江东新区营商环境示范标杆园区建设行动方案（2024年）》，提出再深化方向及具体举措</w:t>
      </w:r>
    </w:p>
    <w:p>
      <w:pPr>
        <w:spacing w:line="400" w:lineRule="exact"/>
        <w:ind w:firstLine="42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根据海口江东新区工作职责及省市赋予的法定权限，结合省市年度营商环境工作要求及</w:t>
      </w:r>
      <w:r>
        <w:rPr>
          <w:rFonts w:hint="eastAsia"/>
          <w:color w:val="auto"/>
        </w:rPr>
        <w:t>海南省营商环境建设厅“示范标杆园区”创建工作，结合</w:t>
      </w:r>
      <w:r>
        <w:rPr>
          <w:rFonts w:hint="eastAsia" w:asciiTheme="minorEastAsia" w:hAnsiTheme="minorEastAsia" w:eastAsiaTheme="minorEastAsia" w:cstheme="minorEastAsia"/>
          <w:bCs/>
          <w:color w:val="auto"/>
          <w:szCs w:val="21"/>
        </w:rPr>
        <w:t>江东新区发展实际，对标新加坡先进经验、国内先进地区经验和世行B－ready评价体系的10个主要指标领域，对江东新区已制定出台的《海口江东新区营商环境示范标杆园区建设行动方案》及各项任务清单完成情况进行中期评估，围绕江东新区“出形象、聚人气、优服务、强管理”的建设目标，提出年度营商环境建设再提升方向及具体举措，制定完成《海口江东新区营商环境示范标杆园区建设再优化提升行动方案（2024年）》（附四项任务清单）。</w:t>
      </w:r>
    </w:p>
    <w:p>
      <w:pPr>
        <w:spacing w:line="400" w:lineRule="exact"/>
        <w:ind w:firstLine="422" w:firstLineChars="200"/>
        <w:rPr>
          <w:b/>
          <w:bCs/>
          <w:color w:val="auto"/>
        </w:rPr>
      </w:pPr>
      <w:r>
        <w:rPr>
          <w:rFonts w:hint="eastAsia"/>
          <w:b/>
          <w:bCs/>
          <w:color w:val="auto"/>
        </w:rPr>
        <w:t>2.对标世行B-ready体系和国内外先进地区经验，研究制定《海口江东新区营商环境示范标杆园区建设行动方案（2025）》。</w:t>
      </w:r>
    </w:p>
    <w:p>
      <w:pPr>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围绕江东新区国际化、法治化、便利化营商环境建设，开展2024年江东新区营商环境示范标杆园区建设年度评估工作，出具评估报告（含取得成效及问题建议）。同时对标世行B-ready评价体系的10个主要指标领域、新加坡先进经验及国内先进地区经验，结合省市营商环境建设工作要求及江东新区示范标杆园区建设工作目标，制定完成《海口江东新区营商环境示范标杆园区建设行动方案（2025年）》（附四项任务清单）。</w:t>
      </w:r>
    </w:p>
    <w:p>
      <w:pPr>
        <w:spacing w:line="400" w:lineRule="exact"/>
        <w:ind w:firstLine="422" w:firstLineChars="200"/>
        <w:rPr>
          <w:b/>
          <w:color w:val="auto"/>
        </w:rPr>
      </w:pPr>
      <w:r>
        <w:rPr>
          <w:rFonts w:hint="eastAsia"/>
          <w:b/>
          <w:bCs/>
          <w:color w:val="auto"/>
        </w:rPr>
        <w:t>3.定期收集国内外营商环境典型经验案例与做法，为江东新区改革创新提供参考。</w:t>
      </w:r>
    </w:p>
    <w:p>
      <w:pPr>
        <w:spacing w:line="400" w:lineRule="exact"/>
        <w:ind w:firstLine="420" w:firstLineChars="200"/>
        <w:rPr>
          <w:b/>
          <w:color w:val="auto"/>
        </w:rPr>
      </w:pPr>
      <w:r>
        <w:rPr>
          <w:rFonts w:hint="eastAsia" w:asciiTheme="minorEastAsia" w:hAnsiTheme="minorEastAsia" w:eastAsiaTheme="minorEastAsia" w:cstheme="minorEastAsia"/>
          <w:bCs/>
          <w:color w:val="auto"/>
          <w:szCs w:val="21"/>
        </w:rPr>
        <w:t>以新加坡为重点学习对象，季度整理其在营商环境中服务企业的工作机制和经验举措，同时关注深圳、上海等先进城市营商环境改革经验动态，季度梳理典型营商环境改革经验举措做法，提出江东新区可借鉴学习的创新举措，汇编成册（共6期）。</w:t>
      </w:r>
    </w:p>
    <w:p>
      <w:pPr>
        <w:numPr>
          <w:ilvl w:val="255"/>
          <w:numId w:val="0"/>
        </w:numPr>
        <w:spacing w:line="400" w:lineRule="exact"/>
        <w:ind w:left="420"/>
        <w:rPr>
          <w:b/>
          <w:bCs/>
          <w:color w:val="auto"/>
        </w:rPr>
      </w:pPr>
      <w:r>
        <w:rPr>
          <w:rFonts w:hint="eastAsia"/>
          <w:b/>
          <w:bCs/>
          <w:color w:val="auto"/>
        </w:rPr>
        <w:t>（二）工作时间</w:t>
      </w:r>
    </w:p>
    <w:p>
      <w:pPr>
        <w:numPr>
          <w:ilvl w:val="255"/>
          <w:numId w:val="0"/>
        </w:numPr>
        <w:spacing w:line="400" w:lineRule="exact"/>
        <w:ind w:left="420"/>
        <w:rPr>
          <w:color w:val="auto"/>
        </w:rPr>
      </w:pPr>
      <w:r>
        <w:rPr>
          <w:rFonts w:hint="eastAsia"/>
          <w:color w:val="auto"/>
        </w:rPr>
        <w:t>自合同签订后至2025年12月31日。</w:t>
      </w:r>
    </w:p>
    <w:p>
      <w:pPr>
        <w:spacing w:line="400" w:lineRule="exact"/>
        <w:ind w:firstLine="422" w:firstLineChars="200"/>
        <w:rPr>
          <w:b/>
          <w:bCs/>
          <w:color w:val="auto"/>
        </w:rPr>
      </w:pPr>
      <w:r>
        <w:rPr>
          <w:rFonts w:hint="eastAsia"/>
          <w:b/>
          <w:bCs/>
          <w:color w:val="auto"/>
        </w:rPr>
        <w:t>（三）工作成果</w:t>
      </w:r>
    </w:p>
    <w:p>
      <w:pPr>
        <w:numPr>
          <w:ilvl w:val="255"/>
          <w:numId w:val="0"/>
        </w:numPr>
        <w:spacing w:line="400" w:lineRule="exact"/>
        <w:ind w:left="42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 2024年7月底前，对江东新区已制定出台的《海口江东新区营商环境示范标杆园区建设行动方案》及各项任务清单完成情况进行</w:t>
      </w:r>
      <w:bookmarkStart w:id="81" w:name="_Hlk168405520"/>
      <w:r>
        <w:rPr>
          <w:rFonts w:hint="eastAsia" w:asciiTheme="minorEastAsia" w:hAnsiTheme="minorEastAsia" w:eastAsiaTheme="minorEastAsia" w:cstheme="minorEastAsia"/>
          <w:bCs/>
          <w:color w:val="auto"/>
          <w:szCs w:val="21"/>
        </w:rPr>
        <w:t>中期评估</w:t>
      </w:r>
      <w:bookmarkEnd w:id="81"/>
      <w:r>
        <w:rPr>
          <w:rFonts w:hint="eastAsia" w:asciiTheme="minorEastAsia" w:hAnsiTheme="minorEastAsia" w:eastAsiaTheme="minorEastAsia" w:cstheme="minorEastAsia"/>
          <w:bCs/>
          <w:color w:val="auto"/>
          <w:szCs w:val="21"/>
        </w:rPr>
        <w:t>，完成评估报告。</w:t>
      </w:r>
    </w:p>
    <w:p>
      <w:pPr>
        <w:numPr>
          <w:ilvl w:val="255"/>
          <w:numId w:val="0"/>
        </w:numPr>
        <w:spacing w:line="400" w:lineRule="exact"/>
        <w:ind w:left="42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 2024年10月底前，根据研究成果, 提出2024年度营商环境建设再提升方向及具体举措，制定完成《海口江东新区营商环境示范标杆园区建设再优化提升行动方案（2024年）》（附四项任务清单）。</w:t>
      </w:r>
    </w:p>
    <w:p>
      <w:pPr>
        <w:numPr>
          <w:ilvl w:val="255"/>
          <w:numId w:val="0"/>
        </w:numPr>
        <w:spacing w:line="400" w:lineRule="exact"/>
        <w:ind w:left="420"/>
        <w:rPr>
          <w:color w:val="auto"/>
        </w:rPr>
      </w:pPr>
      <w:r>
        <w:rPr>
          <w:rFonts w:hint="eastAsia" w:asciiTheme="minorEastAsia" w:hAnsiTheme="minorEastAsia" w:eastAsiaTheme="minorEastAsia" w:cstheme="minorEastAsia"/>
          <w:bCs/>
          <w:color w:val="auto"/>
          <w:szCs w:val="21"/>
        </w:rPr>
        <w:t>3.2025年1月底前，开展2024年江东新区营商环境示范标杆园区建设年度评估工作，出具评估报告（含取得成效及问题建议）, 完成评估报告。</w:t>
      </w:r>
    </w:p>
    <w:p>
      <w:pPr>
        <w:numPr>
          <w:ilvl w:val="255"/>
          <w:numId w:val="0"/>
        </w:numPr>
        <w:spacing w:line="400" w:lineRule="exact"/>
        <w:ind w:left="420"/>
        <w:rPr>
          <w:color w:val="auto"/>
        </w:rPr>
      </w:pPr>
      <w:r>
        <w:rPr>
          <w:rFonts w:hint="eastAsia" w:asciiTheme="minorEastAsia" w:hAnsiTheme="minorEastAsia" w:eastAsiaTheme="minorEastAsia" w:cstheme="minorEastAsia"/>
          <w:bCs/>
          <w:color w:val="auto"/>
          <w:szCs w:val="21"/>
        </w:rPr>
        <w:t>4.2025年3月底前，制定完成《海口江东新区营商环境示范标杆园区建设行动方案（2025年）》（附四项任务清单）。</w:t>
      </w:r>
    </w:p>
    <w:p>
      <w:pPr>
        <w:numPr>
          <w:ilvl w:val="255"/>
          <w:numId w:val="0"/>
        </w:numPr>
        <w:spacing w:line="400" w:lineRule="exact"/>
        <w:ind w:left="420" w:leftChars="200"/>
        <w:rPr>
          <w:color w:val="auto"/>
        </w:rPr>
      </w:pPr>
      <w:r>
        <w:rPr>
          <w:rFonts w:hint="eastAsia"/>
          <w:color w:val="auto"/>
        </w:rPr>
        <w:t>5. 自签订之日起，每季度末次月15日前完成《营商环境经典案例</w:t>
      </w:r>
      <w:r>
        <w:rPr>
          <w:rFonts w:hint="eastAsia" w:asciiTheme="minorEastAsia" w:hAnsiTheme="minorEastAsia" w:eastAsiaTheme="minorEastAsia" w:cstheme="minorEastAsia"/>
          <w:bCs/>
          <w:color w:val="auto"/>
          <w:szCs w:val="21"/>
        </w:rPr>
        <w:t>汇编》，共计6期，包含江东新区可借鉴学习的创新举措。</w:t>
      </w:r>
    </w:p>
    <w:p>
      <w:pPr>
        <w:numPr>
          <w:ilvl w:val="255"/>
          <w:numId w:val="0"/>
        </w:numPr>
        <w:spacing w:line="400" w:lineRule="exact"/>
        <w:ind w:left="42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注：以上并经甲方组织的评定会议通过。</w:t>
      </w:r>
    </w:p>
    <w:p>
      <w:pPr>
        <w:numPr>
          <w:ilvl w:val="255"/>
          <w:numId w:val="0"/>
        </w:numPr>
        <w:spacing w:line="400" w:lineRule="exact"/>
        <w:ind w:firstLine="420" w:firstLineChars="200"/>
        <w:rPr>
          <w:color w:val="FF0000"/>
        </w:rPr>
      </w:pPr>
    </w:p>
    <w:p>
      <w:pPr>
        <w:pStyle w:val="12"/>
        <w:pBdr>
          <w:bottom w:val="none" w:color="auto" w:sz="0" w:space="0"/>
        </w:pBdr>
        <w:spacing w:line="400" w:lineRule="exact"/>
        <w:ind w:firstLine="422" w:firstLineChars="200"/>
        <w:jc w:val="both"/>
        <w:rPr>
          <w:rFonts w:ascii="宋体" w:hAnsi="宋体" w:cs="宋体"/>
          <w:b/>
          <w:bCs/>
          <w:sz w:val="21"/>
          <w:szCs w:val="21"/>
        </w:rPr>
      </w:pPr>
      <w:r>
        <w:rPr>
          <w:rFonts w:hint="eastAsia" w:ascii="宋体" w:hAnsi="宋体" w:cs="宋体"/>
          <w:b/>
          <w:bCs/>
          <w:sz w:val="21"/>
          <w:szCs w:val="21"/>
        </w:rPr>
        <w:t>三、权利和义务</w:t>
      </w:r>
    </w:p>
    <w:p>
      <w:pPr>
        <w:spacing w:line="400" w:lineRule="exact"/>
        <w:ind w:firstLine="420" w:firstLineChars="200"/>
        <w:rPr>
          <w:rFonts w:ascii="宋体" w:hAnsi="宋体" w:cs="宋体"/>
          <w:szCs w:val="21"/>
        </w:rPr>
      </w:pPr>
      <w:bookmarkStart w:id="82" w:name="bookmark16"/>
      <w:bookmarkEnd w:id="82"/>
      <w:r>
        <w:rPr>
          <w:rFonts w:hint="eastAsia" w:ascii="宋体" w:hAnsi="宋体" w:cs="宋体"/>
          <w:szCs w:val="21"/>
        </w:rPr>
        <w:t>（一）甲方的权利和义务</w:t>
      </w:r>
    </w:p>
    <w:p>
      <w:pPr>
        <w:spacing w:line="400" w:lineRule="exact"/>
        <w:ind w:firstLine="420" w:firstLineChars="200"/>
        <w:rPr>
          <w:rFonts w:ascii="宋体" w:hAnsi="宋体" w:cs="宋体"/>
          <w:szCs w:val="21"/>
        </w:rPr>
      </w:pPr>
      <w:bookmarkStart w:id="83" w:name="bookmark17"/>
      <w:bookmarkEnd w:id="83"/>
      <w:r>
        <w:rPr>
          <w:rFonts w:hint="eastAsia" w:ascii="宋体" w:hAnsi="宋体" w:cs="宋体"/>
          <w:szCs w:val="21"/>
        </w:rPr>
        <w:t>1.甲方有权指导、监督、检查和评估乙方履行本合同的全过程，并提出建议和改进意见。</w:t>
      </w:r>
    </w:p>
    <w:p>
      <w:pPr>
        <w:spacing w:line="400" w:lineRule="exact"/>
        <w:ind w:firstLine="420" w:firstLineChars="200"/>
        <w:rPr>
          <w:rFonts w:ascii="宋体" w:hAnsi="宋体" w:cs="宋体"/>
          <w:szCs w:val="21"/>
        </w:rPr>
      </w:pPr>
      <w:r>
        <w:rPr>
          <w:rFonts w:hint="eastAsia" w:ascii="宋体" w:hAnsi="宋体" w:cs="宋体"/>
          <w:szCs w:val="21"/>
        </w:rPr>
        <w:t>2.因本合同形成的相关著作权及乙方向甲方交付的工作成果的知识产权归甲方单独所有，乙方在获得甲方授权后可使用。</w:t>
      </w:r>
    </w:p>
    <w:p>
      <w:pPr>
        <w:spacing w:line="400" w:lineRule="exact"/>
        <w:ind w:firstLine="420" w:firstLineChars="200"/>
        <w:rPr>
          <w:rFonts w:ascii="宋体" w:hAnsi="宋体" w:cs="宋体"/>
          <w:szCs w:val="21"/>
        </w:rPr>
      </w:pPr>
      <w:bookmarkStart w:id="84" w:name="bookmark18"/>
      <w:bookmarkEnd w:id="84"/>
      <w:r>
        <w:rPr>
          <w:rFonts w:hint="eastAsia" w:ascii="宋体" w:hAnsi="宋体" w:cs="宋体"/>
          <w:szCs w:val="21"/>
        </w:rPr>
        <w:t>3.未经甲方书面同意，乙方不得将受托事务全部或部分转委托给第三方处理。</w:t>
      </w:r>
    </w:p>
    <w:p>
      <w:pPr>
        <w:spacing w:line="400" w:lineRule="exact"/>
        <w:ind w:firstLine="420" w:firstLineChars="200"/>
        <w:rPr>
          <w:rFonts w:ascii="宋体" w:hAnsi="宋体" w:cs="宋体"/>
          <w:szCs w:val="21"/>
        </w:rPr>
      </w:pPr>
      <w:bookmarkStart w:id="85" w:name="bookmark19"/>
      <w:bookmarkEnd w:id="85"/>
      <w:r>
        <w:rPr>
          <w:rFonts w:hint="eastAsia" w:ascii="宋体" w:hAnsi="宋体" w:cs="宋体"/>
          <w:szCs w:val="21"/>
        </w:rPr>
        <w:t>4.甲方如对服务内容调整，应与乙方另行协商。</w:t>
      </w:r>
    </w:p>
    <w:p>
      <w:pPr>
        <w:spacing w:line="400" w:lineRule="exact"/>
        <w:ind w:firstLine="420" w:firstLineChars="200"/>
        <w:rPr>
          <w:rFonts w:ascii="宋体" w:hAnsi="宋体" w:cs="宋体"/>
          <w:szCs w:val="21"/>
        </w:rPr>
      </w:pPr>
      <w:bookmarkStart w:id="86" w:name="bookmark20"/>
      <w:bookmarkEnd w:id="86"/>
      <w:r>
        <w:rPr>
          <w:rFonts w:hint="eastAsia" w:ascii="宋体" w:hAnsi="宋体" w:cs="宋体"/>
          <w:szCs w:val="21"/>
        </w:rPr>
        <w:t>5.甲方无正当理由不得拒付乙方已履行的委托事项的费用，但因乙方提供的服务不符合本合同约定且经甲方通知仍未纠正的除外。</w:t>
      </w:r>
    </w:p>
    <w:p>
      <w:pPr>
        <w:spacing w:line="400" w:lineRule="exact"/>
        <w:ind w:firstLine="420" w:firstLineChars="200"/>
        <w:rPr>
          <w:rFonts w:ascii="宋体" w:hAnsi="宋体" w:cs="宋体"/>
          <w:szCs w:val="21"/>
        </w:rPr>
      </w:pPr>
      <w:bookmarkStart w:id="87" w:name="bookmark22"/>
      <w:bookmarkEnd w:id="87"/>
      <w:bookmarkStart w:id="88" w:name="bookmark21"/>
      <w:bookmarkEnd w:id="88"/>
      <w:r>
        <w:rPr>
          <w:rFonts w:hint="eastAsia" w:ascii="宋体" w:hAnsi="宋体" w:cs="宋体"/>
          <w:szCs w:val="21"/>
        </w:rPr>
        <w:t>6.甲方在合同签订后，积极配合、协助乙方的服务工作，向乙方提供所需要的文件和资料，并对所提供资料的正确性、完整性及合法性负责。</w:t>
      </w:r>
    </w:p>
    <w:p>
      <w:pPr>
        <w:spacing w:line="400" w:lineRule="exact"/>
        <w:ind w:firstLine="420" w:firstLineChars="200"/>
        <w:rPr>
          <w:rFonts w:ascii="宋体" w:hAnsi="宋体" w:cs="宋体"/>
          <w:szCs w:val="21"/>
        </w:rPr>
      </w:pPr>
      <w:r>
        <w:rPr>
          <w:rFonts w:hint="eastAsia" w:ascii="宋体" w:hAnsi="宋体" w:cs="宋体"/>
          <w:szCs w:val="21"/>
        </w:rPr>
        <w:t>7.甲方应向乙方阐述对咨询服务的具体需求，负责审定乙方提出的预期研究时间、计划等，并进行过程控制。</w:t>
      </w:r>
    </w:p>
    <w:p>
      <w:pPr>
        <w:spacing w:line="400" w:lineRule="exact"/>
        <w:ind w:firstLine="420" w:firstLineChars="200"/>
        <w:rPr>
          <w:rFonts w:ascii="宋体" w:hAnsi="宋体" w:cs="宋体"/>
          <w:szCs w:val="21"/>
        </w:rPr>
      </w:pPr>
      <w:bookmarkStart w:id="89" w:name="bookmark23"/>
      <w:bookmarkEnd w:id="89"/>
      <w:bookmarkStart w:id="90" w:name="bookmark24"/>
      <w:bookmarkEnd w:id="90"/>
      <w:bookmarkStart w:id="91" w:name="bookmark25"/>
      <w:bookmarkEnd w:id="91"/>
      <w:r>
        <w:rPr>
          <w:rFonts w:hint="eastAsia" w:ascii="宋体" w:hAnsi="宋体" w:cs="宋体"/>
          <w:szCs w:val="21"/>
        </w:rPr>
        <w:t>8.针对乙方所提交的各项研究成果，有权在合理范围内对研究成果提出修改完善的要求、建议及意见.</w:t>
      </w:r>
    </w:p>
    <w:p>
      <w:pPr>
        <w:spacing w:line="400" w:lineRule="exact"/>
        <w:ind w:firstLine="420" w:firstLineChars="200"/>
        <w:rPr>
          <w:rFonts w:ascii="宋体" w:hAnsi="宋体" w:cs="宋体"/>
          <w:szCs w:val="21"/>
        </w:rPr>
      </w:pPr>
      <w:bookmarkStart w:id="92" w:name="_Hlk121154167"/>
      <w:r>
        <w:rPr>
          <w:rFonts w:hint="eastAsia" w:ascii="宋体" w:hAnsi="宋体" w:cs="宋体"/>
          <w:szCs w:val="21"/>
        </w:rPr>
        <w:t>（二）乙方的权利和义务</w:t>
      </w:r>
    </w:p>
    <w:bookmarkEnd w:id="92"/>
    <w:p>
      <w:pPr>
        <w:spacing w:line="400" w:lineRule="exact"/>
        <w:ind w:firstLine="420" w:firstLineChars="200"/>
        <w:rPr>
          <w:rFonts w:ascii="宋体" w:hAnsi="宋体" w:cs="宋体"/>
          <w:szCs w:val="21"/>
        </w:rPr>
      </w:pPr>
      <w:bookmarkStart w:id="93" w:name="bookmark26"/>
      <w:bookmarkEnd w:id="93"/>
      <w:r>
        <w:rPr>
          <w:rFonts w:hint="eastAsia" w:ascii="宋体" w:hAnsi="宋体" w:cs="宋体"/>
          <w:szCs w:val="21"/>
        </w:rPr>
        <w:t>1.乙方有权要求甲方按合同约定的金额、方式、时间支付服务费用。</w:t>
      </w:r>
    </w:p>
    <w:p>
      <w:pPr>
        <w:spacing w:line="400" w:lineRule="exact"/>
        <w:ind w:firstLine="420" w:firstLineChars="200"/>
        <w:rPr>
          <w:rFonts w:ascii="宋体" w:hAnsi="宋体" w:cs="宋体"/>
          <w:szCs w:val="21"/>
        </w:rPr>
      </w:pPr>
      <w:bookmarkStart w:id="94" w:name="bookmark27"/>
      <w:bookmarkEnd w:id="94"/>
      <w:r>
        <w:rPr>
          <w:rFonts w:hint="eastAsia" w:ascii="宋体" w:hAnsi="宋体" w:cs="宋体"/>
          <w:szCs w:val="21"/>
        </w:rPr>
        <w:t>2负责按相关规范标准，按照本合同要求，针对甲方需求开展研究工作。</w:t>
      </w:r>
    </w:p>
    <w:p>
      <w:pPr>
        <w:spacing w:line="400" w:lineRule="exact"/>
        <w:ind w:firstLine="420" w:firstLineChars="200"/>
        <w:rPr>
          <w:rFonts w:ascii="宋体" w:hAnsi="宋体" w:cs="宋体"/>
          <w:szCs w:val="21"/>
        </w:rPr>
      </w:pPr>
      <w:r>
        <w:rPr>
          <w:rFonts w:hint="eastAsia" w:ascii="宋体" w:hAnsi="宋体" w:cs="宋体"/>
          <w:szCs w:val="21"/>
        </w:rPr>
        <w:t>3.全面负责具体研究工作，在约定的时间内通过调研、资料收集等工作开展研究，未经甲方同意不得变更工作内容；按合同约定时间提交研究成果，并对成果文件的真实性、合法性、完整性负责。</w:t>
      </w:r>
    </w:p>
    <w:p>
      <w:pPr>
        <w:spacing w:line="400" w:lineRule="exact"/>
        <w:ind w:firstLine="420" w:firstLineChars="200"/>
        <w:rPr>
          <w:rFonts w:ascii="宋体" w:hAnsi="宋体" w:cs="宋体"/>
          <w:szCs w:val="21"/>
        </w:rPr>
      </w:pPr>
      <w:r>
        <w:rPr>
          <w:rFonts w:hint="eastAsia" w:ascii="宋体" w:hAnsi="宋体" w:cs="宋体"/>
          <w:szCs w:val="21"/>
        </w:rPr>
        <w:t>4.乙方应根据甲方合理意见对研究成果内容做调整、修改和补充。</w:t>
      </w:r>
    </w:p>
    <w:p>
      <w:pPr>
        <w:spacing w:line="400" w:lineRule="exact"/>
        <w:ind w:firstLine="420" w:firstLineChars="200"/>
        <w:rPr>
          <w:rFonts w:ascii="宋体" w:hAnsi="宋体" w:cs="宋体"/>
          <w:szCs w:val="21"/>
        </w:rPr>
      </w:pPr>
      <w:r>
        <w:rPr>
          <w:rFonts w:hint="eastAsia" w:ascii="宋体" w:hAnsi="宋体" w:cs="宋体"/>
          <w:szCs w:val="21"/>
        </w:rPr>
        <w:t>5.按照本合同约定为甲方提供研究成果相关的纸质文案和电子文档。</w:t>
      </w:r>
    </w:p>
    <w:p>
      <w:pPr>
        <w:spacing w:line="400" w:lineRule="exact"/>
        <w:ind w:firstLine="420" w:firstLineChars="200"/>
        <w:rPr>
          <w:rFonts w:ascii="宋体" w:hAnsi="宋体" w:cs="宋体"/>
          <w:szCs w:val="21"/>
        </w:rPr>
      </w:pPr>
      <w:r>
        <w:rPr>
          <w:rFonts w:hint="eastAsia" w:ascii="宋体" w:hAnsi="宋体" w:cs="宋体"/>
          <w:szCs w:val="21"/>
        </w:rPr>
        <w:t>6.乙方对甲方需求及研究成果内容负有保密责任。乙方对甲方及市政府部门就本项目的秘密信息承担保密义务。</w:t>
      </w:r>
    </w:p>
    <w:p>
      <w:pPr>
        <w:spacing w:line="400" w:lineRule="exact"/>
        <w:ind w:firstLine="420" w:firstLineChars="200"/>
        <w:rPr>
          <w:rFonts w:ascii="宋体" w:hAnsi="宋体" w:cs="宋体"/>
          <w:szCs w:val="21"/>
        </w:rPr>
      </w:pPr>
      <w:r>
        <w:rPr>
          <w:rFonts w:hint="eastAsia" w:ascii="宋体" w:hAnsi="宋体" w:cs="宋体"/>
          <w:szCs w:val="21"/>
        </w:rPr>
        <w:t>7.乙方不得委托他方代为履行合同。</w:t>
      </w:r>
    </w:p>
    <w:p>
      <w:pPr>
        <w:spacing w:line="400" w:lineRule="exact"/>
        <w:ind w:firstLine="420" w:firstLineChars="200"/>
        <w:rPr>
          <w:rFonts w:ascii="宋体" w:hAnsi="宋体" w:cs="宋体"/>
          <w:szCs w:val="21"/>
        </w:rPr>
      </w:pPr>
      <w:r>
        <w:rPr>
          <w:rFonts w:hint="eastAsia" w:ascii="宋体" w:hAnsi="宋体" w:cs="宋体"/>
          <w:szCs w:val="21"/>
        </w:rPr>
        <w:t>8.乙方应采取合法方式履行本合同义务，不得侵犯第三方权利。</w:t>
      </w:r>
      <w:bookmarkStart w:id="95" w:name="bookmark28"/>
      <w:bookmarkEnd w:id="95"/>
      <w:bookmarkStart w:id="96" w:name="bookmark29"/>
      <w:bookmarkEnd w:id="96"/>
      <w:r>
        <w:rPr>
          <w:rFonts w:hint="eastAsia" w:ascii="宋体" w:hAnsi="宋体" w:cs="宋体"/>
          <w:szCs w:val="21"/>
        </w:rPr>
        <w:t>。</w:t>
      </w:r>
    </w:p>
    <w:p>
      <w:pPr>
        <w:spacing w:line="400" w:lineRule="exact"/>
        <w:ind w:firstLine="422" w:firstLineChars="200"/>
        <w:rPr>
          <w:rFonts w:ascii="宋体" w:hAnsi="宋体" w:cs="宋体"/>
          <w:b/>
          <w:bCs/>
          <w:szCs w:val="21"/>
        </w:rPr>
      </w:pPr>
      <w:bookmarkStart w:id="97" w:name="bookmark31"/>
      <w:bookmarkEnd w:id="97"/>
      <w:bookmarkStart w:id="98" w:name="bookmark30"/>
      <w:bookmarkEnd w:id="98"/>
      <w:r>
        <w:rPr>
          <w:rFonts w:hint="eastAsia" w:ascii="宋体" w:hAnsi="宋体" w:cs="宋体"/>
          <w:b/>
          <w:bCs/>
          <w:szCs w:val="21"/>
        </w:rPr>
        <w:t>四、知识产权、保密责任和廉洁条款</w:t>
      </w:r>
    </w:p>
    <w:p>
      <w:pPr>
        <w:spacing w:line="400" w:lineRule="exact"/>
        <w:ind w:firstLine="420" w:firstLineChars="200"/>
        <w:rPr>
          <w:rFonts w:ascii="宋体" w:hAnsi="宋体" w:cs="宋体"/>
          <w:szCs w:val="21"/>
        </w:rPr>
      </w:pPr>
      <w:r>
        <w:rPr>
          <w:rFonts w:hint="eastAsia" w:ascii="宋体" w:hAnsi="宋体" w:cs="宋体"/>
          <w:szCs w:val="21"/>
        </w:rPr>
        <w:t>1.乙方在本项目工作开展过程中所收集的基础材料、所形成的工作成果及报告知识产权归甲方所有。除非甲方授权，乙方保证不得用于其他目的，包括但不限于向第三方透露材料的任何内容。</w:t>
      </w:r>
    </w:p>
    <w:p>
      <w:pPr>
        <w:spacing w:line="400" w:lineRule="exact"/>
        <w:ind w:firstLine="420" w:firstLineChars="200"/>
        <w:rPr>
          <w:rFonts w:ascii="宋体" w:hAnsi="宋体" w:cs="宋体"/>
          <w:szCs w:val="21"/>
        </w:rPr>
      </w:pPr>
      <w:r>
        <w:rPr>
          <w:rFonts w:hint="eastAsia" w:ascii="宋体" w:hAnsi="宋体" w:cs="宋体"/>
          <w:szCs w:val="21"/>
        </w:rPr>
        <w:t>2.甲乙双方均应严格遵守保密工作管理要求，不得向其它与本项目无关的主体透露本项目合作的有关方法和成果性材料。</w:t>
      </w:r>
    </w:p>
    <w:p>
      <w:pPr>
        <w:pStyle w:val="61"/>
        <w:spacing w:line="400" w:lineRule="exact"/>
        <w:ind w:firstLine="420" w:firstLineChars="200"/>
        <w:rPr>
          <w:rFonts w:ascii="宋体" w:hAnsi="宋体" w:eastAsia="宋体" w:cs="宋体"/>
          <w:sz w:val="21"/>
          <w:szCs w:val="21"/>
          <w:lang w:val="en-US" w:eastAsia="zh-CN" w:bidi="en-US"/>
        </w:rPr>
      </w:pPr>
      <w:r>
        <w:rPr>
          <w:rFonts w:hint="eastAsia" w:ascii="宋体" w:hAnsi="宋体" w:eastAsia="宋体" w:cs="宋体"/>
          <w:sz w:val="21"/>
          <w:szCs w:val="21"/>
          <w:lang w:val="en-US" w:eastAsia="zh-CN" w:bidi="en-US"/>
        </w:rPr>
        <w:t>3.甲乙双方应严格遵守中华人民共和国反商业贿赂的法律规定，双方以任何形式的贿赂和贪渎行为都将触犯法律，并将受到法律的严惩，甲乙双方均严格禁止经办人员的任何商业贿赂行为，自觉遵守有关法律法规、规章制度中关于公平交易、廉洁自律、反对腐败等相关规定。若任何一方违反廉洁承诺，守约方有权随时单方终止与违约方的合作而无需承担任何违约责任，且守约方有权要求违约方承担违约责任，并退回所取得的任何不正当利益。若行为涉及刑事责任的，双方应按照《中华人民共和国刑法》及其他法律规定将相关责任人交由司法机关追究法律责任</w:t>
      </w:r>
      <w:r>
        <w:rPr>
          <w:rFonts w:hint="eastAsia" w:ascii="宋体" w:hAnsi="宋体" w:eastAsia="宋体" w:cs="宋体"/>
          <w:sz w:val="21"/>
          <w:szCs w:val="21"/>
          <w:lang w:eastAsia="zh-CN"/>
        </w:rPr>
        <w:t>。</w:t>
      </w:r>
    </w:p>
    <w:p>
      <w:pPr>
        <w:spacing w:line="400" w:lineRule="exact"/>
        <w:ind w:firstLine="422" w:firstLineChars="200"/>
        <w:rPr>
          <w:rFonts w:ascii="宋体" w:hAnsi="宋体" w:cs="宋体"/>
          <w:b/>
          <w:bCs/>
          <w:szCs w:val="21"/>
        </w:rPr>
      </w:pPr>
      <w:r>
        <w:rPr>
          <w:rFonts w:hint="eastAsia" w:ascii="宋体" w:hAnsi="宋体" w:cs="宋体"/>
          <w:b/>
          <w:bCs/>
          <w:szCs w:val="21"/>
        </w:rPr>
        <w:t>五、委托费用和支付方式</w:t>
      </w:r>
    </w:p>
    <w:p>
      <w:pPr>
        <w:pStyle w:val="61"/>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项目总费用为</w:t>
      </w:r>
      <w:r>
        <w:rPr>
          <w:rFonts w:hint="eastAsia" w:ascii="宋体" w:hAnsi="宋体" w:eastAsia="宋体" w:cs="宋体"/>
          <w:sz w:val="21"/>
          <w:szCs w:val="21"/>
          <w:lang w:eastAsia="zh-CN"/>
        </w:rPr>
        <w:t>人民币</w:t>
      </w:r>
      <w:r>
        <w:rPr>
          <w:rFonts w:hint="eastAsia" w:ascii="宋体" w:hAnsi="宋体" w:eastAsia="宋体" w:cs="宋体"/>
          <w:sz w:val="21"/>
          <w:szCs w:val="21"/>
          <w:lang w:val="en-US" w:eastAsia="zh-CN"/>
        </w:rPr>
        <w:t xml:space="preserve">   整</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元</w:t>
      </w:r>
      <w:r>
        <w:rPr>
          <w:rFonts w:hint="eastAsia" w:ascii="宋体" w:hAnsi="宋体" w:eastAsia="宋体" w:cs="宋体"/>
          <w:sz w:val="21"/>
          <w:szCs w:val="21"/>
        </w:rPr>
        <w:t>)，含完成</w:t>
      </w:r>
      <w:r>
        <w:rPr>
          <w:rFonts w:hint="eastAsia" w:ascii="宋体" w:hAnsi="宋体" w:eastAsia="宋体" w:cs="宋体"/>
          <w:sz w:val="21"/>
          <w:szCs w:val="21"/>
          <w:lang w:val="en-US" w:eastAsia="zh-CN"/>
        </w:rPr>
        <w:t>本</w:t>
      </w:r>
      <w:r>
        <w:rPr>
          <w:rFonts w:hint="eastAsia" w:ascii="宋体" w:hAnsi="宋体" w:eastAsia="宋体" w:cs="宋体"/>
          <w:sz w:val="21"/>
          <w:szCs w:val="21"/>
        </w:rPr>
        <w:t>项目所产生的所有费用。</w:t>
      </w:r>
    </w:p>
    <w:p>
      <w:pPr>
        <w:pStyle w:val="61"/>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费用分</w:t>
      </w:r>
      <w:r>
        <w:rPr>
          <w:rFonts w:hint="eastAsia" w:ascii="宋体" w:hAnsi="宋体" w:eastAsia="宋体" w:cs="宋体"/>
          <w:sz w:val="21"/>
          <w:szCs w:val="21"/>
          <w:lang w:val="en-US" w:eastAsia="zh-CN"/>
        </w:rPr>
        <w:t>三</w:t>
      </w:r>
      <w:r>
        <w:rPr>
          <w:rFonts w:hint="eastAsia" w:ascii="宋体" w:hAnsi="宋体" w:eastAsia="宋体" w:cs="宋体"/>
          <w:sz w:val="21"/>
          <w:szCs w:val="21"/>
        </w:rPr>
        <w:t>期支付。</w:t>
      </w:r>
    </w:p>
    <w:p>
      <w:pPr>
        <w:pStyle w:val="61"/>
        <w:spacing w:line="400" w:lineRule="exact"/>
        <w:ind w:firstLine="420" w:firstLineChars="200"/>
        <w:rPr>
          <w:rFonts w:ascii="宋体" w:hAnsi="宋体" w:eastAsia="宋体" w:cs="宋体"/>
          <w:sz w:val="21"/>
          <w:szCs w:val="21"/>
          <w:lang w:val="en-US" w:eastAsia="zh-CN"/>
        </w:rPr>
      </w:pPr>
      <w:r>
        <w:rPr>
          <w:rFonts w:hint="eastAsia" w:ascii="宋体" w:hAnsi="宋体" w:eastAsia="宋体" w:cs="宋体"/>
          <w:sz w:val="21"/>
          <w:szCs w:val="21"/>
        </w:rPr>
        <w:t>第一笔：</w:t>
      </w:r>
      <w:r>
        <w:rPr>
          <w:rFonts w:hint="eastAsia" w:ascii="宋体" w:hAnsi="宋体" w:eastAsia="宋体" w:cs="宋体"/>
          <w:sz w:val="21"/>
          <w:szCs w:val="21"/>
          <w:lang w:val="en-US" w:eastAsia="zh-CN"/>
        </w:rPr>
        <w:t>本合同生效后且</w:t>
      </w:r>
      <w:r>
        <w:rPr>
          <w:rFonts w:hint="eastAsia" w:ascii="宋体" w:hAnsi="宋体" w:eastAsia="宋体" w:cs="宋体"/>
          <w:sz w:val="21"/>
          <w:szCs w:val="21"/>
        </w:rPr>
        <w:t>乙方提供</w:t>
      </w:r>
      <w:r>
        <w:rPr>
          <w:rFonts w:hint="eastAsia" w:ascii="宋体" w:hAnsi="宋体" w:eastAsia="宋体" w:cs="宋体"/>
          <w:sz w:val="21"/>
          <w:szCs w:val="21"/>
          <w:lang w:val="en-US" w:eastAsia="zh-CN"/>
        </w:rPr>
        <w:t>增值税专用发票</w:t>
      </w:r>
      <w:r>
        <w:rPr>
          <w:rFonts w:hint="eastAsia" w:ascii="宋体" w:hAnsi="宋体" w:eastAsia="宋体" w:cs="宋体"/>
          <w:sz w:val="21"/>
          <w:szCs w:val="21"/>
        </w:rPr>
        <w:t>之日起</w:t>
      </w:r>
      <w:r>
        <w:rPr>
          <w:rFonts w:hint="eastAsia" w:ascii="宋体" w:hAnsi="宋体" w:eastAsia="宋体" w:cs="宋体"/>
          <w:sz w:val="21"/>
          <w:szCs w:val="21"/>
          <w:lang w:val="en-US" w:eastAsia="zh-CN"/>
        </w:rPr>
        <w:t>1</w:t>
      </w:r>
      <w:r>
        <w:rPr>
          <w:rFonts w:hint="eastAsia" w:ascii="宋体" w:hAnsi="宋体" w:eastAsia="宋体" w:cs="宋体"/>
          <w:sz w:val="21"/>
          <w:szCs w:val="21"/>
        </w:rPr>
        <w:t>5个工作日内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w:t>
      </w:r>
      <w:r>
        <w:rPr>
          <w:rFonts w:hint="eastAsia" w:ascii="宋体" w:hAnsi="宋体" w:eastAsia="宋体" w:cs="宋体"/>
          <w:sz w:val="21"/>
          <w:szCs w:val="21"/>
        </w:rPr>
        <w:t>向乙方支付项目总费用</w:t>
      </w:r>
      <w:r>
        <w:rPr>
          <w:rFonts w:hint="eastAsia" w:ascii="宋体" w:hAnsi="宋体" w:eastAsia="宋体" w:cs="宋体"/>
          <w:sz w:val="21"/>
          <w:szCs w:val="21"/>
          <w:lang w:val="en-US" w:eastAsia="zh-CN"/>
        </w:rPr>
        <w:t>3</w:t>
      </w:r>
      <w:r>
        <w:rPr>
          <w:rFonts w:hint="eastAsia" w:ascii="宋体" w:hAnsi="宋体" w:eastAsia="宋体" w:cs="宋体"/>
          <w:sz w:val="21"/>
          <w:szCs w:val="21"/>
        </w:rPr>
        <w:t>0%款项，即人民币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.00</w:t>
      </w:r>
      <w:r>
        <w:rPr>
          <w:rFonts w:hint="eastAsia" w:ascii="宋体" w:hAnsi="宋体" w:eastAsia="宋体" w:cs="宋体"/>
          <w:sz w:val="21"/>
          <w:szCs w:val="21"/>
          <w:lang w:eastAsia="zh-CN"/>
        </w:rPr>
        <w:t>元</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如</w:t>
      </w:r>
      <w:r>
        <w:rPr>
          <w:rFonts w:hint="eastAsia" w:ascii="宋体" w:hAnsi="宋体" w:eastAsia="宋体" w:cs="宋体"/>
          <w:sz w:val="21"/>
          <w:szCs w:val="21"/>
          <w:lang w:eastAsia="zh-CN"/>
        </w:rPr>
        <w:t>甲方</w:t>
      </w:r>
      <w:r>
        <w:rPr>
          <w:rFonts w:hint="eastAsia" w:ascii="宋体" w:hAnsi="宋体" w:eastAsia="宋体" w:cs="宋体"/>
          <w:sz w:val="21"/>
          <w:szCs w:val="21"/>
        </w:rPr>
        <w:t>出现年底关账等特殊情况无法及时支付费用，付款可顺延</w:t>
      </w:r>
      <w:r>
        <w:rPr>
          <w:rFonts w:hint="eastAsia" w:ascii="宋体" w:hAnsi="宋体" w:eastAsia="宋体" w:cs="宋体"/>
          <w:sz w:val="21"/>
          <w:szCs w:val="21"/>
          <w:lang w:eastAsia="zh-CN"/>
        </w:rPr>
        <w:t>。</w:t>
      </w:r>
    </w:p>
    <w:p>
      <w:pPr>
        <w:pStyle w:val="61"/>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第二笔：</w:t>
      </w:r>
      <w:r>
        <w:rPr>
          <w:rFonts w:hint="eastAsia" w:ascii="宋体" w:hAnsi="宋体" w:eastAsia="宋体" w:cs="宋体"/>
          <w:color w:val="auto"/>
          <w:sz w:val="21"/>
          <w:szCs w:val="21"/>
          <w:lang w:val="en-US" w:eastAsia="zh-CN"/>
        </w:rPr>
        <w:t>乙方完成《2024年营商环境中期评估报告》《海口江东新区营商环境示范标杆园区建设再优化提升行动方案（2024年）》（附四项任务清单）及2024年三季度、四季度《营商环境经典案例汇编》，并经采购人内部评审通过之后</w:t>
      </w:r>
      <w:r>
        <w:rPr>
          <w:rFonts w:hint="eastAsia" w:ascii="宋体" w:hAnsi="宋体" w:eastAsia="宋体" w:cs="宋体"/>
          <w:color w:val="auto"/>
          <w:sz w:val="21"/>
          <w:szCs w:val="21"/>
        </w:rPr>
        <w:t>，乙方</w:t>
      </w:r>
      <w:r>
        <w:rPr>
          <w:rFonts w:hint="eastAsia" w:ascii="宋体" w:hAnsi="宋体" w:eastAsia="宋体" w:cs="宋体"/>
          <w:color w:val="auto"/>
          <w:sz w:val="21"/>
          <w:szCs w:val="21"/>
          <w:lang w:val="en-US" w:eastAsia="zh-CN"/>
        </w:rPr>
        <w:t>开具增值税专用发票</w:t>
      </w:r>
      <w:r>
        <w:rPr>
          <w:rFonts w:hint="eastAsia" w:ascii="宋体" w:hAnsi="宋体" w:eastAsia="宋体" w:cs="宋体"/>
          <w:color w:val="auto"/>
          <w:sz w:val="21"/>
          <w:szCs w:val="21"/>
        </w:rPr>
        <w:t>之日起</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5个工作日内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由</w:t>
      </w:r>
      <w:r>
        <w:rPr>
          <w:rFonts w:hint="eastAsia" w:ascii="宋体" w:hAnsi="宋体" w:eastAsia="宋体" w:cs="宋体"/>
          <w:color w:val="auto"/>
          <w:sz w:val="21"/>
          <w:szCs w:val="21"/>
        </w:rPr>
        <w:t>甲方向乙方支付项目总费用</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0%款项，即人民币</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.00</w:t>
      </w:r>
      <w:r>
        <w:rPr>
          <w:rFonts w:hint="eastAsia" w:ascii="宋体" w:hAnsi="宋体" w:eastAsia="宋体" w:cs="宋体"/>
          <w:color w:val="auto"/>
          <w:sz w:val="21"/>
          <w:szCs w:val="21"/>
          <w:lang w:eastAsia="zh-CN"/>
        </w:rPr>
        <w:t>元</w:t>
      </w:r>
      <w:r>
        <w:rPr>
          <w:rFonts w:hint="eastAsia" w:ascii="宋体" w:hAnsi="宋体" w:eastAsia="宋体" w:cs="宋体"/>
          <w:color w:val="auto"/>
          <w:sz w:val="21"/>
          <w:szCs w:val="21"/>
        </w:rPr>
        <w:t>）；</w:t>
      </w:r>
    </w:p>
    <w:p>
      <w:pPr>
        <w:numPr>
          <w:ilvl w:val="255"/>
          <w:numId w:val="0"/>
        </w:numPr>
        <w:spacing w:line="400" w:lineRule="exact"/>
        <w:ind w:firstLine="420" w:firstLineChars="200"/>
        <w:rPr>
          <w:rFonts w:ascii="宋体" w:hAnsi="宋体" w:cs="宋体"/>
          <w:szCs w:val="21"/>
        </w:rPr>
      </w:pPr>
      <w:r>
        <w:rPr>
          <w:rFonts w:hint="eastAsia" w:ascii="宋体" w:hAnsi="宋体" w:cs="宋体"/>
          <w:color w:val="auto"/>
          <w:szCs w:val="21"/>
        </w:rPr>
        <w:t>第三笔：乙方完成《</w:t>
      </w:r>
      <w:r>
        <w:rPr>
          <w:rFonts w:hint="eastAsia" w:asciiTheme="minorEastAsia" w:hAnsiTheme="minorEastAsia" w:eastAsiaTheme="minorEastAsia" w:cstheme="minorEastAsia"/>
          <w:bCs/>
          <w:color w:val="auto"/>
          <w:szCs w:val="21"/>
        </w:rPr>
        <w:t>2024年江东新区营商环境示范标杆园区建设年度评估报告</w:t>
      </w:r>
      <w:r>
        <w:rPr>
          <w:rFonts w:hint="eastAsia" w:ascii="宋体" w:hAnsi="宋体" w:cs="宋体"/>
          <w:color w:val="auto"/>
          <w:szCs w:val="21"/>
        </w:rPr>
        <w:t>》</w:t>
      </w:r>
      <w:r>
        <w:rPr>
          <w:rFonts w:hint="eastAsia" w:asciiTheme="minorEastAsia" w:hAnsiTheme="minorEastAsia" w:eastAsiaTheme="minorEastAsia" w:cstheme="minorEastAsia"/>
          <w:bCs/>
          <w:color w:val="auto"/>
          <w:szCs w:val="21"/>
        </w:rPr>
        <w:t>《海口江东新区营商环境示范标杆园区建设行动方案（2025年）》（附四项任务清单）、2025年四个季度</w:t>
      </w:r>
      <w:r>
        <w:rPr>
          <w:rFonts w:hint="eastAsia"/>
          <w:color w:val="auto"/>
        </w:rPr>
        <w:t>《营商环境经典案例</w:t>
      </w:r>
      <w:r>
        <w:rPr>
          <w:rFonts w:hint="eastAsia" w:asciiTheme="minorEastAsia" w:hAnsiTheme="minorEastAsia" w:eastAsiaTheme="minorEastAsia" w:cstheme="minorEastAsia"/>
          <w:bCs/>
          <w:color w:val="auto"/>
          <w:szCs w:val="21"/>
        </w:rPr>
        <w:t>汇编》</w:t>
      </w:r>
      <w:r>
        <w:rPr>
          <w:rFonts w:hint="eastAsia" w:ascii="宋体" w:hAnsi="宋体" w:cs="宋体"/>
          <w:color w:val="auto"/>
          <w:szCs w:val="21"/>
        </w:rPr>
        <w:t>并经采购人内部评审通过之后，乙方开具增值税专用发票，</w:t>
      </w:r>
      <w:r>
        <w:rPr>
          <w:rFonts w:hint="eastAsia" w:ascii="宋体" w:hAnsi="宋体" w:cs="宋体"/>
          <w:szCs w:val="21"/>
        </w:rPr>
        <w:t>甲方自收到发票之日起15个工作日内向乙方支付项目总费用的40%款项，即人民币    整（￥</w:t>
      </w:r>
      <w:r>
        <w:rPr>
          <w:rFonts w:hint="eastAsia" w:ascii="宋体" w:hAnsi="宋体" w:cs="宋体"/>
          <w:szCs w:val="21"/>
          <w:u w:val="single"/>
        </w:rPr>
        <w:t xml:space="preserve">      </w:t>
      </w:r>
      <w:r>
        <w:rPr>
          <w:rFonts w:hint="eastAsia" w:ascii="宋体" w:hAnsi="宋体" w:cs="宋体"/>
          <w:szCs w:val="21"/>
        </w:rPr>
        <w:t>.00元）。如甲方出现年底关账等特殊情况无法及时支付费用，付款可顺延。</w:t>
      </w:r>
    </w:p>
    <w:p>
      <w:pPr>
        <w:pStyle w:val="61"/>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以上款项转账支付至乙方以下银行账户后，甲方不再另行支付任何费用。</w:t>
      </w:r>
    </w:p>
    <w:p>
      <w:pPr>
        <w:pStyle w:val="61"/>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账户名称：                  </w:t>
      </w:r>
    </w:p>
    <w:p>
      <w:pPr>
        <w:pStyle w:val="61"/>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开户银行：</w:t>
      </w:r>
    </w:p>
    <w:p>
      <w:pPr>
        <w:pStyle w:val="61"/>
        <w:spacing w:line="400" w:lineRule="exact"/>
        <w:ind w:firstLine="420" w:firstLineChars="200"/>
        <w:rPr>
          <w:rFonts w:ascii="宋体" w:hAnsi="宋体" w:eastAsia="宋体" w:cs="宋体"/>
          <w:sz w:val="21"/>
          <w:szCs w:val="21"/>
          <w:lang w:val="en-US" w:eastAsia="zh-CN"/>
        </w:rPr>
      </w:pPr>
      <w:r>
        <w:rPr>
          <w:rFonts w:hint="eastAsia" w:ascii="宋体" w:hAnsi="宋体" w:eastAsia="宋体" w:cs="宋体"/>
          <w:sz w:val="21"/>
          <w:szCs w:val="21"/>
        </w:rPr>
        <w:t>银行账号：</w:t>
      </w:r>
    </w:p>
    <w:p>
      <w:pPr>
        <w:pStyle w:val="61"/>
        <w:spacing w:line="400" w:lineRule="exact"/>
        <w:ind w:firstLine="422" w:firstLineChars="200"/>
        <w:rPr>
          <w:rFonts w:ascii="宋体" w:hAnsi="宋体" w:eastAsia="宋体" w:cs="宋体"/>
          <w:b/>
          <w:bCs/>
          <w:sz w:val="21"/>
          <w:szCs w:val="21"/>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、违约责任</w:t>
      </w:r>
    </w:p>
    <w:p>
      <w:pPr>
        <w:pStyle w:val="61"/>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由于乙方自身原因，未按甲方合同约定期限交付成果的，每逾期一日应减收相应结算周期内甲方应付款项的万分之二；若在甲方书面通知后七个工作日内仍没有改正的，甲方有权解除本合同，并有权要求乙方支付合同总额20%的违约金。</w:t>
      </w:r>
    </w:p>
    <w:p>
      <w:pPr>
        <w:pStyle w:val="61"/>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2.乙方对于甲方提出的意见拒绝在规定时限内修改或贰次修改未满足甲方要求的，甲方有权解除合同，并要求乙方返还已支付的合同款项。</w:t>
      </w:r>
    </w:p>
    <w:p>
      <w:pPr>
        <w:pStyle w:val="61"/>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3.未经甲方书面同意，乙方不得委托他方代为履行合同；不得将本合同项下的任何服务分包给任何第三方。如违反本条约定，甲方有权解除合同，并要求乙方返还已支付的合同款项。</w:t>
      </w:r>
    </w:p>
    <w:p>
      <w:pPr>
        <w:pStyle w:val="61"/>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乙方履行本合同义务侵犯第三方权利的，应自行承担对第三方的责任。乙方履行合同不得违反法律、法规及现行国家、地区及行业有关规范和标准或与甲方或项目关联方等单位发生不正当利益输送，同时应履行保密义务。</w:t>
      </w:r>
    </w:p>
    <w:p>
      <w:pPr>
        <w:spacing w:line="400" w:lineRule="exact"/>
        <w:ind w:firstLine="420" w:firstLineChars="200"/>
        <w:rPr>
          <w:rFonts w:ascii="宋体" w:hAnsi="宋体" w:cs="宋体"/>
          <w:szCs w:val="21"/>
        </w:rPr>
      </w:pPr>
      <w:r>
        <w:rPr>
          <w:rFonts w:hint="eastAsia" w:ascii="宋体" w:hAnsi="宋体" w:cs="宋体"/>
          <w:szCs w:val="21"/>
        </w:rPr>
        <w:t>若违反上述约定的，甲方有权解除合同，并要求乙方支付合同总额20%的违约金，如因此导致甲方承担责任或赔偿费用的，甲方有权向乙方追偿。</w:t>
      </w:r>
    </w:p>
    <w:p>
      <w:pPr>
        <w:spacing w:line="400" w:lineRule="exact"/>
        <w:ind w:firstLine="422" w:firstLineChars="200"/>
        <w:rPr>
          <w:rFonts w:ascii="宋体" w:hAnsi="宋体" w:cs="宋体"/>
          <w:b/>
          <w:bCs/>
          <w:szCs w:val="21"/>
        </w:rPr>
      </w:pPr>
      <w:r>
        <w:rPr>
          <w:rFonts w:hint="eastAsia" w:ascii="宋体" w:hAnsi="宋体" w:cs="宋体"/>
          <w:b/>
          <w:bCs/>
          <w:szCs w:val="21"/>
        </w:rPr>
        <w:t>七、合同生效、解除及其他</w:t>
      </w:r>
    </w:p>
    <w:p>
      <w:pPr>
        <w:spacing w:line="400" w:lineRule="exact"/>
        <w:ind w:firstLine="420" w:firstLineChars="200"/>
        <w:rPr>
          <w:rFonts w:ascii="宋体" w:hAnsi="宋体" w:cs="宋体"/>
          <w:szCs w:val="21"/>
        </w:rPr>
      </w:pPr>
      <w:r>
        <w:rPr>
          <w:rFonts w:hint="eastAsia" w:ascii="宋体" w:hAnsi="宋体" w:cs="宋体"/>
          <w:szCs w:val="21"/>
        </w:rPr>
        <w:t>（一）本合同一式肆份，甲方贰份，乙方贰份，具有同等法律效力。合同自甲乙双方签字并加盖单位公章之日起生效，至履行应尽义务完毕之日起终止。</w:t>
      </w:r>
    </w:p>
    <w:p>
      <w:pPr>
        <w:spacing w:line="400" w:lineRule="exact"/>
        <w:ind w:firstLine="420" w:firstLineChars="200"/>
        <w:rPr>
          <w:rFonts w:ascii="宋体" w:hAnsi="宋体" w:cs="宋体"/>
          <w:szCs w:val="21"/>
        </w:rPr>
      </w:pPr>
      <w:r>
        <w:rPr>
          <w:rFonts w:hint="eastAsia" w:ascii="宋体" w:hAnsi="宋体" w:cs="宋体"/>
          <w:szCs w:val="21"/>
        </w:rPr>
        <w:t>（二）本合同未尽事宜，可经双方协商后签订补充协议；补充协议内容与本合同不一致的，以补充协议为准。</w:t>
      </w:r>
    </w:p>
    <w:p>
      <w:pPr>
        <w:spacing w:line="400" w:lineRule="exact"/>
        <w:ind w:firstLine="420" w:firstLineChars="200"/>
        <w:rPr>
          <w:rFonts w:ascii="宋体" w:hAnsi="宋体" w:cs="宋体"/>
          <w:szCs w:val="21"/>
        </w:rPr>
      </w:pPr>
      <w:r>
        <w:rPr>
          <w:rFonts w:hint="eastAsia" w:ascii="宋体" w:hAnsi="宋体" w:cs="宋体"/>
          <w:szCs w:val="21"/>
        </w:rPr>
        <w:t>（三）因履行本合同引起的争议，甲乙双方应首先通过友好协商解决，如果协商不能解决，可向甲方所在地有管辖权的人民法院提起诉讼。败诉方应当承担对方为维护其权益所付出的成本，包括但不限于公证费、保全费、鉴定费、评估费、调查取证费、律师服务费等费用。</w:t>
      </w: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 xml:space="preserve">甲方：                               </w:t>
      </w:r>
    </w:p>
    <w:p>
      <w:pPr>
        <w:spacing w:line="400" w:lineRule="exact"/>
        <w:ind w:firstLine="420" w:firstLineChars="200"/>
        <w:rPr>
          <w:rFonts w:ascii="宋体" w:hAnsi="宋体" w:cs="宋体"/>
          <w:szCs w:val="21"/>
        </w:rPr>
      </w:pPr>
      <w:r>
        <w:rPr>
          <w:rFonts w:hint="eastAsia" w:ascii="宋体" w:hAnsi="宋体" w:cs="宋体"/>
          <w:szCs w:val="21"/>
        </w:rPr>
        <w:t xml:space="preserve">法定代表人或                        </w:t>
      </w:r>
    </w:p>
    <w:p>
      <w:pPr>
        <w:spacing w:line="400" w:lineRule="exact"/>
        <w:ind w:firstLine="420" w:firstLineChars="200"/>
        <w:rPr>
          <w:rFonts w:ascii="宋体" w:hAnsi="宋体" w:cs="宋体"/>
          <w:szCs w:val="21"/>
        </w:rPr>
      </w:pPr>
      <w:r>
        <w:rPr>
          <w:rFonts w:hint="eastAsia" w:ascii="宋体" w:hAnsi="宋体" w:cs="宋体"/>
          <w:szCs w:val="21"/>
        </w:rPr>
        <w:t xml:space="preserve">委托代理人：                        </w:t>
      </w:r>
    </w:p>
    <w:p>
      <w:pPr>
        <w:spacing w:line="400" w:lineRule="exact"/>
        <w:ind w:firstLine="420" w:firstLineChars="200"/>
        <w:rPr>
          <w:rFonts w:ascii="宋体" w:hAnsi="宋体" w:cs="宋体"/>
          <w:szCs w:val="21"/>
        </w:rPr>
      </w:pPr>
      <w:r>
        <w:rPr>
          <w:rFonts w:hint="eastAsia" w:ascii="宋体" w:hAnsi="宋体" w:cs="宋体"/>
          <w:szCs w:val="21"/>
        </w:rPr>
        <w:t xml:space="preserve">签订日期：  年  月   日            </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 xml:space="preserve">乙方：                               </w:t>
      </w:r>
    </w:p>
    <w:p>
      <w:pPr>
        <w:spacing w:line="400" w:lineRule="exact"/>
        <w:ind w:firstLine="420" w:firstLineChars="200"/>
        <w:rPr>
          <w:rFonts w:ascii="宋体" w:hAnsi="宋体" w:cs="宋体"/>
          <w:szCs w:val="21"/>
        </w:rPr>
      </w:pPr>
      <w:r>
        <w:rPr>
          <w:rFonts w:hint="eastAsia" w:ascii="宋体" w:hAnsi="宋体" w:cs="宋体"/>
          <w:szCs w:val="21"/>
        </w:rPr>
        <w:t xml:space="preserve">法定代表人或                        </w:t>
      </w:r>
    </w:p>
    <w:p>
      <w:pPr>
        <w:spacing w:line="400" w:lineRule="exact"/>
        <w:ind w:firstLine="420" w:firstLineChars="200"/>
        <w:rPr>
          <w:rFonts w:ascii="宋体" w:hAnsi="宋体" w:cs="宋体"/>
          <w:szCs w:val="21"/>
        </w:rPr>
      </w:pPr>
      <w:r>
        <w:rPr>
          <w:rFonts w:hint="eastAsia" w:ascii="宋体" w:hAnsi="宋体" w:cs="宋体"/>
          <w:szCs w:val="21"/>
        </w:rPr>
        <w:t xml:space="preserve">委托代理人：                        </w:t>
      </w:r>
    </w:p>
    <w:p>
      <w:pPr>
        <w:spacing w:line="400" w:lineRule="exact"/>
        <w:ind w:firstLine="420" w:firstLineChars="200"/>
        <w:rPr>
          <w:rFonts w:ascii="宋体" w:hAnsi="宋体" w:cs="宋体"/>
          <w:szCs w:val="21"/>
        </w:rPr>
      </w:pPr>
      <w:r>
        <w:rPr>
          <w:rFonts w:hint="eastAsia" w:ascii="宋体" w:hAnsi="宋体" w:cs="宋体"/>
          <w:szCs w:val="21"/>
        </w:rPr>
        <w:t xml:space="preserve">签订日期：  年  月   日    </w:t>
      </w:r>
    </w:p>
    <w:p>
      <w:pPr>
        <w:pStyle w:val="6"/>
        <w:spacing w:line="360" w:lineRule="auto"/>
        <w:rPr>
          <w:rFonts w:asciiTheme="minorEastAsia" w:hAnsiTheme="minorEastAsia" w:eastAsiaTheme="minorEastAsia" w:cstheme="minorEastAsia"/>
          <w:bCs/>
          <w:szCs w:val="21"/>
          <w:lang w:val="de-DE"/>
        </w:rPr>
      </w:pPr>
    </w:p>
    <w:p>
      <w:pPr>
        <w:pStyle w:val="6"/>
        <w:spacing w:line="360" w:lineRule="auto"/>
        <w:rPr>
          <w:rFonts w:asciiTheme="minorEastAsia" w:hAnsiTheme="minorEastAsia" w:eastAsiaTheme="minorEastAsia" w:cstheme="minorEastAsia"/>
          <w:bCs/>
          <w:szCs w:val="21"/>
          <w:lang w:val="de-DE"/>
        </w:rPr>
      </w:pPr>
    </w:p>
    <w:p>
      <w:pPr>
        <w:pStyle w:val="6"/>
        <w:spacing w:line="360" w:lineRule="auto"/>
        <w:rPr>
          <w:rFonts w:asciiTheme="minorEastAsia" w:hAnsiTheme="minorEastAsia" w:eastAsiaTheme="minorEastAsia" w:cstheme="minorEastAsia"/>
          <w:bCs/>
          <w:szCs w:val="21"/>
          <w:lang w:val="de-DE"/>
        </w:rPr>
      </w:pPr>
    </w:p>
    <w:p>
      <w:pPr>
        <w:pStyle w:val="6"/>
        <w:spacing w:line="360" w:lineRule="auto"/>
        <w:rPr>
          <w:rFonts w:asciiTheme="minorEastAsia" w:hAnsiTheme="minorEastAsia" w:eastAsiaTheme="minorEastAsia" w:cstheme="minorEastAsia"/>
          <w:bCs/>
          <w:szCs w:val="21"/>
          <w:lang w:val="de-DE"/>
        </w:rPr>
      </w:pPr>
    </w:p>
    <w:p>
      <w:pPr>
        <w:pStyle w:val="6"/>
        <w:spacing w:line="360" w:lineRule="auto"/>
        <w:rPr>
          <w:rFonts w:asciiTheme="minorEastAsia" w:hAnsiTheme="minorEastAsia" w:eastAsiaTheme="minorEastAsia" w:cstheme="minorEastAsia"/>
          <w:bCs/>
          <w:szCs w:val="21"/>
          <w:lang w:val="de-DE"/>
        </w:rPr>
      </w:pPr>
    </w:p>
    <w:p>
      <w:pPr>
        <w:adjustRightInd w:val="0"/>
        <w:snapToGrid w:val="0"/>
        <w:spacing w:line="360" w:lineRule="auto"/>
        <w:outlineLvl w:val="1"/>
        <w:rPr>
          <w:rFonts w:asciiTheme="minorEastAsia" w:hAnsiTheme="minorEastAsia" w:eastAsiaTheme="minorEastAsia" w:cstheme="minorEastAsia"/>
          <w:bCs/>
          <w:szCs w:val="21"/>
        </w:rPr>
        <w:sectPr>
          <w:pgSz w:w="11906" w:h="16838"/>
          <w:pgMar w:top="1440" w:right="1800" w:bottom="1440" w:left="1800" w:header="794" w:footer="992" w:gutter="0"/>
          <w:cols w:space="425" w:num="1"/>
          <w:docGrid w:type="lines" w:linePitch="312" w:charSpace="0"/>
        </w:sectPr>
      </w:pPr>
    </w:p>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第六章  响应文件格式及附件</w:t>
      </w:r>
    </w:p>
    <w:p>
      <w:pPr>
        <w:rPr>
          <w:rFonts w:ascii="宋体" w:cs="宋体"/>
          <w:b/>
          <w:kern w:val="0"/>
          <w:sz w:val="52"/>
          <w:szCs w:val="52"/>
          <w:lang w:bidi="ar"/>
        </w:rPr>
      </w:pPr>
    </w:p>
    <w:p>
      <w:pPr>
        <w:pStyle w:val="7"/>
      </w:pPr>
    </w:p>
    <w:p>
      <w:pPr>
        <w:pStyle w:val="15"/>
        <w:ind w:left="0" w:leftChars="0" w:firstLine="0" w:firstLineChars="0"/>
        <w:rPr>
          <w:rFonts w:ascii="宋体" w:cs="宋体"/>
          <w:b/>
          <w:kern w:val="0"/>
          <w:sz w:val="52"/>
          <w:szCs w:val="52"/>
          <w:lang w:bidi="ar"/>
        </w:rPr>
      </w:pPr>
    </w:p>
    <w:p>
      <w:pPr>
        <w:pStyle w:val="15"/>
        <w:ind w:left="0" w:leftChars="0" w:firstLine="0" w:firstLineChars="0"/>
        <w:rPr>
          <w:rFonts w:ascii="宋体" w:cs="宋体"/>
          <w:b/>
          <w:kern w:val="0"/>
          <w:sz w:val="52"/>
          <w:szCs w:val="52"/>
          <w:lang w:bidi="ar"/>
        </w:rPr>
      </w:pPr>
    </w:p>
    <w:p>
      <w:pPr>
        <w:widowControl/>
        <w:spacing w:line="360" w:lineRule="auto"/>
        <w:jc w:val="center"/>
        <w:rPr>
          <w:rFonts w:ascii="宋体" w:cs="宋体"/>
          <w:b/>
          <w:kern w:val="0"/>
          <w:sz w:val="52"/>
          <w:szCs w:val="52"/>
          <w:lang w:bidi="ar"/>
        </w:rPr>
      </w:pPr>
      <w:r>
        <w:rPr>
          <w:rFonts w:hint="eastAsia" w:ascii="宋体" w:cs="宋体"/>
          <w:b/>
          <w:kern w:val="0"/>
          <w:sz w:val="52"/>
          <w:szCs w:val="52"/>
          <w:lang w:bidi="ar"/>
        </w:rPr>
        <w:t>响 应 文 件</w:t>
      </w:r>
    </w:p>
    <w:p>
      <w:pPr>
        <w:widowControl/>
        <w:spacing w:line="360" w:lineRule="auto"/>
        <w:jc w:val="center"/>
      </w:pPr>
      <w:r>
        <w:rPr>
          <w:rFonts w:hint="eastAsia" w:ascii="宋体" w:cs="宋体"/>
          <w:b/>
          <w:kern w:val="0"/>
          <w:sz w:val="43"/>
          <w:szCs w:val="43"/>
          <w:lang w:bidi="ar"/>
        </w:rPr>
        <w:t>（封面）</w:t>
      </w:r>
    </w:p>
    <w:p>
      <w:pPr>
        <w:spacing w:line="360" w:lineRule="auto"/>
        <w:rPr>
          <w:rFonts w:ascii="宋体" w:cs="宋体"/>
          <w:b/>
          <w:sz w:val="30"/>
          <w:szCs w:val="30"/>
          <w:lang w:val="en-GB"/>
        </w:rPr>
      </w:pPr>
    </w:p>
    <w:p>
      <w:pPr>
        <w:widowControl/>
        <w:spacing w:line="360" w:lineRule="auto"/>
        <w:rPr>
          <w:rFonts w:ascii="宋体" w:cs="宋体"/>
          <w:b/>
          <w:kern w:val="0"/>
          <w:sz w:val="28"/>
          <w:szCs w:val="28"/>
          <w:lang w:bidi="ar"/>
        </w:rPr>
      </w:pPr>
    </w:p>
    <w:p>
      <w:pPr>
        <w:widowControl/>
        <w:spacing w:line="360" w:lineRule="auto"/>
        <w:rPr>
          <w:rFonts w:ascii="宋体" w:cs="宋体"/>
          <w:b/>
          <w:kern w:val="0"/>
          <w:sz w:val="28"/>
          <w:szCs w:val="28"/>
          <w:lang w:bidi="ar"/>
        </w:rPr>
      </w:pPr>
    </w:p>
    <w:p>
      <w:pPr>
        <w:widowControl/>
        <w:spacing w:line="360" w:lineRule="auto"/>
        <w:ind w:firstLine="1405" w:firstLineChars="500"/>
        <w:rPr>
          <w:rFonts w:ascii="宋体" w:cs="宋体"/>
          <w:b/>
          <w:kern w:val="0"/>
          <w:sz w:val="28"/>
          <w:szCs w:val="28"/>
          <w:lang w:bidi="ar"/>
        </w:rPr>
      </w:pPr>
      <w:r>
        <w:rPr>
          <w:rFonts w:hint="eastAsia" w:ascii="宋体" w:cs="宋体"/>
          <w:b/>
          <w:kern w:val="0"/>
          <w:sz w:val="28"/>
          <w:szCs w:val="28"/>
          <w:lang w:bidi="ar"/>
        </w:rPr>
        <w:t>项目名称：</w:t>
      </w:r>
      <w:r>
        <w:rPr>
          <w:rFonts w:hint="eastAsia" w:ascii="宋体" w:cs="宋体"/>
          <w:b/>
          <w:kern w:val="0"/>
          <w:sz w:val="28"/>
          <w:szCs w:val="28"/>
          <w:u w:val="single"/>
          <w:lang w:bidi="ar"/>
        </w:rPr>
        <w:t xml:space="preserve">                </w:t>
      </w:r>
    </w:p>
    <w:p>
      <w:pPr>
        <w:widowControl/>
        <w:spacing w:line="360" w:lineRule="auto"/>
        <w:ind w:firstLine="1405" w:firstLineChars="500"/>
        <w:rPr>
          <w:rFonts w:ascii="宋体" w:cs="宋体"/>
          <w:b/>
          <w:kern w:val="0"/>
          <w:sz w:val="28"/>
          <w:szCs w:val="28"/>
          <w:u w:val="single"/>
          <w:lang w:bidi="ar"/>
        </w:rPr>
      </w:pPr>
      <w:r>
        <w:rPr>
          <w:rFonts w:hint="eastAsia" w:ascii="宋体" w:cs="宋体"/>
          <w:b/>
          <w:kern w:val="0"/>
          <w:sz w:val="28"/>
          <w:szCs w:val="28"/>
          <w:lang w:bidi="ar"/>
        </w:rPr>
        <w:t>项目编号：</w:t>
      </w:r>
      <w:r>
        <w:rPr>
          <w:rFonts w:hint="eastAsia" w:ascii="宋体" w:cs="宋体"/>
          <w:b/>
          <w:kern w:val="0"/>
          <w:sz w:val="28"/>
          <w:szCs w:val="28"/>
          <w:u w:val="single"/>
          <w:lang w:bidi="ar"/>
        </w:rPr>
        <w:t xml:space="preserve">                </w:t>
      </w:r>
    </w:p>
    <w:p>
      <w:pPr>
        <w:spacing w:line="360" w:lineRule="auto"/>
        <w:rPr>
          <w:rFonts w:ascii="宋体" w:cs="宋体"/>
          <w:b/>
          <w:sz w:val="30"/>
          <w:szCs w:val="30"/>
          <w:lang w:val="en-GB"/>
        </w:rPr>
      </w:pPr>
    </w:p>
    <w:p>
      <w:pPr>
        <w:spacing w:line="360" w:lineRule="auto"/>
        <w:jc w:val="center"/>
        <w:rPr>
          <w:rFonts w:ascii="宋体" w:cs="宋体"/>
          <w:b/>
          <w:sz w:val="30"/>
          <w:szCs w:val="30"/>
          <w:lang w:val="en-GB"/>
        </w:rPr>
      </w:pPr>
      <w:r>
        <w:rPr>
          <w:rFonts w:hint="eastAsia" w:ascii="宋体" w:cs="宋体"/>
          <w:b/>
          <w:sz w:val="30"/>
          <w:szCs w:val="30"/>
          <w:lang w:val="en-GB"/>
        </w:rPr>
        <w:t>（正本</w:t>
      </w:r>
      <w:r>
        <w:rPr>
          <w:rFonts w:hint="eastAsia" w:ascii="宋体" w:cs="宋体"/>
          <w:b/>
          <w:sz w:val="30"/>
          <w:szCs w:val="30"/>
        </w:rPr>
        <w:t>/副本</w:t>
      </w:r>
      <w:r>
        <w:rPr>
          <w:rFonts w:hint="eastAsia" w:ascii="宋体" w:cs="宋体"/>
          <w:b/>
          <w:sz w:val="30"/>
          <w:szCs w:val="30"/>
          <w:lang w:val="en-GB"/>
        </w:rPr>
        <w:t>）</w:t>
      </w:r>
    </w:p>
    <w:p>
      <w:pPr>
        <w:pStyle w:val="15"/>
        <w:spacing w:line="360" w:lineRule="auto"/>
        <w:ind w:firstLine="0" w:firstLineChars="0"/>
        <w:rPr>
          <w:lang w:val="en-GB"/>
        </w:rPr>
      </w:pPr>
    </w:p>
    <w:p>
      <w:pPr>
        <w:spacing w:line="360" w:lineRule="auto"/>
        <w:rPr>
          <w:rFonts w:ascii="宋体" w:cs="宋体"/>
          <w:b/>
          <w:sz w:val="30"/>
          <w:szCs w:val="30"/>
          <w:lang w:val="en-GB"/>
        </w:rPr>
      </w:pPr>
    </w:p>
    <w:p>
      <w:pPr>
        <w:widowControl/>
        <w:spacing w:line="360" w:lineRule="auto"/>
        <w:ind w:firstLine="1405" w:firstLineChars="500"/>
        <w:rPr>
          <w:rFonts w:ascii="宋体" w:cs="宋体"/>
          <w:b/>
          <w:kern w:val="0"/>
          <w:sz w:val="28"/>
          <w:szCs w:val="28"/>
          <w:lang w:bidi="ar"/>
        </w:rPr>
      </w:pPr>
      <w:r>
        <w:rPr>
          <w:rFonts w:hint="eastAsia" w:ascii="宋体" w:cs="宋体"/>
          <w:b/>
          <w:kern w:val="0"/>
          <w:sz w:val="28"/>
          <w:szCs w:val="28"/>
          <w:lang w:bidi="ar"/>
        </w:rPr>
        <w:t>供应商名称 ：</w:t>
      </w:r>
      <w:r>
        <w:rPr>
          <w:rFonts w:hint="eastAsia" w:ascii="宋体" w:cs="宋体"/>
          <w:b/>
          <w:kern w:val="0"/>
          <w:sz w:val="28"/>
          <w:szCs w:val="28"/>
          <w:u w:val="single"/>
          <w:lang w:bidi="ar"/>
        </w:rPr>
        <w:t xml:space="preserve">                        </w:t>
      </w:r>
      <w:r>
        <w:rPr>
          <w:rFonts w:hint="eastAsia" w:ascii="宋体" w:cs="宋体"/>
          <w:b/>
          <w:kern w:val="0"/>
          <w:sz w:val="28"/>
          <w:szCs w:val="28"/>
          <w:lang w:bidi="ar"/>
        </w:rPr>
        <w:t xml:space="preserve">（盖章） </w:t>
      </w:r>
    </w:p>
    <w:p>
      <w:pPr>
        <w:widowControl/>
        <w:ind w:firstLine="1405" w:firstLineChars="500"/>
        <w:rPr>
          <w:rFonts w:ascii="宋体" w:cs="宋体"/>
          <w:b/>
          <w:kern w:val="0"/>
          <w:sz w:val="28"/>
          <w:szCs w:val="28"/>
          <w:u w:val="single"/>
          <w:lang w:bidi="ar"/>
        </w:rPr>
      </w:pPr>
      <w:r>
        <w:rPr>
          <w:rFonts w:hint="eastAsia" w:ascii="宋体" w:cs="宋体"/>
          <w:b/>
          <w:kern w:val="0"/>
          <w:sz w:val="28"/>
          <w:szCs w:val="28"/>
          <w:lang w:bidi="ar"/>
        </w:rPr>
        <w:t>响应代表人：</w:t>
      </w:r>
      <w:r>
        <w:rPr>
          <w:rFonts w:hint="eastAsia" w:ascii="宋体" w:cs="宋体"/>
          <w:b/>
          <w:kern w:val="0"/>
          <w:sz w:val="28"/>
          <w:szCs w:val="28"/>
          <w:u w:val="single"/>
          <w:lang w:bidi="ar"/>
        </w:rPr>
        <w:t xml:space="preserve">         </w:t>
      </w:r>
      <w:r>
        <w:rPr>
          <w:rFonts w:hint="eastAsia" w:ascii="宋体" w:cs="宋体"/>
          <w:b/>
          <w:kern w:val="0"/>
          <w:sz w:val="28"/>
          <w:szCs w:val="28"/>
          <w:lang w:bidi="ar"/>
        </w:rPr>
        <w:t xml:space="preserve"> 签字：</w:t>
      </w:r>
      <w:r>
        <w:rPr>
          <w:rFonts w:hint="eastAsia" w:ascii="宋体" w:cs="宋体"/>
          <w:b/>
          <w:kern w:val="0"/>
          <w:sz w:val="28"/>
          <w:szCs w:val="28"/>
          <w:u w:val="single"/>
          <w:lang w:bidi="ar"/>
        </w:rPr>
        <w:t xml:space="preserve">         </w:t>
      </w:r>
    </w:p>
    <w:p>
      <w:pPr>
        <w:widowControl/>
        <w:ind w:firstLine="1405" w:firstLineChars="500"/>
        <w:rPr>
          <w:rFonts w:ascii="宋体" w:cs="宋体"/>
          <w:b/>
          <w:kern w:val="0"/>
          <w:sz w:val="28"/>
          <w:szCs w:val="28"/>
          <w:u w:val="single"/>
          <w:lang w:bidi="ar"/>
        </w:rPr>
      </w:pPr>
      <w:r>
        <w:rPr>
          <w:rFonts w:hint="eastAsia" w:ascii="宋体" w:cs="宋体"/>
          <w:b/>
          <w:kern w:val="0"/>
          <w:sz w:val="28"/>
          <w:szCs w:val="28"/>
          <w:lang w:bidi="ar"/>
        </w:rPr>
        <w:t>手      机：</w:t>
      </w:r>
      <w:r>
        <w:rPr>
          <w:rFonts w:hint="eastAsia" w:ascii="宋体" w:cs="宋体"/>
          <w:b/>
          <w:kern w:val="0"/>
          <w:sz w:val="28"/>
          <w:szCs w:val="28"/>
          <w:u w:val="single"/>
          <w:lang w:bidi="ar"/>
        </w:rPr>
        <w:t xml:space="preserve">                     </w:t>
      </w:r>
    </w:p>
    <w:p>
      <w:pPr>
        <w:widowControl/>
        <w:ind w:firstLine="1405" w:firstLineChars="500"/>
        <w:rPr>
          <w:rFonts w:ascii="宋体" w:cs="宋体"/>
          <w:b/>
          <w:kern w:val="0"/>
          <w:sz w:val="28"/>
          <w:szCs w:val="28"/>
          <w:lang w:bidi="ar"/>
        </w:rPr>
      </w:pPr>
      <w:r>
        <w:rPr>
          <w:rFonts w:hint="eastAsia" w:ascii="宋体" w:cs="宋体"/>
          <w:b/>
          <w:kern w:val="0"/>
          <w:sz w:val="28"/>
          <w:szCs w:val="28"/>
          <w:lang w:bidi="ar"/>
        </w:rPr>
        <w:t>日      期：       年   月   日</w:t>
      </w: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格式1:                           响 应 声 明 函</w:t>
      </w:r>
    </w:p>
    <w:p>
      <w:pPr>
        <w:adjustRightInd w:val="0"/>
        <w:snapToGrid w:val="0"/>
        <w:spacing w:line="360" w:lineRule="auto"/>
        <w:ind w:firstLine="420" w:firstLineChars="200"/>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i/>
          <w:iCs/>
          <w:szCs w:val="21"/>
          <w:u w:val="single"/>
        </w:rPr>
        <w:t>采购人）</w:t>
      </w:r>
    </w:p>
    <w:p>
      <w:pPr>
        <w:pStyle w:val="6"/>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根据贵方</w:t>
      </w:r>
      <w:r>
        <w:rPr>
          <w:rFonts w:hint="eastAsia" w:asciiTheme="minorEastAsia" w:hAnsiTheme="minorEastAsia" w:eastAsiaTheme="minorEastAsia" w:cstheme="minorEastAsia"/>
          <w:bCs/>
          <w:szCs w:val="21"/>
          <w:u w:val="single"/>
        </w:rPr>
        <w:t xml:space="preserve">  （项目名称） </w:t>
      </w:r>
      <w:r>
        <w:rPr>
          <w:rFonts w:hint="eastAsia" w:asciiTheme="minorEastAsia" w:hAnsiTheme="minorEastAsia" w:eastAsiaTheme="minorEastAsia" w:cstheme="minorEastAsia"/>
          <w:bCs/>
          <w:szCs w:val="21"/>
        </w:rPr>
        <w:t>项目（项目编号：</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）的采购比选文件要求，本签字代表</w:t>
      </w:r>
      <w:r>
        <w:rPr>
          <w:rFonts w:hint="eastAsia" w:asciiTheme="minorEastAsia" w:hAnsiTheme="minorEastAsia" w:eastAsiaTheme="minorEastAsia" w:cstheme="minorEastAsia"/>
          <w:bCs/>
          <w:szCs w:val="21"/>
          <w:u w:val="single"/>
        </w:rPr>
        <w:t>（全名、职务）</w:t>
      </w:r>
      <w:r>
        <w:rPr>
          <w:rFonts w:hint="eastAsia" w:asciiTheme="minorEastAsia" w:hAnsiTheme="minorEastAsia" w:eastAsiaTheme="minorEastAsia" w:cstheme="minorEastAsia"/>
          <w:bCs/>
          <w:szCs w:val="21"/>
        </w:rPr>
        <w:t>代表供应商</w:t>
      </w:r>
      <w:r>
        <w:rPr>
          <w:rFonts w:hint="eastAsia" w:asciiTheme="minorEastAsia" w:hAnsiTheme="minorEastAsia" w:eastAsiaTheme="minorEastAsia" w:cstheme="minorEastAsia"/>
          <w:bCs/>
          <w:szCs w:val="21"/>
          <w:u w:val="single"/>
        </w:rPr>
        <w:t>（供应商单位名称、地址）</w:t>
      </w:r>
      <w:r>
        <w:rPr>
          <w:rFonts w:hint="eastAsia" w:asciiTheme="minorEastAsia" w:hAnsiTheme="minorEastAsia" w:eastAsiaTheme="minorEastAsia" w:cstheme="minorEastAsia"/>
          <w:bCs/>
          <w:szCs w:val="21"/>
        </w:rPr>
        <w:t>提交下述文件正本壹份和副本</w:t>
      </w:r>
      <w:r>
        <w:rPr>
          <w:rFonts w:hint="eastAsia" w:asciiTheme="minorEastAsia" w:hAnsiTheme="minorEastAsia" w:eastAsiaTheme="minorEastAsia" w:cstheme="minorEastAsia"/>
          <w:bCs/>
          <w:szCs w:val="21"/>
          <w:u w:val="single"/>
        </w:rPr>
        <w:t>贰</w:t>
      </w:r>
      <w:r>
        <w:rPr>
          <w:rFonts w:hint="eastAsia" w:asciiTheme="minorEastAsia" w:hAnsiTheme="minorEastAsia" w:eastAsiaTheme="minorEastAsia" w:cstheme="minorEastAsia"/>
          <w:bCs/>
          <w:szCs w:val="21"/>
        </w:rPr>
        <w:t>份。</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据此函，签字代表承诺如下内容（本承诺内容为响应基本要求，如不满足或有缺漏项的，视为响应无效）：</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1、我们愿意遵守采购比选文件中的各项规定，提供符合采购比选文件所要求的各项服务。</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2、我们同意本响应文件自响应文件接收截止日起90天内有效。</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3、我们已经详细地阅读了全部采购比选文件及附件，包括澄清及参考文件（若有），我们完全理解并同意放弃对这方面有不明及误解的权利。</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4.我们同意按贵司的要求提供有关资料，并保证真实性。</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供应商代表签字：                 </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供应商（全称并加盖公章）：            </w:t>
      </w:r>
    </w:p>
    <w:p>
      <w:pPr>
        <w:adjustRightInd w:val="0"/>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日  期：</w:t>
      </w:r>
    </w:p>
    <w:p>
      <w:pPr>
        <w:adjustRightInd w:val="0"/>
        <w:snapToGrid w:val="0"/>
        <w:spacing w:line="360" w:lineRule="auto"/>
        <w:rPr>
          <w:rFonts w:asciiTheme="minorEastAsia" w:hAnsiTheme="minorEastAsia" w:eastAsiaTheme="minorEastAsia" w:cstheme="minorEastAsia"/>
          <w:b/>
          <w:szCs w:val="21"/>
        </w:rPr>
        <w:sectPr>
          <w:pgSz w:w="11906" w:h="16838"/>
          <w:pgMar w:top="1440" w:right="1800" w:bottom="1440" w:left="1800" w:header="794" w:footer="992" w:gutter="0"/>
          <w:cols w:space="425" w:num="1"/>
          <w:docGrid w:type="lines" w:linePitch="312" w:charSpace="0"/>
        </w:sectPr>
      </w:pPr>
    </w:p>
    <w:p>
      <w:pPr>
        <w:adjustRightInd w:val="0"/>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格式2:                        </w:t>
      </w:r>
    </w:p>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开标一览表</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项目名称：                             项目编号（分包号）：</w:t>
      </w:r>
    </w:p>
    <w:tbl>
      <w:tblPr>
        <w:tblStyle w:val="16"/>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82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响应总价(小写)（元）</w:t>
            </w:r>
          </w:p>
        </w:tc>
        <w:tc>
          <w:tcPr>
            <w:tcW w:w="2823" w:type="dxa"/>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服务期限</w:t>
            </w:r>
          </w:p>
        </w:tc>
        <w:tc>
          <w:tcPr>
            <w:tcW w:w="1527" w:type="dxa"/>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pPr>
              <w:adjustRightInd w:val="0"/>
              <w:snapToGrid w:val="0"/>
              <w:spacing w:line="360" w:lineRule="auto"/>
              <w:jc w:val="center"/>
              <w:rPr>
                <w:rFonts w:asciiTheme="minorEastAsia" w:hAnsiTheme="minorEastAsia" w:eastAsiaTheme="minorEastAsia" w:cstheme="minorEastAsia"/>
                <w:bCs/>
                <w:szCs w:val="21"/>
              </w:rPr>
            </w:pPr>
          </w:p>
        </w:tc>
        <w:tc>
          <w:tcPr>
            <w:tcW w:w="2823" w:type="dxa"/>
            <w:noWrap/>
          </w:tcPr>
          <w:p>
            <w:pPr>
              <w:adjustRightInd w:val="0"/>
              <w:snapToGrid w:val="0"/>
              <w:spacing w:line="360" w:lineRule="auto"/>
              <w:jc w:val="center"/>
              <w:rPr>
                <w:rFonts w:asciiTheme="minorEastAsia" w:hAnsiTheme="minorEastAsia" w:eastAsiaTheme="minorEastAsia" w:cstheme="minorEastAsia"/>
                <w:bCs/>
                <w:szCs w:val="21"/>
              </w:rPr>
            </w:pPr>
          </w:p>
        </w:tc>
        <w:tc>
          <w:tcPr>
            <w:tcW w:w="1527" w:type="dxa"/>
            <w:noWrap/>
          </w:tcPr>
          <w:p>
            <w:pPr>
              <w:adjustRightInd w:val="0"/>
              <w:snapToGrid w:val="0"/>
              <w:spacing w:line="360" w:lineRule="auto"/>
              <w:jc w:val="center"/>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3"/>
            <w:noWrap/>
            <w:vAlign w:val="bottom"/>
          </w:tcPr>
          <w:p>
            <w:pPr>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3"/>
            <w:noWrap/>
            <w:vAlign w:val="bottom"/>
          </w:tcPr>
          <w:p>
            <w:pPr>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质量标准：符合采购人要求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3"/>
            <w:noWrap/>
            <w:vAlign w:val="bottom"/>
          </w:tcPr>
          <w:p>
            <w:pPr>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是否为符合条件的中小微型企业:是（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noWrap/>
            <w:vAlign w:val="bottom"/>
          </w:tcPr>
          <w:p>
            <w:pPr>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备注：（其他需要说明的情形）</w:t>
            </w:r>
          </w:p>
        </w:tc>
      </w:tr>
    </w:tbl>
    <w:p>
      <w:pPr>
        <w:adjustRightInd w:val="0"/>
        <w:snapToGrid w:val="0"/>
        <w:spacing w:line="360" w:lineRule="auto"/>
        <w:ind w:firstLine="560"/>
        <w:rPr>
          <w:rFonts w:asciiTheme="minorEastAsia" w:hAnsiTheme="minorEastAsia" w:eastAsiaTheme="minorEastAsia" w:cstheme="minorEastAsia"/>
          <w:bCs/>
          <w:szCs w:val="21"/>
        </w:rPr>
      </w:pPr>
    </w:p>
    <w:p>
      <w:pPr>
        <w:pStyle w:val="6"/>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供应商名称：                 （公章）</w:t>
      </w:r>
    </w:p>
    <w:p>
      <w:pPr>
        <w:pStyle w:val="6"/>
        <w:adjustRightInd w:val="0"/>
        <w:snapToGrid w:val="0"/>
        <w:spacing w:line="360" w:lineRule="auto"/>
        <w:ind w:firstLine="420" w:firstLineChars="200"/>
        <w:rPr>
          <w:rFonts w:asciiTheme="minorEastAsia" w:hAnsiTheme="minorEastAsia" w:eastAsiaTheme="minorEastAsia" w:cstheme="minorEastAsia"/>
          <w:bCs/>
          <w:szCs w:val="21"/>
        </w:rPr>
      </w:pPr>
    </w:p>
    <w:p>
      <w:pPr>
        <w:pStyle w:val="6"/>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供应商代表签名：                日期：  </w:t>
      </w:r>
    </w:p>
    <w:p>
      <w:pPr>
        <w:adjustRightInd w:val="0"/>
        <w:snapToGrid w:val="0"/>
        <w:spacing w:line="360" w:lineRule="auto"/>
        <w:ind w:firstLine="420" w:firstLineChars="200"/>
        <w:rPr>
          <w:rFonts w:asciiTheme="minorEastAsia" w:hAnsiTheme="minorEastAsia" w:eastAsiaTheme="minorEastAsia" w:cstheme="minorEastAsia"/>
          <w:bCs/>
          <w:szCs w:val="21"/>
        </w:rPr>
        <w:sectPr>
          <w:pgSz w:w="11906" w:h="16838"/>
          <w:pgMar w:top="1440" w:right="1800" w:bottom="1440" w:left="1800" w:header="794" w:footer="992" w:gutter="0"/>
          <w:cols w:space="425" w:num="1"/>
          <w:docGrid w:type="lines" w:linePitch="312" w:charSpace="0"/>
        </w:sectPr>
      </w:pPr>
    </w:p>
    <w:p>
      <w:pPr>
        <w:adjustRightInd w:val="0"/>
        <w:snapToGrid w:val="0"/>
        <w:spacing w:line="360" w:lineRule="auto"/>
        <w:rPr>
          <w:rFonts w:ascii="宋体" w:hAnsi="宋体" w:cs="宋体"/>
          <w:b/>
          <w:szCs w:val="21"/>
        </w:rPr>
      </w:pPr>
      <w:r>
        <w:rPr>
          <w:rFonts w:hint="eastAsia" w:ascii="宋体" w:hAnsi="宋体" w:cs="宋体"/>
          <w:b/>
          <w:szCs w:val="21"/>
        </w:rPr>
        <w:t>格式3:</w:t>
      </w:r>
      <w:r>
        <w:rPr>
          <w:rFonts w:hint="eastAsia" w:ascii="宋体" w:hAnsi="宋体" w:cs="宋体"/>
          <w:bCs/>
          <w:szCs w:val="21"/>
        </w:rPr>
        <w:t xml:space="preserve">                            </w:t>
      </w:r>
      <w:r>
        <w:rPr>
          <w:rFonts w:hint="eastAsia" w:ascii="宋体" w:hAnsi="宋体" w:cs="宋体"/>
          <w:b/>
          <w:szCs w:val="21"/>
        </w:rPr>
        <w:t>响应报价明细表</w:t>
      </w:r>
    </w:p>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项目名称：                         项目编号（分包号）∶ </w:t>
      </w:r>
    </w:p>
    <w:tbl>
      <w:tblPr>
        <w:tblStyle w:val="16"/>
        <w:tblpPr w:leftFromText="180" w:rightFromText="180" w:vertAnchor="text" w:horzAnchor="page" w:tblpX="1885" w:tblpY="376"/>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宋体" w:hAnsi="宋体" w:cs="宋体"/>
                <w:bCs/>
                <w:szCs w:val="21"/>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宋体" w:hAnsi="宋体" w:cs="宋体"/>
                <w:bCs/>
                <w:szCs w:val="21"/>
              </w:rPr>
            </w:pPr>
            <w:r>
              <w:rPr>
                <w:rFonts w:hint="eastAsia" w:ascii="宋体" w:hAnsi="宋体" w:cs="宋体"/>
                <w:bCs/>
                <w:szCs w:val="21"/>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宋体" w:hAnsi="宋体" w:cs="宋体"/>
                <w:bCs/>
                <w:szCs w:val="21"/>
              </w:rPr>
            </w:pPr>
            <w:r>
              <w:rPr>
                <w:rFonts w:hint="eastAsia" w:ascii="宋体" w:hAnsi="宋体" w:cs="宋体"/>
                <w:bCs/>
                <w:szCs w:val="21"/>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单项总价</w:t>
            </w:r>
          </w:p>
        </w:tc>
        <w:tc>
          <w:tcPr>
            <w:tcW w:w="20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516" w:type="dxa"/>
            <w:gridSpan w:val="6"/>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总价（大小写）：</w:t>
            </w:r>
          </w:p>
        </w:tc>
      </w:tr>
    </w:tbl>
    <w:p>
      <w:pPr>
        <w:adjustRightInd w:val="0"/>
        <w:snapToGrid w:val="0"/>
        <w:spacing w:line="360" w:lineRule="auto"/>
        <w:ind w:firstLine="5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w:t>
      </w:r>
    </w:p>
    <w:p>
      <w:pPr>
        <w:pStyle w:val="6"/>
        <w:adjustRightInd w:val="0"/>
        <w:snapToGrid w:val="0"/>
        <w:spacing w:line="360" w:lineRule="auto"/>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供应商名称：                 （公章）</w:t>
      </w:r>
    </w:p>
    <w:p>
      <w:pPr>
        <w:pStyle w:val="6"/>
        <w:adjustRightInd w:val="0"/>
        <w:snapToGrid w:val="0"/>
        <w:spacing w:line="360" w:lineRule="auto"/>
        <w:rPr>
          <w:rFonts w:asciiTheme="minorEastAsia" w:hAnsiTheme="minorEastAsia" w:eastAsiaTheme="minorEastAsia" w:cstheme="minorEastAsia"/>
          <w:bCs/>
          <w:szCs w:val="21"/>
        </w:rPr>
      </w:pPr>
    </w:p>
    <w:p>
      <w:pPr>
        <w:pStyle w:val="6"/>
        <w:adjustRightInd w:val="0"/>
        <w:snapToGrid w:val="0"/>
        <w:spacing w:line="360" w:lineRule="auto"/>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供应商代表签名：                日期：</w:t>
      </w:r>
    </w:p>
    <w:p>
      <w:pPr>
        <w:adjustRightInd w:val="0"/>
        <w:snapToGrid w:val="0"/>
        <w:spacing w:line="360" w:lineRule="auto"/>
        <w:rPr>
          <w:rFonts w:asciiTheme="minorEastAsia" w:hAnsiTheme="minorEastAsia" w:eastAsiaTheme="minorEastAsia" w:cstheme="minorEastAsia"/>
          <w:bCs/>
          <w:szCs w:val="21"/>
        </w:rPr>
        <w:sectPr>
          <w:pgSz w:w="11906" w:h="16838"/>
          <w:pgMar w:top="1440" w:right="1800" w:bottom="1440" w:left="1800" w:header="794" w:footer="992" w:gutter="0"/>
          <w:cols w:space="425" w:num="1"/>
          <w:docGrid w:type="lines" w:linePitch="312" w:charSpace="0"/>
        </w:sectPr>
      </w:pPr>
    </w:p>
    <w:p>
      <w:pPr>
        <w:pStyle w:val="15"/>
      </w:pPr>
    </w:p>
    <w:p>
      <w:pPr>
        <w:adjustRightInd w:val="0"/>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格式4： 法定代表人授权委托书</w:t>
      </w:r>
    </w:p>
    <w:p>
      <w:pPr>
        <w:jc w:val="center"/>
      </w:pPr>
      <w:r>
        <w:rPr>
          <w:rFonts w:hint="eastAsia"/>
        </w:rPr>
        <w:t>法定代表人授权委托书</w:t>
      </w:r>
    </w:p>
    <w:p/>
    <w:p>
      <w:r>
        <w:rPr>
          <w:rFonts w:hint="eastAsia"/>
          <w:u w:val="single"/>
        </w:rPr>
        <w:t xml:space="preserve">     （供应商名称）     </w:t>
      </w:r>
      <w:r>
        <w:rPr>
          <w:rFonts w:hint="eastAsia"/>
        </w:rPr>
        <w:t>法定代表人授权我司员工全权负责项目的一切相关事宜。本授权书于_______年_____月_____日签字生效，特此声明。</w:t>
      </w:r>
    </w:p>
    <w:p/>
    <w:p/>
    <w:p/>
    <w:p>
      <w:r>
        <w:rPr>
          <w:rFonts w:hint="eastAsia"/>
        </w:rPr>
        <w:t xml:space="preserve">供应商（公章）：                                                         </w:t>
      </w:r>
    </w:p>
    <w:p>
      <w:r>
        <w:rPr>
          <w:rFonts w:hint="eastAsia"/>
        </w:rPr>
        <w:t>法定代表人签字：（或法人章）</w:t>
      </w:r>
    </w:p>
    <w:p>
      <w:r>
        <w:rPr>
          <w:rFonts w:hint="eastAsia"/>
        </w:rPr>
        <w:t>被授权人签字：</w:t>
      </w:r>
    </w:p>
    <w:p>
      <w:pPr>
        <w:pStyle w:val="15"/>
        <w:ind w:left="0" w:leftChars="0" w:firstLine="0" w:firstLineChars="0"/>
      </w:pPr>
    </w:p>
    <w:p>
      <w:pPr>
        <w:pStyle w:val="15"/>
        <w:ind w:left="0" w:leftChars="0" w:firstLine="0" w:firstLineChars="0"/>
      </w:pPr>
    </w:p>
    <w:p>
      <w:pPr>
        <w:pStyle w:val="15"/>
        <w:ind w:left="0" w:leftChars="0" w:firstLine="0" w:firstLineChars="0"/>
        <w:rPr>
          <w:rFonts w:ascii="宋体" w:hAnsi="宋体" w:eastAsia="宋体" w:cs="宋体"/>
        </w:rPr>
      </w:pPr>
      <w:r>
        <w:rPr>
          <w:rFonts w:hint="eastAsia" w:ascii="宋体" w:hAnsi="宋体" w:eastAsia="宋体" w:cs="宋体"/>
        </w:rPr>
        <w:t>附：法定代表人身份证复印件</w:t>
      </w:r>
    </w:p>
    <w:p>
      <w:pPr>
        <w:adjustRightInd w:val="0"/>
        <w:snapToGrid w:val="0"/>
        <w:spacing w:line="360" w:lineRule="auto"/>
        <w:rPr>
          <w:rFonts w:ascii="宋体" w:hAnsi="宋体" w:cs="宋体"/>
        </w:rPr>
        <w:sectPr>
          <w:pgSz w:w="11906" w:h="16838"/>
          <w:pgMar w:top="1440" w:right="1800" w:bottom="1440" w:left="1800" w:header="794" w:footer="992" w:gutter="0"/>
          <w:cols w:space="425" w:num="1"/>
          <w:docGrid w:type="lines" w:linePitch="312" w:charSpace="0"/>
        </w:sectPr>
      </w:pPr>
      <w:r>
        <w:rPr>
          <w:rFonts w:hint="eastAsia" w:ascii="宋体" w:hAnsi="宋体" w:cs="宋体"/>
        </w:rPr>
        <w:t xml:space="preserve">    授权委托人身份证复印件</w:t>
      </w:r>
    </w:p>
    <w:p>
      <w:pPr>
        <w:pStyle w:val="15"/>
      </w:pPr>
    </w:p>
    <w:p>
      <w:pPr>
        <w:pStyle w:val="31"/>
        <w:adjustRightInd w:val="0"/>
        <w:snapToGrid w:val="0"/>
        <w:spacing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格式5：法定代表人身份证明书</w:t>
      </w:r>
    </w:p>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法定代表人身份证明书</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bCs/>
          <w:szCs w:val="21"/>
        </w:rPr>
        <w:t xml:space="preserve">姓    名：性别：    年龄：    职务：    </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系</w:t>
      </w:r>
      <w:r>
        <w:rPr>
          <w:rFonts w:hint="eastAsia" w:asciiTheme="minorEastAsia" w:hAnsiTheme="minorEastAsia" w:eastAsiaTheme="minorEastAsia" w:cstheme="minorEastAsia"/>
          <w:bCs/>
          <w:szCs w:val="21"/>
          <w:u w:val="single"/>
        </w:rPr>
        <w:t xml:space="preserve">    （供应商名称）   </w:t>
      </w:r>
      <w:r>
        <w:rPr>
          <w:rFonts w:hint="eastAsia" w:asciiTheme="minorEastAsia" w:hAnsiTheme="minorEastAsia" w:eastAsiaTheme="minorEastAsia" w:cstheme="minorEastAsia"/>
          <w:bCs/>
          <w:szCs w:val="21"/>
        </w:rPr>
        <w:t>的法定代表人。</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特此证明。</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供应商（公章）：                </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日期：  2022 年  月  日</w:t>
      </w:r>
    </w:p>
    <w:p>
      <w:pPr>
        <w:adjustRightInd w:val="0"/>
        <w:snapToGrid w:val="0"/>
        <w:spacing w:line="360" w:lineRule="auto"/>
        <w:rPr>
          <w:rFonts w:asciiTheme="minorEastAsia" w:hAnsiTheme="minorEastAsia" w:eastAsiaTheme="minorEastAsia" w:cstheme="minorEastAsia"/>
          <w:b/>
          <w:szCs w:val="21"/>
        </w:rPr>
        <w:sectPr>
          <w:pgSz w:w="11906" w:h="16838"/>
          <w:pgMar w:top="1440" w:right="1800" w:bottom="1440" w:left="1800" w:header="794" w:footer="992" w:gutter="0"/>
          <w:cols w:space="425" w:num="1"/>
          <w:docGrid w:type="lines" w:linePitch="312" w:charSpace="0"/>
        </w:sectPr>
      </w:pPr>
    </w:p>
    <w:p>
      <w:pPr>
        <w:pStyle w:val="15"/>
        <w:ind w:left="0" w:leftChars="0" w:firstLine="0" w:firstLineChars="0"/>
      </w:pPr>
      <w:r>
        <w:rPr>
          <w:rFonts w:hint="eastAsia" w:ascii="宋体" w:hAnsi="宋体" w:eastAsia="宋体" w:cs="宋体"/>
          <w:b/>
        </w:rPr>
        <w:t xml:space="preserve">格式6：  </w:t>
      </w:r>
    </w:p>
    <w:p>
      <w:pPr>
        <w:spacing w:line="360" w:lineRule="auto"/>
        <w:jc w:val="center"/>
        <w:rPr>
          <w:rFonts w:ascii="宋体" w:hAnsi="宋体" w:cs="宋体"/>
          <w:b/>
          <w:bCs/>
          <w:szCs w:val="21"/>
        </w:rPr>
      </w:pPr>
      <w:r>
        <w:rPr>
          <w:rFonts w:hint="eastAsia" w:ascii="宋体" w:hAnsi="宋体" w:cs="宋体"/>
          <w:b/>
          <w:bCs/>
          <w:szCs w:val="21"/>
        </w:rPr>
        <w:t>资格承诺函</w:t>
      </w:r>
    </w:p>
    <w:p>
      <w:pPr>
        <w:spacing w:line="360" w:lineRule="auto"/>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致：</w:t>
      </w:r>
      <w:r>
        <w:rPr>
          <w:rFonts w:hint="eastAsia" w:ascii="宋体" w:hAnsi="宋体" w:cs="宋体"/>
          <w:szCs w:val="21"/>
          <w:u w:val="single"/>
        </w:rPr>
        <w:t>（采购人、采购人）</w:t>
      </w:r>
    </w:p>
    <w:p>
      <w:pPr>
        <w:spacing w:line="360" w:lineRule="auto"/>
        <w:ind w:firstLine="420" w:firstLineChars="200"/>
        <w:jc w:val="left"/>
        <w:rPr>
          <w:rFonts w:ascii="宋体" w:hAnsi="宋体" w:cs="宋体"/>
          <w:szCs w:val="21"/>
        </w:rPr>
      </w:pPr>
      <w:r>
        <w:rPr>
          <w:rFonts w:hint="eastAsia" w:ascii="宋体" w:hAnsi="宋体" w:cs="宋体"/>
          <w:szCs w:val="21"/>
        </w:rPr>
        <w:t>我单位参与</w:t>
      </w:r>
      <w:r>
        <w:rPr>
          <w:rFonts w:hint="eastAsia" w:ascii="宋体" w:hAnsi="宋体" w:cs="宋体"/>
          <w:szCs w:val="21"/>
          <w:u w:val="single"/>
        </w:rPr>
        <w:t>（项目名称）（项目编号（分包号）： ）</w:t>
      </w:r>
      <w:r>
        <w:rPr>
          <w:rFonts w:hint="eastAsia" w:ascii="宋体" w:hAnsi="宋体" w:cs="宋体"/>
          <w:szCs w:val="21"/>
        </w:rPr>
        <w:t>项目的采购活动，现承诺如下：</w:t>
      </w:r>
    </w:p>
    <w:p>
      <w:pPr>
        <w:spacing w:line="360" w:lineRule="auto"/>
        <w:ind w:firstLine="420" w:firstLineChars="200"/>
        <w:jc w:val="left"/>
        <w:rPr>
          <w:rFonts w:ascii="宋体" w:hAnsi="宋体" w:cs="宋体"/>
          <w:szCs w:val="21"/>
        </w:rPr>
      </w:pPr>
      <w:r>
        <w:rPr>
          <w:rFonts w:hint="eastAsia" w:ascii="宋体" w:hAnsi="宋体" w:cs="宋体"/>
          <w:szCs w:val="21"/>
        </w:rPr>
        <w:t>1.我单位具有符合《中华人民共和国政府采购法》《中华人民共和国政府采购法实施条例》及采购比选文件资格要求规定的良好的商业信誉和健全的财务会计制度。</w:t>
      </w:r>
    </w:p>
    <w:p>
      <w:pPr>
        <w:spacing w:line="360" w:lineRule="auto"/>
        <w:ind w:firstLine="420" w:firstLineChars="200"/>
        <w:jc w:val="left"/>
        <w:rPr>
          <w:rFonts w:ascii="宋体" w:hAnsi="宋体" w:cs="宋体"/>
          <w:szCs w:val="21"/>
        </w:rPr>
      </w:pPr>
      <w:r>
        <w:rPr>
          <w:rFonts w:hint="eastAsia" w:ascii="宋体" w:hAnsi="宋体" w:cs="宋体"/>
          <w:szCs w:val="21"/>
        </w:rPr>
        <w:t>2.我单位具有符合《中华人民共和国政府采购法》《中华人民共和国政府采购法实施条例》及采购比选文件资格要求规定的履行合同所必需的设备和专业技术能力。</w:t>
      </w:r>
    </w:p>
    <w:p>
      <w:pPr>
        <w:spacing w:line="360" w:lineRule="auto"/>
        <w:ind w:firstLine="420" w:firstLineChars="200"/>
        <w:jc w:val="left"/>
        <w:rPr>
          <w:rFonts w:ascii="宋体" w:hAnsi="宋体" w:cs="宋体"/>
          <w:szCs w:val="21"/>
        </w:rPr>
      </w:pPr>
      <w:r>
        <w:rPr>
          <w:rFonts w:hint="eastAsia" w:ascii="宋体" w:hAnsi="宋体" w:cs="宋体"/>
          <w:szCs w:val="21"/>
        </w:rPr>
        <w:t>3.我单位具有符合《中华人民共和国政府采购法》《中华人民共和国政府采购法实施条例》及采购比选文件资格要求规定的依法缴纳税收和社会保障资金的相关证明材料。</w:t>
      </w:r>
    </w:p>
    <w:p>
      <w:pPr>
        <w:spacing w:line="360" w:lineRule="auto"/>
        <w:ind w:firstLine="420" w:firstLineChars="200"/>
        <w:jc w:val="left"/>
        <w:rPr>
          <w:rFonts w:ascii="宋体" w:hAnsi="宋体" w:cs="宋体"/>
          <w:szCs w:val="21"/>
        </w:rPr>
      </w:pPr>
      <w:r>
        <w:rPr>
          <w:rFonts w:hint="eastAsia" w:ascii="宋体" w:hAnsi="宋体" w:cs="宋体"/>
          <w:szCs w:val="21"/>
        </w:rPr>
        <w:t>4.我单位符合《中华人民共和国政府采购法》《中华人民共和国政府采购法实施条例》及采购比选文件资格要求规定的在参加政府采购活动前三年内，在经营活动中没有重大违法记录。</w:t>
      </w:r>
    </w:p>
    <w:p>
      <w:pPr>
        <w:spacing w:line="360" w:lineRule="auto"/>
        <w:ind w:firstLine="420" w:firstLineChars="200"/>
        <w:jc w:val="left"/>
        <w:rPr>
          <w:rFonts w:ascii="宋体" w:hAnsi="宋体" w:cs="宋体"/>
          <w:szCs w:val="21"/>
        </w:rPr>
      </w:pPr>
      <w:r>
        <w:rPr>
          <w:rFonts w:hint="eastAsia" w:ascii="宋体" w:hAnsi="宋体" w:cs="宋体"/>
          <w:szCs w:val="21"/>
        </w:rPr>
        <w:t>5.如违反上述承诺，同意将相关失信行为纳入海口市信用信息共享平台。</w:t>
      </w:r>
    </w:p>
    <w:p>
      <w:pPr>
        <w:spacing w:line="360" w:lineRule="auto"/>
        <w:ind w:firstLine="420" w:firstLineChars="200"/>
        <w:jc w:val="left"/>
        <w:rPr>
          <w:rFonts w:ascii="宋体" w:hAnsi="宋体" w:cs="宋体"/>
          <w:szCs w:val="21"/>
        </w:rPr>
      </w:pPr>
      <w:r>
        <w:rPr>
          <w:rFonts w:hint="eastAsia" w:ascii="宋体" w:hAnsi="宋体" w:cs="宋体"/>
          <w:szCs w:val="21"/>
        </w:rPr>
        <w:t>6.同意此承诺书在市公共资源中心的政府采购信息发布平台公示，接受社会各界监督。</w:t>
      </w:r>
    </w:p>
    <w:p>
      <w:pPr>
        <w:spacing w:line="360" w:lineRule="auto"/>
        <w:ind w:firstLine="420" w:firstLineChars="200"/>
        <w:jc w:val="left"/>
        <w:rPr>
          <w:rFonts w:ascii="宋体" w:hAnsi="宋体" w:cs="宋体"/>
          <w:szCs w:val="21"/>
        </w:rPr>
      </w:pPr>
      <w:r>
        <w:rPr>
          <w:rFonts w:hint="eastAsia" w:ascii="宋体" w:hAnsi="宋体" w:cs="宋体"/>
          <w:szCs w:val="21"/>
        </w:rPr>
        <w:t>若我单位以上承诺不实，自愿承担提供虚假材料谋取中标、成交的法律责任。</w:t>
      </w:r>
    </w:p>
    <w:p>
      <w:pPr>
        <w:spacing w:line="360" w:lineRule="auto"/>
        <w:rPr>
          <w:rFonts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承诺供应商（全称并加盖公章）：</w:t>
      </w:r>
    </w:p>
    <w:p>
      <w:pPr>
        <w:spacing w:line="360" w:lineRule="auto"/>
        <w:ind w:firstLine="420" w:firstLineChars="200"/>
        <w:jc w:val="left"/>
        <w:rPr>
          <w:rFonts w:ascii="宋体" w:hAnsi="宋体" w:cs="宋体"/>
          <w:szCs w:val="21"/>
        </w:rPr>
      </w:pPr>
      <w:r>
        <w:rPr>
          <w:rFonts w:hint="eastAsia" w:ascii="宋体" w:hAnsi="宋体" w:cs="宋体"/>
          <w:szCs w:val="21"/>
        </w:rPr>
        <w:t>单位负责人或授权代表（签字）：</w:t>
      </w:r>
    </w:p>
    <w:p>
      <w:pPr>
        <w:spacing w:line="360" w:lineRule="auto"/>
        <w:ind w:firstLine="420" w:firstLineChars="200"/>
        <w:jc w:val="left"/>
        <w:rPr>
          <w:rFonts w:ascii="宋体" w:hAnsi="宋体" w:cs="宋体"/>
          <w:szCs w:val="21"/>
        </w:rPr>
      </w:pPr>
      <w:r>
        <w:rPr>
          <w:rFonts w:hint="eastAsia" w:ascii="宋体" w:hAnsi="宋体" w:cs="宋体"/>
          <w:szCs w:val="21"/>
        </w:rPr>
        <w:t>日期：</w:t>
      </w:r>
    </w:p>
    <w:p>
      <w:pPr>
        <w:adjustRightInd w:val="0"/>
        <w:snapToGrid w:val="0"/>
        <w:spacing w:line="360" w:lineRule="auto"/>
        <w:ind w:firstLine="420" w:firstLineChars="200"/>
        <w:rPr>
          <w:rFonts w:ascii="宋体" w:hAnsi="宋体" w:cs="宋体"/>
          <w:szCs w:val="21"/>
        </w:rPr>
      </w:pPr>
    </w:p>
    <w:p>
      <w:pPr>
        <w:pStyle w:val="15"/>
        <w:rPr>
          <w:rFonts w:ascii="宋体" w:hAnsi="宋体" w:eastAsia="宋体" w:cs="宋体"/>
          <w:bCs w:val="0"/>
        </w:rPr>
        <w:sectPr>
          <w:pgSz w:w="11906" w:h="16838"/>
          <w:pgMar w:top="1440" w:right="1800" w:bottom="1440" w:left="1800" w:header="794" w:footer="992" w:gutter="0"/>
          <w:cols w:space="425" w:num="1"/>
          <w:docGrid w:type="lines" w:linePitch="312" w:charSpace="0"/>
        </w:sectPr>
      </w:pP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附件1：                     中小企业声明函（服务类）</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w:t>
      </w:r>
    </w:p>
    <w:p>
      <w:pPr>
        <w:adjustRightInd w:val="0"/>
        <w:snapToGrid w:val="0"/>
        <w:spacing w:line="360" w:lineRule="auto"/>
        <w:ind w:firstLine="630" w:firstLineChars="3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本公司郑重声明，根据《政府采购促进中小企业发展管理办法》（财库﹝2020﹞46 号）的规定，本公司参加</w:t>
      </w:r>
      <w:r>
        <w:rPr>
          <w:rFonts w:hint="eastAsia" w:asciiTheme="minorEastAsia" w:hAnsiTheme="minorEastAsia" w:eastAsiaTheme="minorEastAsia" w:cstheme="minorEastAsia"/>
          <w:bCs/>
          <w:szCs w:val="21"/>
          <w:u w:val="single"/>
        </w:rPr>
        <w:t>（单位名称）</w:t>
      </w:r>
      <w:r>
        <w:rPr>
          <w:rFonts w:hint="eastAsia" w:asciiTheme="minorEastAsia" w:hAnsiTheme="minorEastAsia" w:eastAsiaTheme="minorEastAsia" w:cstheme="minorEastAsia"/>
          <w:bCs/>
          <w:szCs w:val="21"/>
        </w:rPr>
        <w:t>的</w:t>
      </w:r>
      <w:r>
        <w:rPr>
          <w:rFonts w:hint="eastAsia" w:asciiTheme="minorEastAsia" w:hAnsiTheme="minorEastAsia" w:eastAsiaTheme="minorEastAsia" w:cstheme="minorEastAsia"/>
          <w:bCs/>
          <w:szCs w:val="21"/>
          <w:u w:val="single"/>
        </w:rPr>
        <w:t>（项目名称、项目编号、包号）</w:t>
      </w:r>
      <w:r>
        <w:rPr>
          <w:rFonts w:hint="eastAsia" w:asciiTheme="minorEastAsia" w:hAnsiTheme="minorEastAsia" w:eastAsiaTheme="minorEastAsia" w:cstheme="minorEastAsia"/>
          <w:bCs/>
          <w:szCs w:val="21"/>
        </w:rPr>
        <w:t>采购活动，服务全部由符合政策要求的中小企业承接。相关企业的具体情况如下：</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u w:val="single"/>
        </w:rPr>
        <w:t>（标的名称）</w:t>
      </w:r>
      <w:r>
        <w:rPr>
          <w:rFonts w:hint="eastAsia" w:asciiTheme="minorEastAsia" w:hAnsiTheme="minorEastAsia" w:eastAsiaTheme="minorEastAsia" w:cstheme="minorEastAsia"/>
          <w:bCs/>
          <w:szCs w:val="21"/>
        </w:rPr>
        <w:t>，属于</w:t>
      </w:r>
      <w:r>
        <w:rPr>
          <w:rFonts w:hint="eastAsia" w:asciiTheme="minorEastAsia" w:hAnsiTheme="minorEastAsia" w:eastAsiaTheme="minorEastAsia" w:cstheme="minorEastAsia"/>
          <w:bCs/>
          <w:szCs w:val="21"/>
          <w:u w:val="single"/>
        </w:rPr>
        <w:t>（采购比选文件中明确的所属行业）</w:t>
      </w:r>
      <w:r>
        <w:rPr>
          <w:rFonts w:hint="eastAsia" w:asciiTheme="minorEastAsia" w:hAnsiTheme="minorEastAsia" w:eastAsiaTheme="minorEastAsia" w:cstheme="minorEastAsia"/>
          <w:bCs/>
          <w:szCs w:val="21"/>
        </w:rPr>
        <w:t>；承接企业为</w:t>
      </w:r>
      <w:r>
        <w:rPr>
          <w:rFonts w:hint="eastAsia" w:asciiTheme="minorEastAsia" w:hAnsiTheme="minorEastAsia" w:eastAsiaTheme="minorEastAsia" w:cstheme="minorEastAsia"/>
          <w:bCs/>
          <w:szCs w:val="21"/>
          <w:u w:val="single"/>
        </w:rPr>
        <w:t>（企业名称）</w:t>
      </w:r>
      <w:r>
        <w:rPr>
          <w:rFonts w:hint="eastAsia" w:asciiTheme="minorEastAsia" w:hAnsiTheme="minorEastAsia" w:eastAsiaTheme="minorEastAsia" w:cstheme="minorEastAsia"/>
          <w:bCs/>
          <w:szCs w:val="21"/>
        </w:rPr>
        <w:t>，从业人员</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人，营业收入为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万元，资产总额为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万元，属于</w:t>
      </w:r>
      <w:r>
        <w:rPr>
          <w:rFonts w:hint="eastAsia" w:asciiTheme="minorEastAsia" w:hAnsiTheme="minorEastAsia" w:eastAsiaTheme="minorEastAsia" w:cstheme="minorEastAsia"/>
          <w:bCs/>
          <w:szCs w:val="21"/>
          <w:u w:val="single"/>
        </w:rPr>
        <w:t>（中型企业、小型企业、微型企业）</w:t>
      </w:r>
      <w:r>
        <w:rPr>
          <w:rFonts w:hint="eastAsia" w:asciiTheme="minorEastAsia" w:hAnsiTheme="minorEastAsia" w:eastAsiaTheme="minorEastAsia" w:cstheme="minorEastAsia"/>
          <w:bCs/>
          <w:szCs w:val="21"/>
        </w:rPr>
        <w:t>；</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以上企业，不属于大企业的分支机构，不存在控股股东为大企业的情形，也不存在与大企业的负责人为同一人的情形。</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本企业对上述声明内容的真实性负责。如有虚假，将依法承担相应责任。</w:t>
      </w:r>
    </w:p>
    <w:p>
      <w:pPr>
        <w:adjustRightInd w:val="0"/>
        <w:snapToGrid w:val="0"/>
        <w:spacing w:line="360" w:lineRule="auto"/>
        <w:ind w:firstLine="2940" w:firstLineChars="1400"/>
        <w:rPr>
          <w:rFonts w:asciiTheme="minorEastAsia" w:hAnsiTheme="minorEastAsia" w:eastAsiaTheme="minorEastAsia" w:cstheme="minorEastAsia"/>
          <w:bCs/>
          <w:szCs w:val="21"/>
        </w:rPr>
      </w:pPr>
    </w:p>
    <w:p>
      <w:pPr>
        <w:pStyle w:val="6"/>
        <w:adjustRightInd w:val="0"/>
        <w:snapToGrid w:val="0"/>
        <w:spacing w:line="360" w:lineRule="auto"/>
        <w:ind w:firstLine="3990" w:firstLineChars="19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供应商名称（盖章）：</w:t>
      </w:r>
    </w:p>
    <w:p>
      <w:pPr>
        <w:adjustRightInd w:val="0"/>
        <w:snapToGrid w:val="0"/>
        <w:spacing w:line="360" w:lineRule="auto"/>
        <w:ind w:firstLine="3990" w:firstLineChars="19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日期：</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①从业人员、营业收入、资产总额填报上一年度数据，无上一年度数据的新成立企业可不填报。</w:t>
      </w:r>
    </w:p>
    <w:p>
      <w:pPr>
        <w:adjustRightInd w:val="0"/>
        <w:snapToGrid w:val="0"/>
        <w:spacing w:line="360" w:lineRule="auto"/>
        <w:rPr>
          <w:rFonts w:asciiTheme="minorEastAsia" w:hAnsiTheme="minorEastAsia" w:eastAsiaTheme="minorEastAsia" w:cstheme="minorEastAsia"/>
          <w:bCs/>
          <w:szCs w:val="21"/>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szCs w:val="21"/>
        </w:rPr>
        <w:t xml:space="preserve">②供应商提供《中小企业声明函》内容不实的，属于“隐瞒真实情况，提供虚假资料的” 情形，依照有关规定追究相应责任。 </w:t>
      </w:r>
    </w:p>
    <w:p>
      <w:pPr>
        <w:spacing w:after="156" w:afterLines="50" w:line="440" w:lineRule="exact"/>
        <w:outlineLvl w:val="1"/>
        <w:rPr>
          <w:rFonts w:ascii="宋体" w:hAnsi="宋体" w:cs="宋体"/>
          <w:b/>
          <w:bCs/>
          <w:kern w:val="0"/>
          <w:sz w:val="30"/>
          <w:szCs w:val="30"/>
        </w:rPr>
      </w:pPr>
      <w:r>
        <w:rPr>
          <w:rFonts w:hint="eastAsia" w:asciiTheme="minorEastAsia" w:hAnsiTheme="minorEastAsia" w:eastAsiaTheme="minorEastAsia" w:cstheme="minorEastAsia"/>
          <w:b/>
          <w:szCs w:val="21"/>
        </w:rPr>
        <w:t xml:space="preserve">附件2：  </w:t>
      </w:r>
      <w:r>
        <w:rPr>
          <w:rFonts w:hint="eastAsia" w:asciiTheme="minorEastAsia" w:hAnsiTheme="minorEastAsia" w:eastAsiaTheme="minorEastAsia" w:cstheme="minorEastAsia"/>
          <w:bCs/>
          <w:szCs w:val="21"/>
        </w:rPr>
        <w:t xml:space="preserve">                     </w:t>
      </w:r>
      <w:r>
        <w:rPr>
          <w:rFonts w:hint="eastAsia" w:ascii="宋体" w:hAnsi="宋体" w:cs="宋体"/>
          <w:b/>
          <w:bCs/>
          <w:sz w:val="30"/>
          <w:szCs w:val="30"/>
        </w:rPr>
        <w:t>监狱企业证明文件</w:t>
      </w:r>
    </w:p>
    <w:p>
      <w:pPr>
        <w:spacing w:after="156" w:afterLines="50" w:line="440" w:lineRule="exact"/>
        <w:rPr>
          <w:rFonts w:ascii="宋体" w:hAnsi="宋体" w:cs="宋体"/>
          <w:b/>
          <w:bCs/>
          <w:kern w:val="0"/>
          <w:sz w:val="30"/>
          <w:szCs w:val="30"/>
        </w:rPr>
      </w:pPr>
    </w:p>
    <w:p>
      <w:pPr>
        <w:spacing w:line="360" w:lineRule="auto"/>
        <w:ind w:firstLine="420" w:firstLineChars="200"/>
        <w:rPr>
          <w:rFonts w:ascii="宋体" w:hAnsi="宋体" w:cs="宋体"/>
          <w:sz w:val="21"/>
          <w:szCs w:val="21"/>
        </w:rPr>
      </w:pPr>
      <w:r>
        <w:rPr>
          <w:rFonts w:hint="eastAsia" w:ascii="宋体" w:hAnsi="宋体" w:cs="宋体"/>
          <w:sz w:val="21"/>
          <w:szCs w:val="21"/>
        </w:rPr>
        <w:t>享受政策优惠的监狱企业须提供由省级以上监狱管理局、戒毒管理局（含新疆生产建设兵团）出具的属于监狱企业的证明文件。</w:t>
      </w:r>
    </w:p>
    <w:p>
      <w:pPr>
        <w:rPr>
          <w:sz w:val="21"/>
          <w:szCs w:val="21"/>
        </w:rPr>
      </w:pPr>
    </w:p>
    <w:p/>
    <w:p/>
    <w:p/>
    <w:p/>
    <w:p/>
    <w:p/>
    <w:p/>
    <w:p/>
    <w:p/>
    <w:p/>
    <w:p/>
    <w:p/>
    <w:p/>
    <w:p/>
    <w:p/>
    <w:p/>
    <w:p/>
    <w:p/>
    <w:p/>
    <w:p/>
    <w:p/>
    <w:p/>
    <w:p/>
    <w:p/>
    <w:p/>
    <w:p>
      <w:r>
        <w:tab/>
      </w:r>
    </w:p>
    <w:p/>
    <w:p/>
    <w:p/>
    <w:p/>
    <w:p/>
    <w:p/>
    <w:p/>
    <w:p>
      <w:pPr>
        <w:pStyle w:val="7"/>
        <w:rPr>
          <w:rFonts w:asciiTheme="minorEastAsia" w:hAnsiTheme="minorEastAsia" w:eastAsiaTheme="minorEastAsia" w:cstheme="minorEastAsia"/>
          <w:bCs/>
          <w:szCs w:val="21"/>
        </w:rPr>
      </w:pPr>
    </w:p>
    <w:p/>
    <w:p>
      <w:pPr>
        <w:outlineLvl w:val="1"/>
        <w:rPr>
          <w:rFonts w:ascii="宋体" w:hAnsi="宋体" w:cs="宋体"/>
          <w:b/>
          <w:bCs/>
          <w:sz w:val="30"/>
          <w:szCs w:val="30"/>
        </w:rPr>
      </w:pPr>
      <w:r>
        <w:rPr>
          <w:rFonts w:hint="eastAsia" w:asciiTheme="minorEastAsia" w:hAnsiTheme="minorEastAsia" w:eastAsiaTheme="minorEastAsia" w:cstheme="minorEastAsia"/>
          <w:b/>
          <w:szCs w:val="21"/>
        </w:rPr>
        <w:t xml:space="preserve">附件3： </w:t>
      </w:r>
      <w:r>
        <w:rPr>
          <w:rFonts w:hint="eastAsia" w:asciiTheme="minorEastAsia" w:hAnsiTheme="minorEastAsia" w:eastAsiaTheme="minorEastAsia" w:cstheme="minorEastAsia"/>
          <w:bCs/>
          <w:szCs w:val="21"/>
        </w:rPr>
        <w:t xml:space="preserve"> </w:t>
      </w:r>
      <w:r>
        <w:rPr>
          <w:rFonts w:hint="eastAsia" w:ascii="宋体" w:hAnsi="宋体" w:cs="宋体"/>
          <w:b/>
          <w:bCs/>
          <w:sz w:val="30"/>
          <w:szCs w:val="30"/>
        </w:rPr>
        <w:t xml:space="preserve">       残疾人福利性单位声明函</w:t>
      </w:r>
    </w:p>
    <w:p>
      <w:pPr>
        <w:spacing w:line="588" w:lineRule="exact"/>
        <w:ind w:firstLine="444" w:firstLineChars="200"/>
        <w:rPr>
          <w:rFonts w:ascii="宋体" w:hAnsi="宋体" w:cs="宋体"/>
          <w:spacing w:val="6"/>
          <w:sz w:val="21"/>
          <w:szCs w:val="21"/>
        </w:rPr>
      </w:pPr>
      <w:r>
        <w:rPr>
          <w:rFonts w:hint="eastAsia" w:ascii="宋体" w:hAnsi="宋体" w:cs="宋体"/>
          <w:spacing w:val="6"/>
          <w:sz w:val="21"/>
          <w:szCs w:val="21"/>
        </w:rPr>
        <w:t>本单位郑重声明，根据《财政部 民政部 中国残疾人联合会关于促进残疾人就业政府采购政策的通知》（财库</w:t>
      </w:r>
      <w:r>
        <w:rPr>
          <w:rFonts w:hint="eastAsia" w:ascii="宋体" w:hAnsi="宋体" w:cs="宋体"/>
          <w:sz w:val="21"/>
          <w:szCs w:val="21"/>
        </w:rPr>
        <w:t>〔2017〕 141</w:t>
      </w:r>
      <w:r>
        <w:rPr>
          <w:rFonts w:hint="eastAsia" w:ascii="宋体" w:hAnsi="宋体" w:cs="宋体"/>
          <w:spacing w:val="6"/>
          <w:sz w:val="21"/>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spacing w:val="6"/>
          <w:sz w:val="21"/>
          <w:szCs w:val="21"/>
        </w:rPr>
      </w:pPr>
      <w:r>
        <w:rPr>
          <w:rFonts w:hint="eastAsia" w:ascii="宋体" w:hAnsi="宋体" w:cs="宋体"/>
          <w:spacing w:val="6"/>
          <w:sz w:val="21"/>
          <w:szCs w:val="21"/>
        </w:rPr>
        <w:t>本单位对上述声明的真实性负责。如有虚假，将依法承担相应责任。</w:t>
      </w:r>
    </w:p>
    <w:p>
      <w:pPr>
        <w:spacing w:after="156" w:afterLines="50" w:line="440" w:lineRule="exact"/>
        <w:rPr>
          <w:rFonts w:ascii="宋体" w:hAnsi="宋体" w:cs="宋体"/>
          <w:b/>
          <w:bCs/>
          <w:kern w:val="0"/>
          <w:sz w:val="21"/>
          <w:szCs w:val="21"/>
        </w:rPr>
      </w:pPr>
    </w:p>
    <w:p>
      <w:pPr>
        <w:spacing w:after="156" w:afterLines="50" w:line="440" w:lineRule="exact"/>
        <w:jc w:val="center"/>
        <w:rPr>
          <w:rFonts w:ascii="宋体" w:hAnsi="宋体" w:cs="宋体"/>
          <w:b/>
          <w:bCs/>
          <w:kern w:val="0"/>
          <w:sz w:val="30"/>
          <w:szCs w:val="30"/>
        </w:rPr>
      </w:pPr>
    </w:p>
    <w:p>
      <w:pPr>
        <w:spacing w:after="156" w:afterLines="50" w:line="440" w:lineRule="exact"/>
        <w:jc w:val="center"/>
        <w:rPr>
          <w:rFonts w:ascii="宋体" w:hAnsi="宋体" w:cs="宋体"/>
          <w:b/>
          <w:bCs/>
          <w:kern w:val="0"/>
          <w:sz w:val="30"/>
          <w:szCs w:val="30"/>
        </w:rPr>
      </w:pPr>
    </w:p>
    <w:p>
      <w:pPr>
        <w:spacing w:after="140" w:line="360" w:lineRule="auto"/>
        <w:ind w:left="-5" w:hanging="10"/>
        <w:jc w:val="center"/>
        <w:rPr>
          <w:rFonts w:ascii="宋体" w:hAnsi="宋体" w:cs="宋体"/>
        </w:rPr>
      </w:pPr>
      <w:r>
        <w:rPr>
          <w:rFonts w:hint="eastAsia" w:ascii="宋体" w:hAnsi="宋体" w:cs="宋体"/>
          <w:sz w:val="24"/>
        </w:rPr>
        <w:t xml:space="preserve">         </w:t>
      </w:r>
      <w:r>
        <w:rPr>
          <w:rFonts w:hint="eastAsia" w:ascii="宋体" w:hAnsi="宋体" w:cs="宋体"/>
          <w:sz w:val="24"/>
          <w:lang w:val="en-GB"/>
        </w:rPr>
        <w:t>供应商（全称并盖章）</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color="000000"/>
        </w:rPr>
        <w:t xml:space="preserve">            </w:t>
      </w:r>
      <w:r>
        <w:rPr>
          <w:rFonts w:hint="eastAsia" w:ascii="宋体" w:hAnsi="宋体" w:cs="宋体"/>
          <w:sz w:val="24"/>
        </w:rPr>
        <w:t xml:space="preserve"> </w:t>
      </w:r>
    </w:p>
    <w:p>
      <w:pPr>
        <w:spacing w:after="94" w:line="360" w:lineRule="auto"/>
        <w:ind w:left="480"/>
        <w:rPr>
          <w:rFonts w:ascii="宋体" w:hAnsi="宋体" w:cs="宋体"/>
        </w:rPr>
      </w:pPr>
      <w:r>
        <w:rPr>
          <w:rFonts w:hint="eastAsia" w:ascii="宋体" w:hAnsi="宋体" w:cs="宋体"/>
          <w:sz w:val="24"/>
        </w:rPr>
        <w:t xml:space="preserve"> </w:t>
      </w:r>
    </w:p>
    <w:p>
      <w:pPr>
        <w:adjustRightInd w:val="0"/>
        <w:snapToGrid w:val="0"/>
        <w:spacing w:line="360" w:lineRule="auto"/>
        <w:rPr>
          <w:rFonts w:asciiTheme="minorEastAsia" w:hAnsiTheme="minorEastAsia" w:eastAsiaTheme="minorEastAsia" w:cstheme="minorEastAsia"/>
          <w:bCs/>
          <w:szCs w:val="21"/>
        </w:rPr>
      </w:pPr>
      <w:r>
        <w:rPr>
          <w:rFonts w:hint="eastAsia" w:ascii="宋体" w:hAnsi="宋体" w:cs="宋体"/>
          <w:sz w:val="24"/>
        </w:rPr>
        <w:t xml:space="preserve">                                 日 期：</w:t>
      </w:r>
    </w:p>
    <w:sectPr>
      <w:pgSz w:w="11906" w:h="16838"/>
      <w:pgMar w:top="1440" w:right="1800" w:bottom="1440" w:left="180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color w:val="000000"/>
                            </w:rPr>
                            <w:t xml:space="preserve">第 </w:t>
                          </w:r>
                          <w:r>
                            <w:rPr>
                              <w:rFonts w:hint="eastAsia"/>
                              <w:color w:val="000000"/>
                            </w:rPr>
                            <w:fldChar w:fldCharType="begin"/>
                          </w:r>
                          <w:r>
                            <w:rPr>
                              <w:rFonts w:hint="eastAsia"/>
                              <w:color w:val="000000"/>
                            </w:rPr>
                            <w:instrText xml:space="preserve"> PAGE  \* MERGEFORMAT </w:instrText>
                          </w:r>
                          <w:r>
                            <w:rPr>
                              <w:rFonts w:hint="eastAsia"/>
                              <w:color w:val="000000"/>
                            </w:rPr>
                            <w:fldChar w:fldCharType="separate"/>
                          </w:r>
                          <w:r>
                            <w:rPr>
                              <w:rFonts w:hint="eastAsia"/>
                              <w:color w:val="000000"/>
                            </w:rPr>
                            <w:t>1</w:t>
                          </w:r>
                          <w:r>
                            <w:rPr>
                              <w:rFonts w:hint="eastAsia"/>
                              <w:color w:val="000000"/>
                            </w:rPr>
                            <w:fldChar w:fldCharType="end"/>
                          </w:r>
                          <w:r>
                            <w:rPr>
                              <w:rFonts w:hint="eastAsia"/>
                              <w:color w:val="000000"/>
                            </w:rPr>
                            <w:t xml:space="preserve"> 页 共 </w:t>
                          </w:r>
                          <w:r>
                            <w:fldChar w:fldCharType="begin"/>
                          </w:r>
                          <w:r>
                            <w:instrText xml:space="preserve"> NUMPAGES  \* MERGEFORMAT </w:instrText>
                          </w:r>
                          <w:r>
                            <w:fldChar w:fldCharType="separate"/>
                          </w:r>
                          <w:r>
                            <w:rPr>
                              <w:rFonts w:hint="eastAsia"/>
                              <w:color w:val="000000"/>
                            </w:rPr>
                            <w:t>47</w:t>
                          </w:r>
                          <w:r>
                            <w:rPr>
                              <w:rFonts w:hint="eastAsia"/>
                              <w:color w:val="000000"/>
                            </w:rPr>
                            <w:fldChar w:fldCharType="end"/>
                          </w:r>
                          <w:r>
                            <w:rPr>
                              <w:rFonts w:hint="eastAsia"/>
                              <w:color w:val="00000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s2tsrAgAAVQQAAA4AAABkcnMvZTJvRG9jLnhtbK1UzY7TMBC+I/EO&#10;lu802QKrKmq6KlsVIVXsSgVxdh2nieQ/2W6T8gDwBpy4cN/n6nPwOT9dtHDYAxdn7Bl/M98348xv&#10;WiXJUThfG53Tq0lKidDcFLXe5/Tzp/WrGSU+MF0wabTI6Ul4erN4+WLe2ExMTWVkIRwBiPZZY3Na&#10;hWCzJPG8Eor5ibFCw1kap1jA1u2TwrEG6Eom0zS9ThrjCusMF97jdNU76YDongNoyrLmYmX4QQkd&#10;elQnJAug5Kvaerroqi1LwcNdWXoRiMwpmIZuRRLYu7gmiznL9o7ZquZDCew5JTzhpFitkfQCtWKB&#10;kYOr/4JSNXfGmzJMuFFJT6RTBCyu0ifabCtmRccFUnt7Ed3/P1j+8XjvSF1gEijRTKHh5x/fzz8f&#10;zr++kTdRnsb6DFFbi7jQvjNtDB3OPQ4j67Z0Kn7Bh8APcU8XcUUbCI+XZtPZLIWLwzdugJM8XrfO&#10;h/fCKBKNnDp0rxOVHTc+9KFjSMymzbqWEucsk5o0Ob1+/TbtLlw8AJcaOSKJvthohXbXDgx2pjiB&#10;mDP9ZHjL1zWSb5gP98xhFFAwHku4w1JKgyRmsCipjPv6r/MYjw7BS0mD0cqpxkuiRH7Q6BwAw2i4&#10;0diNhj6oW4NZRTdQS2figgtyNEtn1Be8oGXMARfTHJlyGkbzNvTjjRfIxXLZBWHWLAsbvbU8QkfF&#10;vF0eAgTsdI2i9EoMWmHaus4MLyOO85/7Lurxb7D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bNrbKwIAAFU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color w:val="000000"/>
                      </w:rPr>
                      <w:t xml:space="preserve">第 </w:t>
                    </w:r>
                    <w:r>
                      <w:rPr>
                        <w:rFonts w:hint="eastAsia"/>
                        <w:color w:val="000000"/>
                      </w:rPr>
                      <w:fldChar w:fldCharType="begin"/>
                    </w:r>
                    <w:r>
                      <w:rPr>
                        <w:rFonts w:hint="eastAsia"/>
                        <w:color w:val="000000"/>
                      </w:rPr>
                      <w:instrText xml:space="preserve"> PAGE  \* MERGEFORMAT </w:instrText>
                    </w:r>
                    <w:r>
                      <w:rPr>
                        <w:rFonts w:hint="eastAsia"/>
                        <w:color w:val="000000"/>
                      </w:rPr>
                      <w:fldChar w:fldCharType="separate"/>
                    </w:r>
                    <w:r>
                      <w:rPr>
                        <w:rFonts w:hint="eastAsia"/>
                        <w:color w:val="000000"/>
                      </w:rPr>
                      <w:t>1</w:t>
                    </w:r>
                    <w:r>
                      <w:rPr>
                        <w:rFonts w:hint="eastAsia"/>
                        <w:color w:val="000000"/>
                      </w:rPr>
                      <w:fldChar w:fldCharType="end"/>
                    </w:r>
                    <w:r>
                      <w:rPr>
                        <w:rFonts w:hint="eastAsia"/>
                        <w:color w:val="000000"/>
                      </w:rPr>
                      <w:t xml:space="preserve"> 页 共 </w:t>
                    </w:r>
                    <w:r>
                      <w:fldChar w:fldCharType="begin"/>
                    </w:r>
                    <w:r>
                      <w:instrText xml:space="preserve"> NUMPAGES  \* MERGEFORMAT </w:instrText>
                    </w:r>
                    <w:r>
                      <w:fldChar w:fldCharType="separate"/>
                    </w:r>
                    <w:r>
                      <w:rPr>
                        <w:rFonts w:hint="eastAsia"/>
                        <w:color w:val="000000"/>
                      </w:rPr>
                      <w:t>47</w:t>
                    </w:r>
                    <w:r>
                      <w:rPr>
                        <w:rFonts w:hint="eastAsia"/>
                        <w:color w:val="000000"/>
                      </w:rPr>
                      <w:fldChar w:fldCharType="end"/>
                    </w:r>
                    <w:r>
                      <w:rPr>
                        <w:rFonts w:hint="eastAsia"/>
                        <w:color w:val="000000"/>
                      </w:rPr>
                      <w:t xml:space="preserve"> 页</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color w:val="000000"/>
                            </w:rPr>
                            <w:t xml:space="preserve">第 </w:t>
                          </w:r>
                          <w:r>
                            <w:rPr>
                              <w:rFonts w:hint="eastAsia"/>
                              <w:color w:val="000000"/>
                            </w:rPr>
                            <w:fldChar w:fldCharType="begin"/>
                          </w:r>
                          <w:r>
                            <w:rPr>
                              <w:rFonts w:hint="eastAsia"/>
                              <w:color w:val="000000"/>
                            </w:rPr>
                            <w:instrText xml:space="preserve"> PAGE  \* MERGEFORMAT </w:instrText>
                          </w:r>
                          <w:r>
                            <w:rPr>
                              <w:rFonts w:hint="eastAsia"/>
                              <w:color w:val="000000"/>
                            </w:rPr>
                            <w:fldChar w:fldCharType="separate"/>
                          </w:r>
                          <w:r>
                            <w:rPr>
                              <w:rFonts w:hint="eastAsia"/>
                              <w:color w:val="000000"/>
                            </w:rPr>
                            <w:t>1</w:t>
                          </w:r>
                          <w:r>
                            <w:rPr>
                              <w:rFonts w:hint="eastAsia"/>
                              <w:color w:val="000000"/>
                            </w:rPr>
                            <w:fldChar w:fldCharType="end"/>
                          </w:r>
                          <w:r>
                            <w:rPr>
                              <w:rFonts w:hint="eastAsia"/>
                              <w:color w:val="000000"/>
                            </w:rPr>
                            <w:t xml:space="preserve"> 页 共 </w:t>
                          </w:r>
                          <w:r>
                            <w:fldChar w:fldCharType="begin"/>
                          </w:r>
                          <w:r>
                            <w:instrText xml:space="preserve"> NUMPAGES  \* MERGEFORMAT </w:instrText>
                          </w:r>
                          <w:r>
                            <w:fldChar w:fldCharType="separate"/>
                          </w:r>
                          <w:r>
                            <w:rPr>
                              <w:rFonts w:hint="eastAsia"/>
                              <w:color w:val="000000"/>
                            </w:rPr>
                            <w:t>47</w:t>
                          </w:r>
                          <w:r>
                            <w:rPr>
                              <w:rFonts w:hint="eastAsia"/>
                              <w:color w:val="000000"/>
                            </w:rPr>
                            <w:fldChar w:fldCharType="end"/>
                          </w:r>
                          <w:r>
                            <w:rPr>
                              <w:rFonts w:hint="eastAsia"/>
                              <w:color w:val="00000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ets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pJZopFPz84/v5&#10;5+/zr2/kKs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z562ywCAABV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color w:val="000000"/>
                      </w:rPr>
                      <w:t xml:space="preserve">第 </w:t>
                    </w:r>
                    <w:r>
                      <w:rPr>
                        <w:rFonts w:hint="eastAsia"/>
                        <w:color w:val="000000"/>
                      </w:rPr>
                      <w:fldChar w:fldCharType="begin"/>
                    </w:r>
                    <w:r>
                      <w:rPr>
                        <w:rFonts w:hint="eastAsia"/>
                        <w:color w:val="000000"/>
                      </w:rPr>
                      <w:instrText xml:space="preserve"> PAGE  \* MERGEFORMAT </w:instrText>
                    </w:r>
                    <w:r>
                      <w:rPr>
                        <w:rFonts w:hint="eastAsia"/>
                        <w:color w:val="000000"/>
                      </w:rPr>
                      <w:fldChar w:fldCharType="separate"/>
                    </w:r>
                    <w:r>
                      <w:rPr>
                        <w:rFonts w:hint="eastAsia"/>
                        <w:color w:val="000000"/>
                      </w:rPr>
                      <w:t>1</w:t>
                    </w:r>
                    <w:r>
                      <w:rPr>
                        <w:rFonts w:hint="eastAsia"/>
                        <w:color w:val="000000"/>
                      </w:rPr>
                      <w:fldChar w:fldCharType="end"/>
                    </w:r>
                    <w:r>
                      <w:rPr>
                        <w:rFonts w:hint="eastAsia"/>
                        <w:color w:val="000000"/>
                      </w:rPr>
                      <w:t xml:space="preserve"> 页 共 </w:t>
                    </w:r>
                    <w:r>
                      <w:fldChar w:fldCharType="begin"/>
                    </w:r>
                    <w:r>
                      <w:instrText xml:space="preserve"> NUMPAGES  \* MERGEFORMAT </w:instrText>
                    </w:r>
                    <w:r>
                      <w:fldChar w:fldCharType="separate"/>
                    </w:r>
                    <w:r>
                      <w:rPr>
                        <w:rFonts w:hint="eastAsia"/>
                        <w:color w:val="000000"/>
                      </w:rPr>
                      <w:t>47</w:t>
                    </w:r>
                    <w:r>
                      <w:rPr>
                        <w:rFonts w:hint="eastAsia"/>
                        <w:color w:val="000000"/>
                      </w:rPr>
                      <w:fldChar w:fldCharType="end"/>
                    </w:r>
                    <w:r>
                      <w:rPr>
                        <w:rFonts w:hint="eastAsia"/>
                        <w:color w:val="000000"/>
                      </w:rPr>
                      <w:t xml:space="preserve"> 页</w:t>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color w:val="000000"/>
                            </w:rPr>
                            <w:t xml:space="preserve">第 </w:t>
                          </w:r>
                          <w:r>
                            <w:rPr>
                              <w:rFonts w:hint="eastAsia"/>
                              <w:color w:val="000000"/>
                            </w:rPr>
                            <w:fldChar w:fldCharType="begin"/>
                          </w:r>
                          <w:r>
                            <w:rPr>
                              <w:rFonts w:hint="eastAsia"/>
                              <w:color w:val="000000"/>
                            </w:rPr>
                            <w:instrText xml:space="preserve"> PAGE  \* MERGEFORMAT </w:instrText>
                          </w:r>
                          <w:r>
                            <w:rPr>
                              <w:rFonts w:hint="eastAsia"/>
                              <w:color w:val="000000"/>
                            </w:rPr>
                            <w:fldChar w:fldCharType="separate"/>
                          </w:r>
                          <w:r>
                            <w:rPr>
                              <w:rFonts w:hint="eastAsia"/>
                              <w:color w:val="000000"/>
                            </w:rPr>
                            <w:t>1</w:t>
                          </w:r>
                          <w:r>
                            <w:rPr>
                              <w:rFonts w:hint="eastAsia"/>
                              <w:color w:val="000000"/>
                            </w:rPr>
                            <w:fldChar w:fldCharType="end"/>
                          </w:r>
                          <w:r>
                            <w:rPr>
                              <w:rFonts w:hint="eastAsia"/>
                              <w:color w:val="000000"/>
                            </w:rPr>
                            <w:t xml:space="preserve"> 页 共 </w:t>
                          </w:r>
                          <w:r>
                            <w:fldChar w:fldCharType="begin"/>
                          </w:r>
                          <w:r>
                            <w:instrText xml:space="preserve"> NUMPAGES  \* MERGEFORMAT </w:instrText>
                          </w:r>
                          <w:r>
                            <w:fldChar w:fldCharType="separate"/>
                          </w:r>
                          <w:r>
                            <w:rPr>
                              <w:rFonts w:hint="eastAsia"/>
                              <w:color w:val="000000"/>
                            </w:rPr>
                            <w:t>47</w:t>
                          </w:r>
                          <w:r>
                            <w:rPr>
                              <w:rFonts w:hint="eastAsia"/>
                              <w:color w:val="000000"/>
                            </w:rPr>
                            <w:fldChar w:fldCharType="end"/>
                          </w:r>
                          <w:r>
                            <w:rPr>
                              <w:rFonts w:hint="eastAsia"/>
                              <w:color w:val="00000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oq/srAgAAV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eUaKZQ8MuP75ef&#10;D5df38g0ylNbP0fUziIuNO9Mg6YZzj0OI+umcCp+wYfAD3HPV3FFEwiPl2aT2SyFi8M3bICfPF63&#10;zof3wigSjYw6VK8VlZ22PnShQ0jMps2mkrKtoNSkzuj09du0vXD1AFxq5IgkusdGKzT7pme2N/kZ&#10;xJzpOsNbvqmQfMt8uGcOrYAHY1jCHZZCGiQxvUVJadzXf53HeFQIXkpqtFZGNSaJEvlBo3IADIPh&#10;BmM/GPqobg16dYwhtLw1ccEFOZiFM+oLJmgVc8DFNEemjIbBvA1de2MCuVit2iD0mmVhq3eWR+go&#10;nrerY4CAra5RlE6JXit0W1uZfjJiO/+5b6Me/wb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b6Kv7KwIAAFU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color w:val="000000"/>
                      </w:rPr>
                      <w:t xml:space="preserve">第 </w:t>
                    </w:r>
                    <w:r>
                      <w:rPr>
                        <w:rFonts w:hint="eastAsia"/>
                        <w:color w:val="000000"/>
                      </w:rPr>
                      <w:fldChar w:fldCharType="begin"/>
                    </w:r>
                    <w:r>
                      <w:rPr>
                        <w:rFonts w:hint="eastAsia"/>
                        <w:color w:val="000000"/>
                      </w:rPr>
                      <w:instrText xml:space="preserve"> PAGE  \* MERGEFORMAT </w:instrText>
                    </w:r>
                    <w:r>
                      <w:rPr>
                        <w:rFonts w:hint="eastAsia"/>
                        <w:color w:val="000000"/>
                      </w:rPr>
                      <w:fldChar w:fldCharType="separate"/>
                    </w:r>
                    <w:r>
                      <w:rPr>
                        <w:rFonts w:hint="eastAsia"/>
                        <w:color w:val="000000"/>
                      </w:rPr>
                      <w:t>1</w:t>
                    </w:r>
                    <w:r>
                      <w:rPr>
                        <w:rFonts w:hint="eastAsia"/>
                        <w:color w:val="000000"/>
                      </w:rPr>
                      <w:fldChar w:fldCharType="end"/>
                    </w:r>
                    <w:r>
                      <w:rPr>
                        <w:rFonts w:hint="eastAsia"/>
                        <w:color w:val="000000"/>
                      </w:rPr>
                      <w:t xml:space="preserve"> 页 共 </w:t>
                    </w:r>
                    <w:r>
                      <w:fldChar w:fldCharType="begin"/>
                    </w:r>
                    <w:r>
                      <w:instrText xml:space="preserve"> NUMPAGES  \* MERGEFORMAT </w:instrText>
                    </w:r>
                    <w:r>
                      <w:fldChar w:fldCharType="separate"/>
                    </w:r>
                    <w:r>
                      <w:rPr>
                        <w:rFonts w:hint="eastAsia"/>
                        <w:color w:val="000000"/>
                      </w:rPr>
                      <w:t>47</w:t>
                    </w:r>
                    <w:r>
                      <w:rPr>
                        <w:rFonts w:hint="eastAsia"/>
                        <w:color w:val="000000"/>
                      </w:rPr>
                      <w:fldChar w:fldCharType="end"/>
                    </w:r>
                    <w:r>
                      <w:rPr>
                        <w:rFonts w:hint="eastAsia"/>
                        <w:color w:val="000000"/>
                      </w:rPr>
                      <w:t xml:space="preserve"> 页</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outlineLvl w:val="0"/>
      <w:rPr>
        <w:rFonts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pPr>
      <w:pStyle w:val="9"/>
      <w:ind w:left="3975" w:leftChars="1893" w:firstLine="2741" w:firstLineChars="1300"/>
      <w:outlineLvl w:val="0"/>
      <w:rPr>
        <w:rFonts w:hAnsi="宋体"/>
        <w:b/>
        <w:bCs/>
        <w:szCs w:val="21"/>
      </w:rPr>
    </w:pPr>
    <w:r>
      <w:rPr>
        <w:rFonts w:hint="eastAsia" w:hAnsi="宋体"/>
        <w:b/>
        <w:bCs/>
        <w:szCs w:val="21"/>
      </w:rPr>
      <w:t>/HKGP-2021-0038</w:t>
    </w:r>
  </w:p>
  <w:p>
    <w:pPr>
      <w:pStyle w:val="12"/>
      <w:pBdr>
        <w:bottom w:val="none" w:color="auto" w:sz="0" w:space="1"/>
      </w:pBdr>
    </w:pPr>
    <w:r>
      <w:rPr>
        <w:sz w:val="21"/>
        <w:szCs w:val="21"/>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outlineLvl w:val="0"/>
      <w:rPr>
        <w:rFonts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pPr>
      <w:pStyle w:val="9"/>
      <w:ind w:left="3975" w:leftChars="1893" w:firstLine="2741" w:firstLineChars="1300"/>
      <w:outlineLvl w:val="0"/>
      <w:rPr>
        <w:rFonts w:hAnsi="宋体"/>
        <w:b/>
        <w:bCs/>
        <w:szCs w:val="21"/>
      </w:rPr>
    </w:pPr>
    <w:r>
      <w:rPr>
        <w:rFonts w:hint="eastAsia" w:hAnsi="宋体"/>
        <w:b/>
        <w:bCs/>
        <w:szCs w:val="21"/>
      </w:rPr>
      <w:t>/HKGP-2021-0038</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896DB"/>
    <w:multiLevelType w:val="singleLevel"/>
    <w:tmpl w:val="1BD896DB"/>
    <w:lvl w:ilvl="0" w:tentative="0">
      <w:start w:val="2"/>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jOTA3MGM1Y2M5YjYwZWE5YzM4ZTNhZTdiODYxNzgifQ=="/>
  </w:docVars>
  <w:rsids>
    <w:rsidRoot w:val="53E73F9D"/>
    <w:rsid w:val="000417AF"/>
    <w:rsid w:val="000667F7"/>
    <w:rsid w:val="000916B3"/>
    <w:rsid w:val="000B5F38"/>
    <w:rsid w:val="000B6DC9"/>
    <w:rsid w:val="000D3A08"/>
    <w:rsid w:val="000F7754"/>
    <w:rsid w:val="00116F1A"/>
    <w:rsid w:val="001556CE"/>
    <w:rsid w:val="002113B8"/>
    <w:rsid w:val="00231CAF"/>
    <w:rsid w:val="00232A6E"/>
    <w:rsid w:val="00243EAF"/>
    <w:rsid w:val="002448EE"/>
    <w:rsid w:val="0028478C"/>
    <w:rsid w:val="00296A5B"/>
    <w:rsid w:val="002A1CD8"/>
    <w:rsid w:val="002A547B"/>
    <w:rsid w:val="003127E7"/>
    <w:rsid w:val="003216DB"/>
    <w:rsid w:val="00345A22"/>
    <w:rsid w:val="003636FA"/>
    <w:rsid w:val="003958D3"/>
    <w:rsid w:val="003A7E1B"/>
    <w:rsid w:val="003C0F74"/>
    <w:rsid w:val="003C5980"/>
    <w:rsid w:val="003E2458"/>
    <w:rsid w:val="00407E90"/>
    <w:rsid w:val="00440741"/>
    <w:rsid w:val="00485BEF"/>
    <w:rsid w:val="004C1C33"/>
    <w:rsid w:val="004D498D"/>
    <w:rsid w:val="00534EA8"/>
    <w:rsid w:val="00574D66"/>
    <w:rsid w:val="005808A1"/>
    <w:rsid w:val="00597847"/>
    <w:rsid w:val="005A2B2F"/>
    <w:rsid w:val="005D103E"/>
    <w:rsid w:val="005F4489"/>
    <w:rsid w:val="006005A2"/>
    <w:rsid w:val="006256B3"/>
    <w:rsid w:val="00665ACA"/>
    <w:rsid w:val="00667859"/>
    <w:rsid w:val="006F0B13"/>
    <w:rsid w:val="0072275E"/>
    <w:rsid w:val="00722A41"/>
    <w:rsid w:val="00724A8D"/>
    <w:rsid w:val="0073425A"/>
    <w:rsid w:val="00737A5A"/>
    <w:rsid w:val="00744352"/>
    <w:rsid w:val="00747C68"/>
    <w:rsid w:val="00747E76"/>
    <w:rsid w:val="007504CE"/>
    <w:rsid w:val="00786724"/>
    <w:rsid w:val="0079248A"/>
    <w:rsid w:val="007A32CA"/>
    <w:rsid w:val="007C5C62"/>
    <w:rsid w:val="007D0BF1"/>
    <w:rsid w:val="007D0D76"/>
    <w:rsid w:val="007D2369"/>
    <w:rsid w:val="007F5C54"/>
    <w:rsid w:val="00801901"/>
    <w:rsid w:val="008102F1"/>
    <w:rsid w:val="008349E1"/>
    <w:rsid w:val="00847139"/>
    <w:rsid w:val="008B4306"/>
    <w:rsid w:val="008D5F4D"/>
    <w:rsid w:val="008D6242"/>
    <w:rsid w:val="008E3D72"/>
    <w:rsid w:val="008F3B2C"/>
    <w:rsid w:val="00923CCF"/>
    <w:rsid w:val="00960722"/>
    <w:rsid w:val="00991094"/>
    <w:rsid w:val="00997D30"/>
    <w:rsid w:val="009A08FC"/>
    <w:rsid w:val="009A1606"/>
    <w:rsid w:val="009B4088"/>
    <w:rsid w:val="009B786F"/>
    <w:rsid w:val="009C6B66"/>
    <w:rsid w:val="009F19E3"/>
    <w:rsid w:val="009F2374"/>
    <w:rsid w:val="009F3C24"/>
    <w:rsid w:val="00A01741"/>
    <w:rsid w:val="00A63F7E"/>
    <w:rsid w:val="00A70150"/>
    <w:rsid w:val="00A8066A"/>
    <w:rsid w:val="00A816E1"/>
    <w:rsid w:val="00AC500B"/>
    <w:rsid w:val="00AD201B"/>
    <w:rsid w:val="00AE1889"/>
    <w:rsid w:val="00B14591"/>
    <w:rsid w:val="00B41963"/>
    <w:rsid w:val="00B54CF6"/>
    <w:rsid w:val="00B63C81"/>
    <w:rsid w:val="00B92181"/>
    <w:rsid w:val="00BA5968"/>
    <w:rsid w:val="00BB1609"/>
    <w:rsid w:val="00BB2FB0"/>
    <w:rsid w:val="00BC4FAD"/>
    <w:rsid w:val="00BF3312"/>
    <w:rsid w:val="00C216DD"/>
    <w:rsid w:val="00C26B9D"/>
    <w:rsid w:val="00C36AC8"/>
    <w:rsid w:val="00C649A3"/>
    <w:rsid w:val="00CC1B29"/>
    <w:rsid w:val="00CD11F5"/>
    <w:rsid w:val="00CF3B3E"/>
    <w:rsid w:val="00D16F26"/>
    <w:rsid w:val="00D27D6E"/>
    <w:rsid w:val="00D32B5C"/>
    <w:rsid w:val="00D60327"/>
    <w:rsid w:val="00DA6E8D"/>
    <w:rsid w:val="00DA7A87"/>
    <w:rsid w:val="00DB5DE7"/>
    <w:rsid w:val="00DF1533"/>
    <w:rsid w:val="00DF551E"/>
    <w:rsid w:val="00E34EA2"/>
    <w:rsid w:val="00E5717F"/>
    <w:rsid w:val="00E76613"/>
    <w:rsid w:val="00E80370"/>
    <w:rsid w:val="00E8603C"/>
    <w:rsid w:val="00E865C2"/>
    <w:rsid w:val="00E97C6E"/>
    <w:rsid w:val="00EB39FC"/>
    <w:rsid w:val="00ED4FC3"/>
    <w:rsid w:val="00FA2EF1"/>
    <w:rsid w:val="00FC221A"/>
    <w:rsid w:val="00FE691B"/>
    <w:rsid w:val="012F0CEC"/>
    <w:rsid w:val="01317F69"/>
    <w:rsid w:val="014001AC"/>
    <w:rsid w:val="014E162F"/>
    <w:rsid w:val="0159347F"/>
    <w:rsid w:val="016C0FA1"/>
    <w:rsid w:val="01816A09"/>
    <w:rsid w:val="02213014"/>
    <w:rsid w:val="022D30DA"/>
    <w:rsid w:val="02455925"/>
    <w:rsid w:val="02497534"/>
    <w:rsid w:val="027C16B8"/>
    <w:rsid w:val="02D219C4"/>
    <w:rsid w:val="02D768EE"/>
    <w:rsid w:val="02DA018C"/>
    <w:rsid w:val="03231259"/>
    <w:rsid w:val="033B0CFE"/>
    <w:rsid w:val="03404493"/>
    <w:rsid w:val="034F7EF4"/>
    <w:rsid w:val="03854560"/>
    <w:rsid w:val="03BF4CCA"/>
    <w:rsid w:val="03C14561"/>
    <w:rsid w:val="03E2554B"/>
    <w:rsid w:val="040D3C69"/>
    <w:rsid w:val="04261197"/>
    <w:rsid w:val="04630F4A"/>
    <w:rsid w:val="049B5476"/>
    <w:rsid w:val="04E03371"/>
    <w:rsid w:val="052D4ADE"/>
    <w:rsid w:val="05314529"/>
    <w:rsid w:val="05335E16"/>
    <w:rsid w:val="0539563E"/>
    <w:rsid w:val="054B711F"/>
    <w:rsid w:val="055E210C"/>
    <w:rsid w:val="056A57F8"/>
    <w:rsid w:val="058014BF"/>
    <w:rsid w:val="05856AD5"/>
    <w:rsid w:val="05940E2A"/>
    <w:rsid w:val="05E355AA"/>
    <w:rsid w:val="05F21DE6"/>
    <w:rsid w:val="05F36EF6"/>
    <w:rsid w:val="06450013"/>
    <w:rsid w:val="064E6865"/>
    <w:rsid w:val="064E6EC7"/>
    <w:rsid w:val="0661309E"/>
    <w:rsid w:val="06984B35"/>
    <w:rsid w:val="06EB2968"/>
    <w:rsid w:val="06EC4087"/>
    <w:rsid w:val="06F931DF"/>
    <w:rsid w:val="07050876"/>
    <w:rsid w:val="071D0355"/>
    <w:rsid w:val="07224C2D"/>
    <w:rsid w:val="073851BD"/>
    <w:rsid w:val="073F4A62"/>
    <w:rsid w:val="07B81042"/>
    <w:rsid w:val="07D16002"/>
    <w:rsid w:val="07D1641A"/>
    <w:rsid w:val="07D72EEC"/>
    <w:rsid w:val="07ED44BE"/>
    <w:rsid w:val="07F661BB"/>
    <w:rsid w:val="08007B78"/>
    <w:rsid w:val="080737D2"/>
    <w:rsid w:val="08105A97"/>
    <w:rsid w:val="081128A2"/>
    <w:rsid w:val="08145A20"/>
    <w:rsid w:val="082C4653"/>
    <w:rsid w:val="085A2AEA"/>
    <w:rsid w:val="085A4AFD"/>
    <w:rsid w:val="08601134"/>
    <w:rsid w:val="089963F4"/>
    <w:rsid w:val="08A774AC"/>
    <w:rsid w:val="08DB2D17"/>
    <w:rsid w:val="08DC5BCE"/>
    <w:rsid w:val="08FD4BD5"/>
    <w:rsid w:val="090F409F"/>
    <w:rsid w:val="09385C0D"/>
    <w:rsid w:val="093C56FD"/>
    <w:rsid w:val="093F0D49"/>
    <w:rsid w:val="095C18FB"/>
    <w:rsid w:val="09601EFA"/>
    <w:rsid w:val="098B0432"/>
    <w:rsid w:val="09A068B5"/>
    <w:rsid w:val="09B37E23"/>
    <w:rsid w:val="09E414B0"/>
    <w:rsid w:val="09F558AC"/>
    <w:rsid w:val="09FC5A6D"/>
    <w:rsid w:val="0A026946"/>
    <w:rsid w:val="0A232419"/>
    <w:rsid w:val="0A2368BD"/>
    <w:rsid w:val="0A540824"/>
    <w:rsid w:val="0A586351"/>
    <w:rsid w:val="0A7B7C6C"/>
    <w:rsid w:val="0A89454C"/>
    <w:rsid w:val="0A9357F1"/>
    <w:rsid w:val="0AA52631"/>
    <w:rsid w:val="0AD87214"/>
    <w:rsid w:val="0AF21923"/>
    <w:rsid w:val="0AFD710E"/>
    <w:rsid w:val="0B00275A"/>
    <w:rsid w:val="0B882E7B"/>
    <w:rsid w:val="0B974E6D"/>
    <w:rsid w:val="0B9F6417"/>
    <w:rsid w:val="0BB7140A"/>
    <w:rsid w:val="0BBA0B5B"/>
    <w:rsid w:val="0BBC0022"/>
    <w:rsid w:val="0BD90EE9"/>
    <w:rsid w:val="0C1666D9"/>
    <w:rsid w:val="0C252478"/>
    <w:rsid w:val="0C282C80"/>
    <w:rsid w:val="0C48260B"/>
    <w:rsid w:val="0C5E3BDC"/>
    <w:rsid w:val="0C747BE1"/>
    <w:rsid w:val="0C796895"/>
    <w:rsid w:val="0C880C59"/>
    <w:rsid w:val="0C8D7232"/>
    <w:rsid w:val="0C8E2713"/>
    <w:rsid w:val="0C956CDB"/>
    <w:rsid w:val="0C9E593E"/>
    <w:rsid w:val="0CA05FA3"/>
    <w:rsid w:val="0CC7352F"/>
    <w:rsid w:val="0CC95340"/>
    <w:rsid w:val="0CE06855"/>
    <w:rsid w:val="0CF271BF"/>
    <w:rsid w:val="0D3A63F7"/>
    <w:rsid w:val="0D58062B"/>
    <w:rsid w:val="0D5F1E64"/>
    <w:rsid w:val="0D780CCE"/>
    <w:rsid w:val="0DB27913"/>
    <w:rsid w:val="0DBF06AB"/>
    <w:rsid w:val="0DCF4D92"/>
    <w:rsid w:val="0DCF60DD"/>
    <w:rsid w:val="0DFD1228"/>
    <w:rsid w:val="0E2B535C"/>
    <w:rsid w:val="0E39045D"/>
    <w:rsid w:val="0E3A41D5"/>
    <w:rsid w:val="0E603E62"/>
    <w:rsid w:val="0E7019A5"/>
    <w:rsid w:val="0E794CFD"/>
    <w:rsid w:val="0E903DF5"/>
    <w:rsid w:val="0EE26D46"/>
    <w:rsid w:val="0EEA5BFB"/>
    <w:rsid w:val="0F1A028E"/>
    <w:rsid w:val="0F242EBB"/>
    <w:rsid w:val="0F3B3D47"/>
    <w:rsid w:val="0F4814BC"/>
    <w:rsid w:val="0F4946D0"/>
    <w:rsid w:val="0FA43FFC"/>
    <w:rsid w:val="0FBF71DA"/>
    <w:rsid w:val="0FF24D67"/>
    <w:rsid w:val="100B407B"/>
    <w:rsid w:val="10234F21"/>
    <w:rsid w:val="104E667B"/>
    <w:rsid w:val="10575E20"/>
    <w:rsid w:val="105A2DDD"/>
    <w:rsid w:val="106611CB"/>
    <w:rsid w:val="10BD35C7"/>
    <w:rsid w:val="10E16B8A"/>
    <w:rsid w:val="112E6273"/>
    <w:rsid w:val="113722BE"/>
    <w:rsid w:val="113F685C"/>
    <w:rsid w:val="11601AD6"/>
    <w:rsid w:val="11621A79"/>
    <w:rsid w:val="116752E1"/>
    <w:rsid w:val="11E76422"/>
    <w:rsid w:val="12380801"/>
    <w:rsid w:val="12507C79"/>
    <w:rsid w:val="1254371D"/>
    <w:rsid w:val="125E4936"/>
    <w:rsid w:val="1262199D"/>
    <w:rsid w:val="126B7053"/>
    <w:rsid w:val="127E28E2"/>
    <w:rsid w:val="12865437"/>
    <w:rsid w:val="12943F88"/>
    <w:rsid w:val="12AB744F"/>
    <w:rsid w:val="12AF6F40"/>
    <w:rsid w:val="12BD6BF4"/>
    <w:rsid w:val="12C81DAF"/>
    <w:rsid w:val="12E070F9"/>
    <w:rsid w:val="130079F3"/>
    <w:rsid w:val="132D6E78"/>
    <w:rsid w:val="137C0484"/>
    <w:rsid w:val="13962132"/>
    <w:rsid w:val="1399374C"/>
    <w:rsid w:val="139C4065"/>
    <w:rsid w:val="13A445CA"/>
    <w:rsid w:val="13AE71F7"/>
    <w:rsid w:val="1437327D"/>
    <w:rsid w:val="145A17F2"/>
    <w:rsid w:val="145A366F"/>
    <w:rsid w:val="14B33330"/>
    <w:rsid w:val="14B46A8F"/>
    <w:rsid w:val="14E24257"/>
    <w:rsid w:val="14F364DD"/>
    <w:rsid w:val="14FE41AE"/>
    <w:rsid w:val="150D5D06"/>
    <w:rsid w:val="1534372C"/>
    <w:rsid w:val="157F1A78"/>
    <w:rsid w:val="15AE1730"/>
    <w:rsid w:val="15D078F9"/>
    <w:rsid w:val="15DA2C5A"/>
    <w:rsid w:val="15F64E85"/>
    <w:rsid w:val="1605187F"/>
    <w:rsid w:val="16154877"/>
    <w:rsid w:val="16930926"/>
    <w:rsid w:val="16C0190D"/>
    <w:rsid w:val="16DC22CD"/>
    <w:rsid w:val="170F0CDD"/>
    <w:rsid w:val="17137D16"/>
    <w:rsid w:val="179761F4"/>
    <w:rsid w:val="17B77DC6"/>
    <w:rsid w:val="17BD3EAD"/>
    <w:rsid w:val="186A144F"/>
    <w:rsid w:val="18812024"/>
    <w:rsid w:val="18866995"/>
    <w:rsid w:val="18BC5F12"/>
    <w:rsid w:val="18DA1062"/>
    <w:rsid w:val="18DF750D"/>
    <w:rsid w:val="19057B47"/>
    <w:rsid w:val="192E465C"/>
    <w:rsid w:val="19355CC5"/>
    <w:rsid w:val="19445F08"/>
    <w:rsid w:val="195A634B"/>
    <w:rsid w:val="196D1144"/>
    <w:rsid w:val="197467ED"/>
    <w:rsid w:val="199C16E9"/>
    <w:rsid w:val="199D5F29"/>
    <w:rsid w:val="19BB2F18"/>
    <w:rsid w:val="19CA28B1"/>
    <w:rsid w:val="19F3005A"/>
    <w:rsid w:val="1A0F4768"/>
    <w:rsid w:val="1A3B37AF"/>
    <w:rsid w:val="1A404921"/>
    <w:rsid w:val="1A5202FA"/>
    <w:rsid w:val="1A5F56EF"/>
    <w:rsid w:val="1A864A2A"/>
    <w:rsid w:val="1A937147"/>
    <w:rsid w:val="1A974E89"/>
    <w:rsid w:val="1AAC33FA"/>
    <w:rsid w:val="1AED0A61"/>
    <w:rsid w:val="1B056327"/>
    <w:rsid w:val="1B19589E"/>
    <w:rsid w:val="1B285AE1"/>
    <w:rsid w:val="1B4268A7"/>
    <w:rsid w:val="1B4B4FB2"/>
    <w:rsid w:val="1B4E010B"/>
    <w:rsid w:val="1B7A723A"/>
    <w:rsid w:val="1B99253B"/>
    <w:rsid w:val="1B9E715D"/>
    <w:rsid w:val="1BB9498B"/>
    <w:rsid w:val="1BCA0EFB"/>
    <w:rsid w:val="1BD6322C"/>
    <w:rsid w:val="1BDF0C37"/>
    <w:rsid w:val="1C180837"/>
    <w:rsid w:val="1C2244F6"/>
    <w:rsid w:val="1C2C33AF"/>
    <w:rsid w:val="1C362480"/>
    <w:rsid w:val="1C6670D2"/>
    <w:rsid w:val="1C9070D0"/>
    <w:rsid w:val="1CA52F76"/>
    <w:rsid w:val="1CAD6FA9"/>
    <w:rsid w:val="1CE67A02"/>
    <w:rsid w:val="1D234DCF"/>
    <w:rsid w:val="1D2D3ACF"/>
    <w:rsid w:val="1D350989"/>
    <w:rsid w:val="1D3A1AFC"/>
    <w:rsid w:val="1D644DCB"/>
    <w:rsid w:val="1D686A57"/>
    <w:rsid w:val="1D813BCE"/>
    <w:rsid w:val="1DE2494A"/>
    <w:rsid w:val="1E0740D4"/>
    <w:rsid w:val="1E1265D5"/>
    <w:rsid w:val="1E1A6270"/>
    <w:rsid w:val="1E66393B"/>
    <w:rsid w:val="1E763007"/>
    <w:rsid w:val="1E8C6387"/>
    <w:rsid w:val="1E937715"/>
    <w:rsid w:val="1EB83740"/>
    <w:rsid w:val="1EC56452"/>
    <w:rsid w:val="1EED5392"/>
    <w:rsid w:val="1F226CEB"/>
    <w:rsid w:val="1F552C1D"/>
    <w:rsid w:val="1F9D2223"/>
    <w:rsid w:val="1FC96AD8"/>
    <w:rsid w:val="1FE15F3B"/>
    <w:rsid w:val="2031368A"/>
    <w:rsid w:val="203E5DA7"/>
    <w:rsid w:val="20C91B14"/>
    <w:rsid w:val="20D65FDF"/>
    <w:rsid w:val="21132956"/>
    <w:rsid w:val="211428BF"/>
    <w:rsid w:val="21202FCA"/>
    <w:rsid w:val="21515666"/>
    <w:rsid w:val="216655B5"/>
    <w:rsid w:val="217C5962"/>
    <w:rsid w:val="218E7936"/>
    <w:rsid w:val="219A0DBB"/>
    <w:rsid w:val="21B3342C"/>
    <w:rsid w:val="21E604A4"/>
    <w:rsid w:val="21ED1832"/>
    <w:rsid w:val="22193302"/>
    <w:rsid w:val="224A1874"/>
    <w:rsid w:val="22635651"/>
    <w:rsid w:val="228757E3"/>
    <w:rsid w:val="229B216B"/>
    <w:rsid w:val="22B13B13"/>
    <w:rsid w:val="22B66EF0"/>
    <w:rsid w:val="22BD1205"/>
    <w:rsid w:val="22DB78DD"/>
    <w:rsid w:val="233F1C1A"/>
    <w:rsid w:val="23405992"/>
    <w:rsid w:val="234271CB"/>
    <w:rsid w:val="23607DE2"/>
    <w:rsid w:val="237D267B"/>
    <w:rsid w:val="23827D58"/>
    <w:rsid w:val="238B212F"/>
    <w:rsid w:val="23BC2A5A"/>
    <w:rsid w:val="23C10881"/>
    <w:rsid w:val="23C93BD9"/>
    <w:rsid w:val="23CD07BD"/>
    <w:rsid w:val="23E10F23"/>
    <w:rsid w:val="23FC5D5D"/>
    <w:rsid w:val="24003A9F"/>
    <w:rsid w:val="24346E9F"/>
    <w:rsid w:val="2455546D"/>
    <w:rsid w:val="245925FC"/>
    <w:rsid w:val="245E5334"/>
    <w:rsid w:val="24774524"/>
    <w:rsid w:val="24DD793C"/>
    <w:rsid w:val="25030902"/>
    <w:rsid w:val="254257E5"/>
    <w:rsid w:val="256D095A"/>
    <w:rsid w:val="256F255E"/>
    <w:rsid w:val="25AE26C4"/>
    <w:rsid w:val="25B83F05"/>
    <w:rsid w:val="25D51472"/>
    <w:rsid w:val="25E0531F"/>
    <w:rsid w:val="261E020C"/>
    <w:rsid w:val="26306279"/>
    <w:rsid w:val="263B05DB"/>
    <w:rsid w:val="264A1001"/>
    <w:rsid w:val="264F15E3"/>
    <w:rsid w:val="26774ED4"/>
    <w:rsid w:val="26C37006"/>
    <w:rsid w:val="26EC20B9"/>
    <w:rsid w:val="26F02B5B"/>
    <w:rsid w:val="26F92A28"/>
    <w:rsid w:val="272F1FA5"/>
    <w:rsid w:val="27361586"/>
    <w:rsid w:val="273F0DA8"/>
    <w:rsid w:val="27433CA3"/>
    <w:rsid w:val="27460791"/>
    <w:rsid w:val="274F678B"/>
    <w:rsid w:val="275318CF"/>
    <w:rsid w:val="276E6F72"/>
    <w:rsid w:val="27743E5C"/>
    <w:rsid w:val="27C941A8"/>
    <w:rsid w:val="27D44B1C"/>
    <w:rsid w:val="280671AA"/>
    <w:rsid w:val="282A6111"/>
    <w:rsid w:val="28777AD4"/>
    <w:rsid w:val="287D015D"/>
    <w:rsid w:val="288B7471"/>
    <w:rsid w:val="288B76AF"/>
    <w:rsid w:val="28A92BCF"/>
    <w:rsid w:val="28B078C0"/>
    <w:rsid w:val="28FC235B"/>
    <w:rsid w:val="29335621"/>
    <w:rsid w:val="293755EF"/>
    <w:rsid w:val="296A3769"/>
    <w:rsid w:val="297213A4"/>
    <w:rsid w:val="298505A2"/>
    <w:rsid w:val="298A5CE1"/>
    <w:rsid w:val="29935745"/>
    <w:rsid w:val="299E0C30"/>
    <w:rsid w:val="29AF73CD"/>
    <w:rsid w:val="29B11398"/>
    <w:rsid w:val="29CB06AB"/>
    <w:rsid w:val="29CF2C9E"/>
    <w:rsid w:val="2A0C65CE"/>
    <w:rsid w:val="2A1060BE"/>
    <w:rsid w:val="2A1525B3"/>
    <w:rsid w:val="2A1F3C77"/>
    <w:rsid w:val="2A420242"/>
    <w:rsid w:val="2A467D32"/>
    <w:rsid w:val="2A770325"/>
    <w:rsid w:val="2A992557"/>
    <w:rsid w:val="2ACA0963"/>
    <w:rsid w:val="2ADE7F6A"/>
    <w:rsid w:val="2AFE060C"/>
    <w:rsid w:val="2B1971F4"/>
    <w:rsid w:val="2B1C6CE5"/>
    <w:rsid w:val="2B577739"/>
    <w:rsid w:val="2B6366C1"/>
    <w:rsid w:val="2B82420A"/>
    <w:rsid w:val="2B876854"/>
    <w:rsid w:val="2BC32FA6"/>
    <w:rsid w:val="2BDE0F2A"/>
    <w:rsid w:val="2C1F0ECB"/>
    <w:rsid w:val="2C22032B"/>
    <w:rsid w:val="2C2F0132"/>
    <w:rsid w:val="2C5129BE"/>
    <w:rsid w:val="2C5B48B1"/>
    <w:rsid w:val="2C635A6B"/>
    <w:rsid w:val="2C864D5D"/>
    <w:rsid w:val="2C9C63F2"/>
    <w:rsid w:val="2CDC497D"/>
    <w:rsid w:val="2CE95AE3"/>
    <w:rsid w:val="2D056A81"/>
    <w:rsid w:val="2D0D1210"/>
    <w:rsid w:val="2D205DF5"/>
    <w:rsid w:val="2D297497"/>
    <w:rsid w:val="2D6F2A08"/>
    <w:rsid w:val="2D7A708A"/>
    <w:rsid w:val="2D986A7C"/>
    <w:rsid w:val="2DAF2092"/>
    <w:rsid w:val="2DD31C58"/>
    <w:rsid w:val="2DD35D80"/>
    <w:rsid w:val="2E386100"/>
    <w:rsid w:val="2E3A4E93"/>
    <w:rsid w:val="2E7D5CEC"/>
    <w:rsid w:val="2E921BC1"/>
    <w:rsid w:val="2E9D3756"/>
    <w:rsid w:val="2ED71151"/>
    <w:rsid w:val="2EFB0B3C"/>
    <w:rsid w:val="2F261EE0"/>
    <w:rsid w:val="2F3B21A6"/>
    <w:rsid w:val="2F5B4CE0"/>
    <w:rsid w:val="2F5C1340"/>
    <w:rsid w:val="2F6457B2"/>
    <w:rsid w:val="2F725125"/>
    <w:rsid w:val="2F8D101C"/>
    <w:rsid w:val="2F9039F3"/>
    <w:rsid w:val="2FD858D0"/>
    <w:rsid w:val="2FF4525E"/>
    <w:rsid w:val="300D4E4E"/>
    <w:rsid w:val="300D602F"/>
    <w:rsid w:val="30434F34"/>
    <w:rsid w:val="30534F57"/>
    <w:rsid w:val="30550CCF"/>
    <w:rsid w:val="30551C7E"/>
    <w:rsid w:val="305C1DF5"/>
    <w:rsid w:val="30890978"/>
    <w:rsid w:val="309537C1"/>
    <w:rsid w:val="30C330A2"/>
    <w:rsid w:val="30CB2D3F"/>
    <w:rsid w:val="30FF0C3A"/>
    <w:rsid w:val="31032820"/>
    <w:rsid w:val="311741D6"/>
    <w:rsid w:val="3163566D"/>
    <w:rsid w:val="317C672F"/>
    <w:rsid w:val="31847465"/>
    <w:rsid w:val="318555E4"/>
    <w:rsid w:val="31D976DD"/>
    <w:rsid w:val="31DE379A"/>
    <w:rsid w:val="321D581C"/>
    <w:rsid w:val="322C5A5F"/>
    <w:rsid w:val="323B5CA2"/>
    <w:rsid w:val="326E7E26"/>
    <w:rsid w:val="327D0402"/>
    <w:rsid w:val="32A61FCC"/>
    <w:rsid w:val="32A63A63"/>
    <w:rsid w:val="32C0465B"/>
    <w:rsid w:val="32CE6B16"/>
    <w:rsid w:val="32F12805"/>
    <w:rsid w:val="33000244"/>
    <w:rsid w:val="330864CC"/>
    <w:rsid w:val="3319111C"/>
    <w:rsid w:val="33366578"/>
    <w:rsid w:val="33945FB2"/>
    <w:rsid w:val="33A63D3F"/>
    <w:rsid w:val="33AA7583"/>
    <w:rsid w:val="33D41912"/>
    <w:rsid w:val="33E34843"/>
    <w:rsid w:val="33F61B9F"/>
    <w:rsid w:val="340B78F6"/>
    <w:rsid w:val="344A6670"/>
    <w:rsid w:val="348523D7"/>
    <w:rsid w:val="34864572"/>
    <w:rsid w:val="349D49F2"/>
    <w:rsid w:val="34B155AA"/>
    <w:rsid w:val="34BE18EB"/>
    <w:rsid w:val="34BF7A35"/>
    <w:rsid w:val="34C80E50"/>
    <w:rsid w:val="34DB1C6D"/>
    <w:rsid w:val="35095BB0"/>
    <w:rsid w:val="350D3521"/>
    <w:rsid w:val="350F14D7"/>
    <w:rsid w:val="35167E5E"/>
    <w:rsid w:val="35262805"/>
    <w:rsid w:val="35325A82"/>
    <w:rsid w:val="353A6D2D"/>
    <w:rsid w:val="35407683"/>
    <w:rsid w:val="354B6B44"/>
    <w:rsid w:val="35721391"/>
    <w:rsid w:val="357342CB"/>
    <w:rsid w:val="35956011"/>
    <w:rsid w:val="35A207D8"/>
    <w:rsid w:val="35A51DD0"/>
    <w:rsid w:val="35BF6BEA"/>
    <w:rsid w:val="35CC03C4"/>
    <w:rsid w:val="36162CAE"/>
    <w:rsid w:val="361B6516"/>
    <w:rsid w:val="36202DD1"/>
    <w:rsid w:val="3623361D"/>
    <w:rsid w:val="36345F74"/>
    <w:rsid w:val="363D46DF"/>
    <w:rsid w:val="366C2AF8"/>
    <w:rsid w:val="36720821"/>
    <w:rsid w:val="36E43B49"/>
    <w:rsid w:val="36EE7787"/>
    <w:rsid w:val="3708704A"/>
    <w:rsid w:val="37105321"/>
    <w:rsid w:val="371116C7"/>
    <w:rsid w:val="372C4753"/>
    <w:rsid w:val="375C0B95"/>
    <w:rsid w:val="375D7E76"/>
    <w:rsid w:val="37807888"/>
    <w:rsid w:val="37B207B5"/>
    <w:rsid w:val="37C96B2D"/>
    <w:rsid w:val="37F0121B"/>
    <w:rsid w:val="3801759B"/>
    <w:rsid w:val="3814321D"/>
    <w:rsid w:val="3825542A"/>
    <w:rsid w:val="38327B47"/>
    <w:rsid w:val="3869436C"/>
    <w:rsid w:val="38754CFF"/>
    <w:rsid w:val="388B18D0"/>
    <w:rsid w:val="389E51DD"/>
    <w:rsid w:val="38B8629F"/>
    <w:rsid w:val="38C56C0D"/>
    <w:rsid w:val="38CA6BA3"/>
    <w:rsid w:val="38D155B2"/>
    <w:rsid w:val="38D97FC3"/>
    <w:rsid w:val="38EF3348"/>
    <w:rsid w:val="38F36F52"/>
    <w:rsid w:val="39317DFF"/>
    <w:rsid w:val="394B49F2"/>
    <w:rsid w:val="395D73C0"/>
    <w:rsid w:val="3964489B"/>
    <w:rsid w:val="396D4363"/>
    <w:rsid w:val="39785A2E"/>
    <w:rsid w:val="397D5C71"/>
    <w:rsid w:val="398C450B"/>
    <w:rsid w:val="39A248C6"/>
    <w:rsid w:val="39A27D95"/>
    <w:rsid w:val="39A30FAD"/>
    <w:rsid w:val="39DF76B4"/>
    <w:rsid w:val="39E76710"/>
    <w:rsid w:val="39E906DA"/>
    <w:rsid w:val="3A2A31CC"/>
    <w:rsid w:val="3A3B4A7C"/>
    <w:rsid w:val="3A3C4CAD"/>
    <w:rsid w:val="3A6366DE"/>
    <w:rsid w:val="3A971EE4"/>
    <w:rsid w:val="3A9C5889"/>
    <w:rsid w:val="3AA36ADA"/>
    <w:rsid w:val="3B0300BA"/>
    <w:rsid w:val="3B103205"/>
    <w:rsid w:val="3B2C125E"/>
    <w:rsid w:val="3B40382E"/>
    <w:rsid w:val="3B4909A7"/>
    <w:rsid w:val="3B706D2B"/>
    <w:rsid w:val="3B900E71"/>
    <w:rsid w:val="3B967BC8"/>
    <w:rsid w:val="3BA739C7"/>
    <w:rsid w:val="3BC1546A"/>
    <w:rsid w:val="3BC7074D"/>
    <w:rsid w:val="3BDA3232"/>
    <w:rsid w:val="3BF03FA1"/>
    <w:rsid w:val="3C0567E7"/>
    <w:rsid w:val="3C362D65"/>
    <w:rsid w:val="3C547DBA"/>
    <w:rsid w:val="3C5A7719"/>
    <w:rsid w:val="3C71787E"/>
    <w:rsid w:val="3C766FF7"/>
    <w:rsid w:val="3C8D359E"/>
    <w:rsid w:val="3CAB1C76"/>
    <w:rsid w:val="3CAC611A"/>
    <w:rsid w:val="3CEC3782"/>
    <w:rsid w:val="3D005751"/>
    <w:rsid w:val="3D2E7CF5"/>
    <w:rsid w:val="3D6A7A3F"/>
    <w:rsid w:val="3D7604D6"/>
    <w:rsid w:val="3D7F382F"/>
    <w:rsid w:val="3D8475ED"/>
    <w:rsid w:val="3D9133ED"/>
    <w:rsid w:val="3D9A7407"/>
    <w:rsid w:val="3D9F5C7F"/>
    <w:rsid w:val="3DBA03C3"/>
    <w:rsid w:val="3DC254CA"/>
    <w:rsid w:val="3DC54FBA"/>
    <w:rsid w:val="3DC96858"/>
    <w:rsid w:val="3DE10046"/>
    <w:rsid w:val="3E0C29CB"/>
    <w:rsid w:val="3E133F77"/>
    <w:rsid w:val="3E1438A5"/>
    <w:rsid w:val="3E467EA9"/>
    <w:rsid w:val="3E5D0314"/>
    <w:rsid w:val="3E6622F9"/>
    <w:rsid w:val="3E6977ED"/>
    <w:rsid w:val="3EAA6689"/>
    <w:rsid w:val="3EB53979"/>
    <w:rsid w:val="3ED06C72"/>
    <w:rsid w:val="3EE15E23"/>
    <w:rsid w:val="3EE85802"/>
    <w:rsid w:val="3F055FB6"/>
    <w:rsid w:val="3F2A5A1C"/>
    <w:rsid w:val="3F450160"/>
    <w:rsid w:val="3F4563B2"/>
    <w:rsid w:val="3F4A7E6C"/>
    <w:rsid w:val="3F852C53"/>
    <w:rsid w:val="3F9179BC"/>
    <w:rsid w:val="3FAF7652"/>
    <w:rsid w:val="3FB91F06"/>
    <w:rsid w:val="3FDF3A18"/>
    <w:rsid w:val="3FEFF4CE"/>
    <w:rsid w:val="40095632"/>
    <w:rsid w:val="40143827"/>
    <w:rsid w:val="40172C0E"/>
    <w:rsid w:val="405A10B2"/>
    <w:rsid w:val="408F1FDB"/>
    <w:rsid w:val="40930E3F"/>
    <w:rsid w:val="40CE4185"/>
    <w:rsid w:val="40DE32EB"/>
    <w:rsid w:val="40EA7211"/>
    <w:rsid w:val="410302D3"/>
    <w:rsid w:val="412D71DE"/>
    <w:rsid w:val="416C485A"/>
    <w:rsid w:val="41721093"/>
    <w:rsid w:val="41A25A1E"/>
    <w:rsid w:val="41AF045B"/>
    <w:rsid w:val="41BE244C"/>
    <w:rsid w:val="41C9151C"/>
    <w:rsid w:val="41CA2B9F"/>
    <w:rsid w:val="41D5051C"/>
    <w:rsid w:val="41D93646"/>
    <w:rsid w:val="41E06866"/>
    <w:rsid w:val="41E33C60"/>
    <w:rsid w:val="41E55C2A"/>
    <w:rsid w:val="42244A26"/>
    <w:rsid w:val="422B280E"/>
    <w:rsid w:val="42420B28"/>
    <w:rsid w:val="424B0183"/>
    <w:rsid w:val="424B1F31"/>
    <w:rsid w:val="424C4B06"/>
    <w:rsid w:val="425D3A13"/>
    <w:rsid w:val="425F3C2F"/>
    <w:rsid w:val="42703D54"/>
    <w:rsid w:val="42CB6BCE"/>
    <w:rsid w:val="43215097"/>
    <w:rsid w:val="43335793"/>
    <w:rsid w:val="43504A5C"/>
    <w:rsid w:val="4352109E"/>
    <w:rsid w:val="437629AE"/>
    <w:rsid w:val="43776D56"/>
    <w:rsid w:val="43B458B4"/>
    <w:rsid w:val="43BE61A8"/>
    <w:rsid w:val="43D0692B"/>
    <w:rsid w:val="43D321DE"/>
    <w:rsid w:val="43DA56DD"/>
    <w:rsid w:val="44250560"/>
    <w:rsid w:val="442D019F"/>
    <w:rsid w:val="44370871"/>
    <w:rsid w:val="445F3A72"/>
    <w:rsid w:val="44801C3A"/>
    <w:rsid w:val="44AA1CB0"/>
    <w:rsid w:val="44CE24E4"/>
    <w:rsid w:val="44D16A09"/>
    <w:rsid w:val="44D90521"/>
    <w:rsid w:val="44E52F1F"/>
    <w:rsid w:val="44F56185"/>
    <w:rsid w:val="44FF0DB1"/>
    <w:rsid w:val="450E440F"/>
    <w:rsid w:val="451A3E3D"/>
    <w:rsid w:val="4541761C"/>
    <w:rsid w:val="45502007"/>
    <w:rsid w:val="455C26A8"/>
    <w:rsid w:val="4580392B"/>
    <w:rsid w:val="45883F8A"/>
    <w:rsid w:val="45A858ED"/>
    <w:rsid w:val="45B95404"/>
    <w:rsid w:val="45D71D2E"/>
    <w:rsid w:val="45EE7EF1"/>
    <w:rsid w:val="45F04858"/>
    <w:rsid w:val="4606799E"/>
    <w:rsid w:val="4629386F"/>
    <w:rsid w:val="46565349"/>
    <w:rsid w:val="466174A4"/>
    <w:rsid w:val="468B197E"/>
    <w:rsid w:val="46A63BDA"/>
    <w:rsid w:val="46AE2A8F"/>
    <w:rsid w:val="46C329DE"/>
    <w:rsid w:val="46D52AA1"/>
    <w:rsid w:val="47040901"/>
    <w:rsid w:val="47046B53"/>
    <w:rsid w:val="470E5183"/>
    <w:rsid w:val="471E5E67"/>
    <w:rsid w:val="471F4F7F"/>
    <w:rsid w:val="473A2575"/>
    <w:rsid w:val="47413903"/>
    <w:rsid w:val="47462CC7"/>
    <w:rsid w:val="47501D1D"/>
    <w:rsid w:val="47887784"/>
    <w:rsid w:val="479B2B65"/>
    <w:rsid w:val="47BE6D02"/>
    <w:rsid w:val="47CF0F0F"/>
    <w:rsid w:val="47E241F2"/>
    <w:rsid w:val="47E67EE1"/>
    <w:rsid w:val="47F05DF8"/>
    <w:rsid w:val="4809553C"/>
    <w:rsid w:val="48147269"/>
    <w:rsid w:val="482E032B"/>
    <w:rsid w:val="484C22AF"/>
    <w:rsid w:val="48790E7B"/>
    <w:rsid w:val="488B7FA6"/>
    <w:rsid w:val="48AC59F4"/>
    <w:rsid w:val="48D164F6"/>
    <w:rsid w:val="49057F3E"/>
    <w:rsid w:val="49184B37"/>
    <w:rsid w:val="493D11A5"/>
    <w:rsid w:val="49497376"/>
    <w:rsid w:val="49557B3A"/>
    <w:rsid w:val="49641B2B"/>
    <w:rsid w:val="49913258"/>
    <w:rsid w:val="49926698"/>
    <w:rsid w:val="49AD56D2"/>
    <w:rsid w:val="49DF2FA3"/>
    <w:rsid w:val="49ED1963"/>
    <w:rsid w:val="49F41BF1"/>
    <w:rsid w:val="49FE18E4"/>
    <w:rsid w:val="4A2B6493"/>
    <w:rsid w:val="4A301A0D"/>
    <w:rsid w:val="4A394D65"/>
    <w:rsid w:val="4A570B81"/>
    <w:rsid w:val="4A596A5D"/>
    <w:rsid w:val="4A6C6EE9"/>
    <w:rsid w:val="4A721F71"/>
    <w:rsid w:val="4A742241"/>
    <w:rsid w:val="4A7D708F"/>
    <w:rsid w:val="4A7E09CA"/>
    <w:rsid w:val="4A82495E"/>
    <w:rsid w:val="4AA06B93"/>
    <w:rsid w:val="4ACC2191"/>
    <w:rsid w:val="4AD056CA"/>
    <w:rsid w:val="4AE42F23"/>
    <w:rsid w:val="4AFF5FAF"/>
    <w:rsid w:val="4B161C2E"/>
    <w:rsid w:val="4B4614E8"/>
    <w:rsid w:val="4B967555"/>
    <w:rsid w:val="4BA41081"/>
    <w:rsid w:val="4BAE7BD6"/>
    <w:rsid w:val="4BDE5BC4"/>
    <w:rsid w:val="4C1C049B"/>
    <w:rsid w:val="4C1E4213"/>
    <w:rsid w:val="4C3630B2"/>
    <w:rsid w:val="4C624E51"/>
    <w:rsid w:val="4C6F5D75"/>
    <w:rsid w:val="4C8614A0"/>
    <w:rsid w:val="4C87625C"/>
    <w:rsid w:val="4CAA3CF8"/>
    <w:rsid w:val="4CB90B4A"/>
    <w:rsid w:val="4CB9218D"/>
    <w:rsid w:val="4D011E35"/>
    <w:rsid w:val="4D1A70AD"/>
    <w:rsid w:val="4D3D4B6D"/>
    <w:rsid w:val="4D4D66ED"/>
    <w:rsid w:val="4D502504"/>
    <w:rsid w:val="4D6C0FAE"/>
    <w:rsid w:val="4D896AAF"/>
    <w:rsid w:val="4D927727"/>
    <w:rsid w:val="4DB82445"/>
    <w:rsid w:val="4DBA3D68"/>
    <w:rsid w:val="4DC42B98"/>
    <w:rsid w:val="4DCE7CC5"/>
    <w:rsid w:val="4DDF58BD"/>
    <w:rsid w:val="4E295649"/>
    <w:rsid w:val="4E30022D"/>
    <w:rsid w:val="4E434405"/>
    <w:rsid w:val="4E604FB7"/>
    <w:rsid w:val="4E61488B"/>
    <w:rsid w:val="4E6323B1"/>
    <w:rsid w:val="4E6D51A2"/>
    <w:rsid w:val="4EAC01FC"/>
    <w:rsid w:val="4EDE412D"/>
    <w:rsid w:val="4EFE032C"/>
    <w:rsid w:val="4EFF657E"/>
    <w:rsid w:val="4F330037"/>
    <w:rsid w:val="4F361873"/>
    <w:rsid w:val="4F4026F2"/>
    <w:rsid w:val="4F4C1097"/>
    <w:rsid w:val="4F6A776F"/>
    <w:rsid w:val="4F6B7B7D"/>
    <w:rsid w:val="4F840FDE"/>
    <w:rsid w:val="4F8A0ABB"/>
    <w:rsid w:val="4F8B179D"/>
    <w:rsid w:val="502B260A"/>
    <w:rsid w:val="503277C4"/>
    <w:rsid w:val="50707007"/>
    <w:rsid w:val="507B2035"/>
    <w:rsid w:val="5080549C"/>
    <w:rsid w:val="50D729C1"/>
    <w:rsid w:val="516E3547"/>
    <w:rsid w:val="5187033E"/>
    <w:rsid w:val="51B615DA"/>
    <w:rsid w:val="51CF5615"/>
    <w:rsid w:val="51D05FAF"/>
    <w:rsid w:val="51D41141"/>
    <w:rsid w:val="52021EE1"/>
    <w:rsid w:val="52111515"/>
    <w:rsid w:val="52115DFD"/>
    <w:rsid w:val="523830D8"/>
    <w:rsid w:val="523C3645"/>
    <w:rsid w:val="52416EAD"/>
    <w:rsid w:val="525F10E1"/>
    <w:rsid w:val="52AD62F0"/>
    <w:rsid w:val="52EA12F3"/>
    <w:rsid w:val="52F14A35"/>
    <w:rsid w:val="534529CD"/>
    <w:rsid w:val="53453EF9"/>
    <w:rsid w:val="537868FE"/>
    <w:rsid w:val="537E7219"/>
    <w:rsid w:val="5386726D"/>
    <w:rsid w:val="53E144A4"/>
    <w:rsid w:val="53E73F9D"/>
    <w:rsid w:val="53F843AC"/>
    <w:rsid w:val="542B47E5"/>
    <w:rsid w:val="5463665A"/>
    <w:rsid w:val="546B6463"/>
    <w:rsid w:val="54737C15"/>
    <w:rsid w:val="5489364B"/>
    <w:rsid w:val="54CD4A28"/>
    <w:rsid w:val="54D86D8D"/>
    <w:rsid w:val="54F26D5F"/>
    <w:rsid w:val="54F55D2D"/>
    <w:rsid w:val="5516017D"/>
    <w:rsid w:val="551B1C37"/>
    <w:rsid w:val="55216B22"/>
    <w:rsid w:val="552A00CC"/>
    <w:rsid w:val="554B067D"/>
    <w:rsid w:val="55583A1F"/>
    <w:rsid w:val="556C2493"/>
    <w:rsid w:val="55705033"/>
    <w:rsid w:val="557D70BE"/>
    <w:rsid w:val="55CE4587"/>
    <w:rsid w:val="55E464CD"/>
    <w:rsid w:val="561548D9"/>
    <w:rsid w:val="561D553B"/>
    <w:rsid w:val="5624337B"/>
    <w:rsid w:val="56332F20"/>
    <w:rsid w:val="563F3703"/>
    <w:rsid w:val="56860DC8"/>
    <w:rsid w:val="56991D7B"/>
    <w:rsid w:val="56D976B4"/>
    <w:rsid w:val="56E827E2"/>
    <w:rsid w:val="56E96FC6"/>
    <w:rsid w:val="57103B34"/>
    <w:rsid w:val="5714694D"/>
    <w:rsid w:val="57340E32"/>
    <w:rsid w:val="573945F7"/>
    <w:rsid w:val="573B2481"/>
    <w:rsid w:val="573E7E5F"/>
    <w:rsid w:val="57B91294"/>
    <w:rsid w:val="57F86260"/>
    <w:rsid w:val="5809010E"/>
    <w:rsid w:val="581A4428"/>
    <w:rsid w:val="582726A1"/>
    <w:rsid w:val="582A0AC8"/>
    <w:rsid w:val="583152CE"/>
    <w:rsid w:val="583525C6"/>
    <w:rsid w:val="583F79A7"/>
    <w:rsid w:val="584C2108"/>
    <w:rsid w:val="584E7C2E"/>
    <w:rsid w:val="588E0FF2"/>
    <w:rsid w:val="589932BB"/>
    <w:rsid w:val="58AE4B70"/>
    <w:rsid w:val="58B73A25"/>
    <w:rsid w:val="58BF6D7E"/>
    <w:rsid w:val="58F5055B"/>
    <w:rsid w:val="58FC3E36"/>
    <w:rsid w:val="59264674"/>
    <w:rsid w:val="59413C36"/>
    <w:rsid w:val="59653481"/>
    <w:rsid w:val="596801AA"/>
    <w:rsid w:val="596F1852"/>
    <w:rsid w:val="597C6A1D"/>
    <w:rsid w:val="5992473D"/>
    <w:rsid w:val="59A26483"/>
    <w:rsid w:val="59D251A4"/>
    <w:rsid w:val="59ED3476"/>
    <w:rsid w:val="59EE16C8"/>
    <w:rsid w:val="5A16575C"/>
    <w:rsid w:val="5A166E71"/>
    <w:rsid w:val="5A175510"/>
    <w:rsid w:val="5A5F15A1"/>
    <w:rsid w:val="5A954EAF"/>
    <w:rsid w:val="5AAF6DFC"/>
    <w:rsid w:val="5ABB4A59"/>
    <w:rsid w:val="5AC230A5"/>
    <w:rsid w:val="5B070F30"/>
    <w:rsid w:val="5B1D06EE"/>
    <w:rsid w:val="5B3E7A46"/>
    <w:rsid w:val="5B4517BC"/>
    <w:rsid w:val="5B5419FF"/>
    <w:rsid w:val="5B8F6EDB"/>
    <w:rsid w:val="5B907B59"/>
    <w:rsid w:val="5BAB5771"/>
    <w:rsid w:val="5BE07737"/>
    <w:rsid w:val="5BFB5EB2"/>
    <w:rsid w:val="5C036F81"/>
    <w:rsid w:val="5C14118E"/>
    <w:rsid w:val="5C2313D1"/>
    <w:rsid w:val="5C495DD3"/>
    <w:rsid w:val="5C4A2E02"/>
    <w:rsid w:val="5C4E06E7"/>
    <w:rsid w:val="5C593A80"/>
    <w:rsid w:val="5C5E240A"/>
    <w:rsid w:val="5C8B76A2"/>
    <w:rsid w:val="5CAF2C65"/>
    <w:rsid w:val="5CE172C2"/>
    <w:rsid w:val="5CF50FC0"/>
    <w:rsid w:val="5D041CF2"/>
    <w:rsid w:val="5D272928"/>
    <w:rsid w:val="5D2B2C34"/>
    <w:rsid w:val="5D4D4958"/>
    <w:rsid w:val="5D4F03EF"/>
    <w:rsid w:val="5D861C18"/>
    <w:rsid w:val="5D905C05"/>
    <w:rsid w:val="5DA16A52"/>
    <w:rsid w:val="5DA87DE0"/>
    <w:rsid w:val="5DB03139"/>
    <w:rsid w:val="5DCD0AC1"/>
    <w:rsid w:val="5E02038B"/>
    <w:rsid w:val="5E3E0FB2"/>
    <w:rsid w:val="5EDD9BC7"/>
    <w:rsid w:val="5EE035AA"/>
    <w:rsid w:val="5EE67330"/>
    <w:rsid w:val="5EFD23AE"/>
    <w:rsid w:val="5F212FF8"/>
    <w:rsid w:val="5F5C0E82"/>
    <w:rsid w:val="5F751F44"/>
    <w:rsid w:val="5F8605F5"/>
    <w:rsid w:val="5F8B27B8"/>
    <w:rsid w:val="5FA6034F"/>
    <w:rsid w:val="5FAB005C"/>
    <w:rsid w:val="5FB52C88"/>
    <w:rsid w:val="5FB72636"/>
    <w:rsid w:val="600B3636"/>
    <w:rsid w:val="602F6597"/>
    <w:rsid w:val="60566219"/>
    <w:rsid w:val="6060486B"/>
    <w:rsid w:val="60762418"/>
    <w:rsid w:val="609B1E7E"/>
    <w:rsid w:val="60C77247"/>
    <w:rsid w:val="60DE7CF2"/>
    <w:rsid w:val="60EF5D26"/>
    <w:rsid w:val="60F872D1"/>
    <w:rsid w:val="60F90953"/>
    <w:rsid w:val="611E2E9B"/>
    <w:rsid w:val="612B0E8B"/>
    <w:rsid w:val="61605589"/>
    <w:rsid w:val="619D6AD3"/>
    <w:rsid w:val="619D7131"/>
    <w:rsid w:val="61B56F70"/>
    <w:rsid w:val="61DE071F"/>
    <w:rsid w:val="6218157F"/>
    <w:rsid w:val="62204E98"/>
    <w:rsid w:val="622D4D58"/>
    <w:rsid w:val="62553AB2"/>
    <w:rsid w:val="62956105"/>
    <w:rsid w:val="62976675"/>
    <w:rsid w:val="62997C74"/>
    <w:rsid w:val="62A36DC8"/>
    <w:rsid w:val="62D13935"/>
    <w:rsid w:val="62E55633"/>
    <w:rsid w:val="63141A74"/>
    <w:rsid w:val="6333639E"/>
    <w:rsid w:val="634041A9"/>
    <w:rsid w:val="634560D1"/>
    <w:rsid w:val="63805167"/>
    <w:rsid w:val="63832876"/>
    <w:rsid w:val="63F91396"/>
    <w:rsid w:val="63FA7B87"/>
    <w:rsid w:val="640929F0"/>
    <w:rsid w:val="64267CB1"/>
    <w:rsid w:val="6429154F"/>
    <w:rsid w:val="645667E8"/>
    <w:rsid w:val="64610CE9"/>
    <w:rsid w:val="64A62BA0"/>
    <w:rsid w:val="64B905C0"/>
    <w:rsid w:val="64CF7BEB"/>
    <w:rsid w:val="65006754"/>
    <w:rsid w:val="6502427A"/>
    <w:rsid w:val="65187528"/>
    <w:rsid w:val="65516FAF"/>
    <w:rsid w:val="65556AA0"/>
    <w:rsid w:val="656C147B"/>
    <w:rsid w:val="657B5DDA"/>
    <w:rsid w:val="65832223"/>
    <w:rsid w:val="65856C59"/>
    <w:rsid w:val="659D21F5"/>
    <w:rsid w:val="65B23EF2"/>
    <w:rsid w:val="66201626"/>
    <w:rsid w:val="664A237C"/>
    <w:rsid w:val="664A7A0D"/>
    <w:rsid w:val="665A1E94"/>
    <w:rsid w:val="67065B78"/>
    <w:rsid w:val="67136C12"/>
    <w:rsid w:val="671A190B"/>
    <w:rsid w:val="6731767E"/>
    <w:rsid w:val="67335956"/>
    <w:rsid w:val="679A4C3E"/>
    <w:rsid w:val="67A23AF2"/>
    <w:rsid w:val="67D619EE"/>
    <w:rsid w:val="67F307F2"/>
    <w:rsid w:val="68012F0F"/>
    <w:rsid w:val="68016B77"/>
    <w:rsid w:val="68210EBB"/>
    <w:rsid w:val="68307014"/>
    <w:rsid w:val="683926A8"/>
    <w:rsid w:val="687047EC"/>
    <w:rsid w:val="687C4343"/>
    <w:rsid w:val="68AB2E7A"/>
    <w:rsid w:val="68B00491"/>
    <w:rsid w:val="690C2F01"/>
    <w:rsid w:val="692769A5"/>
    <w:rsid w:val="692A3B68"/>
    <w:rsid w:val="693A4663"/>
    <w:rsid w:val="69823BDB"/>
    <w:rsid w:val="699B0FA7"/>
    <w:rsid w:val="699F0403"/>
    <w:rsid w:val="69E71C90"/>
    <w:rsid w:val="69EE301F"/>
    <w:rsid w:val="6A042842"/>
    <w:rsid w:val="6A257C7E"/>
    <w:rsid w:val="6AED0C62"/>
    <w:rsid w:val="6AF66468"/>
    <w:rsid w:val="6AF86E22"/>
    <w:rsid w:val="6B0B7C00"/>
    <w:rsid w:val="6B276638"/>
    <w:rsid w:val="6B5F2CBB"/>
    <w:rsid w:val="6B737C7F"/>
    <w:rsid w:val="6B850358"/>
    <w:rsid w:val="6BA23990"/>
    <w:rsid w:val="6BA92A8C"/>
    <w:rsid w:val="6BB42046"/>
    <w:rsid w:val="6BBF6B35"/>
    <w:rsid w:val="6BD40CFD"/>
    <w:rsid w:val="6BE566A3"/>
    <w:rsid w:val="6BEA5A68"/>
    <w:rsid w:val="6C2271E5"/>
    <w:rsid w:val="6C411B2C"/>
    <w:rsid w:val="6C6139A2"/>
    <w:rsid w:val="6C6B059F"/>
    <w:rsid w:val="6C7259E8"/>
    <w:rsid w:val="6C8B2DA7"/>
    <w:rsid w:val="6C8C5F63"/>
    <w:rsid w:val="6C9F6852"/>
    <w:rsid w:val="6CA87DFD"/>
    <w:rsid w:val="6CB5251A"/>
    <w:rsid w:val="6CD209D6"/>
    <w:rsid w:val="6CDA788A"/>
    <w:rsid w:val="6CF546C4"/>
    <w:rsid w:val="6CFA34DB"/>
    <w:rsid w:val="6CFD6829"/>
    <w:rsid w:val="6D0E5786"/>
    <w:rsid w:val="6D330230"/>
    <w:rsid w:val="6D332F6E"/>
    <w:rsid w:val="6D396B87"/>
    <w:rsid w:val="6D3C6797"/>
    <w:rsid w:val="6D877A12"/>
    <w:rsid w:val="6DA265FA"/>
    <w:rsid w:val="6DA5433C"/>
    <w:rsid w:val="6DB265D8"/>
    <w:rsid w:val="6DB301A4"/>
    <w:rsid w:val="6DC76061"/>
    <w:rsid w:val="6DC9627D"/>
    <w:rsid w:val="6DD84920"/>
    <w:rsid w:val="6DDB5D1F"/>
    <w:rsid w:val="6DDD7632"/>
    <w:rsid w:val="6DE24C48"/>
    <w:rsid w:val="6DE82115"/>
    <w:rsid w:val="6DF14E2F"/>
    <w:rsid w:val="6E1F4FB0"/>
    <w:rsid w:val="6E2A65EF"/>
    <w:rsid w:val="6E396833"/>
    <w:rsid w:val="6E465867"/>
    <w:rsid w:val="6E5246F3"/>
    <w:rsid w:val="6E7C7ABE"/>
    <w:rsid w:val="6E8126B3"/>
    <w:rsid w:val="6EC425A0"/>
    <w:rsid w:val="6ED0363B"/>
    <w:rsid w:val="6EED1AF7"/>
    <w:rsid w:val="6F041165"/>
    <w:rsid w:val="6F062BB9"/>
    <w:rsid w:val="6F3326BD"/>
    <w:rsid w:val="6F547DC8"/>
    <w:rsid w:val="6F5778B8"/>
    <w:rsid w:val="6F5B19D4"/>
    <w:rsid w:val="6F967AF5"/>
    <w:rsid w:val="6F9E54E7"/>
    <w:rsid w:val="6FA06B69"/>
    <w:rsid w:val="6FAF4FFE"/>
    <w:rsid w:val="6FB940CF"/>
    <w:rsid w:val="6FBD5643"/>
    <w:rsid w:val="6FC50CC6"/>
    <w:rsid w:val="6FDF215C"/>
    <w:rsid w:val="6FF979C2"/>
    <w:rsid w:val="703B4AE4"/>
    <w:rsid w:val="70480FAF"/>
    <w:rsid w:val="707123F1"/>
    <w:rsid w:val="70787AE6"/>
    <w:rsid w:val="70983CE4"/>
    <w:rsid w:val="70A709CF"/>
    <w:rsid w:val="70A95EF1"/>
    <w:rsid w:val="70AA1BAA"/>
    <w:rsid w:val="70C21E33"/>
    <w:rsid w:val="70EC28BD"/>
    <w:rsid w:val="71420EA7"/>
    <w:rsid w:val="7150639A"/>
    <w:rsid w:val="715504AF"/>
    <w:rsid w:val="717007BD"/>
    <w:rsid w:val="71793B16"/>
    <w:rsid w:val="71AA1F21"/>
    <w:rsid w:val="71B0505E"/>
    <w:rsid w:val="71B863AA"/>
    <w:rsid w:val="71B9524D"/>
    <w:rsid w:val="71CF3DD8"/>
    <w:rsid w:val="71D7083C"/>
    <w:rsid w:val="71D90A58"/>
    <w:rsid w:val="72044045"/>
    <w:rsid w:val="72343EE1"/>
    <w:rsid w:val="72440D8F"/>
    <w:rsid w:val="724701AA"/>
    <w:rsid w:val="725400DF"/>
    <w:rsid w:val="725E4ABA"/>
    <w:rsid w:val="72613BB4"/>
    <w:rsid w:val="72655E48"/>
    <w:rsid w:val="72686DCB"/>
    <w:rsid w:val="72734125"/>
    <w:rsid w:val="72834520"/>
    <w:rsid w:val="72890BE1"/>
    <w:rsid w:val="72916C3D"/>
    <w:rsid w:val="7297342D"/>
    <w:rsid w:val="72B8066E"/>
    <w:rsid w:val="72F86CBC"/>
    <w:rsid w:val="730750C4"/>
    <w:rsid w:val="730E028E"/>
    <w:rsid w:val="73337CF4"/>
    <w:rsid w:val="733D0171"/>
    <w:rsid w:val="733E411A"/>
    <w:rsid w:val="7368312F"/>
    <w:rsid w:val="73702CF6"/>
    <w:rsid w:val="73913267"/>
    <w:rsid w:val="73B459E2"/>
    <w:rsid w:val="73B74455"/>
    <w:rsid w:val="73BF1DDC"/>
    <w:rsid w:val="73C60B68"/>
    <w:rsid w:val="74153FE8"/>
    <w:rsid w:val="741C39F8"/>
    <w:rsid w:val="743B1556"/>
    <w:rsid w:val="74404DBF"/>
    <w:rsid w:val="744A1799"/>
    <w:rsid w:val="744D4DE6"/>
    <w:rsid w:val="74544D62"/>
    <w:rsid w:val="748D4891"/>
    <w:rsid w:val="74B143F2"/>
    <w:rsid w:val="74B34C91"/>
    <w:rsid w:val="74B6734E"/>
    <w:rsid w:val="74C6482B"/>
    <w:rsid w:val="74D06143"/>
    <w:rsid w:val="752320C7"/>
    <w:rsid w:val="7564688B"/>
    <w:rsid w:val="756E4256"/>
    <w:rsid w:val="75D723B2"/>
    <w:rsid w:val="75ED062E"/>
    <w:rsid w:val="76393941"/>
    <w:rsid w:val="76584AFD"/>
    <w:rsid w:val="767E397C"/>
    <w:rsid w:val="76911902"/>
    <w:rsid w:val="76AA29C3"/>
    <w:rsid w:val="76B92C06"/>
    <w:rsid w:val="76C137E3"/>
    <w:rsid w:val="76D57A40"/>
    <w:rsid w:val="76F459ED"/>
    <w:rsid w:val="770739C7"/>
    <w:rsid w:val="777F5BFE"/>
    <w:rsid w:val="77A318EC"/>
    <w:rsid w:val="78375191"/>
    <w:rsid w:val="783A5034"/>
    <w:rsid w:val="78752699"/>
    <w:rsid w:val="788A190E"/>
    <w:rsid w:val="788A6608"/>
    <w:rsid w:val="78B67C13"/>
    <w:rsid w:val="78C31B1A"/>
    <w:rsid w:val="78D027F0"/>
    <w:rsid w:val="78F61EF0"/>
    <w:rsid w:val="78F87A16"/>
    <w:rsid w:val="790E0FE8"/>
    <w:rsid w:val="79107D4E"/>
    <w:rsid w:val="791D747D"/>
    <w:rsid w:val="79353900"/>
    <w:rsid w:val="793F6CA3"/>
    <w:rsid w:val="794A04D7"/>
    <w:rsid w:val="79746535"/>
    <w:rsid w:val="797647ED"/>
    <w:rsid w:val="79814165"/>
    <w:rsid w:val="799C6F8D"/>
    <w:rsid w:val="7A13676F"/>
    <w:rsid w:val="7A387BE8"/>
    <w:rsid w:val="7A440A39"/>
    <w:rsid w:val="7A4D74CC"/>
    <w:rsid w:val="7A60559B"/>
    <w:rsid w:val="7AC843DE"/>
    <w:rsid w:val="7AD26045"/>
    <w:rsid w:val="7AD4000F"/>
    <w:rsid w:val="7AE9123F"/>
    <w:rsid w:val="7AED3D24"/>
    <w:rsid w:val="7AFC3A32"/>
    <w:rsid w:val="7B237139"/>
    <w:rsid w:val="7B323F28"/>
    <w:rsid w:val="7B4D150D"/>
    <w:rsid w:val="7B504D7D"/>
    <w:rsid w:val="7B641393"/>
    <w:rsid w:val="7B95779E"/>
    <w:rsid w:val="7BB05565"/>
    <w:rsid w:val="7BB5399C"/>
    <w:rsid w:val="7BBB5446"/>
    <w:rsid w:val="7BE91898"/>
    <w:rsid w:val="7BEA3458"/>
    <w:rsid w:val="7C0163B0"/>
    <w:rsid w:val="7C025169"/>
    <w:rsid w:val="7C0E7550"/>
    <w:rsid w:val="7C464F3C"/>
    <w:rsid w:val="7C682867"/>
    <w:rsid w:val="7C6C7F23"/>
    <w:rsid w:val="7CA24505"/>
    <w:rsid w:val="7CA51C7D"/>
    <w:rsid w:val="7CD05611"/>
    <w:rsid w:val="7CD95DB0"/>
    <w:rsid w:val="7CF46746"/>
    <w:rsid w:val="7D470F6C"/>
    <w:rsid w:val="7D524A37"/>
    <w:rsid w:val="7D5B67C5"/>
    <w:rsid w:val="7D7B4F6A"/>
    <w:rsid w:val="7D7D0EC6"/>
    <w:rsid w:val="7D902913"/>
    <w:rsid w:val="7D9677FD"/>
    <w:rsid w:val="7DA418C3"/>
    <w:rsid w:val="7DD16A88"/>
    <w:rsid w:val="7DE60785"/>
    <w:rsid w:val="7DEA78A4"/>
    <w:rsid w:val="7DED1B13"/>
    <w:rsid w:val="7DEE3196"/>
    <w:rsid w:val="7E1370A0"/>
    <w:rsid w:val="7E292420"/>
    <w:rsid w:val="7E454CA6"/>
    <w:rsid w:val="7E5E47BF"/>
    <w:rsid w:val="7E6527BC"/>
    <w:rsid w:val="7E6E42D6"/>
    <w:rsid w:val="7E7A711F"/>
    <w:rsid w:val="7E8A55B4"/>
    <w:rsid w:val="7E8B0CEF"/>
    <w:rsid w:val="7EA93097"/>
    <w:rsid w:val="7ECA59B1"/>
    <w:rsid w:val="7F054669"/>
    <w:rsid w:val="7F143F12"/>
    <w:rsid w:val="7F1E73A2"/>
    <w:rsid w:val="7F29005F"/>
    <w:rsid w:val="7F380545"/>
    <w:rsid w:val="7F3B36EE"/>
    <w:rsid w:val="7F671451"/>
    <w:rsid w:val="7F6A4A9D"/>
    <w:rsid w:val="7F7E679B"/>
    <w:rsid w:val="7F9B2913"/>
    <w:rsid w:val="7FA04963"/>
    <w:rsid w:val="7FA53D28"/>
    <w:rsid w:val="7FA93818"/>
    <w:rsid w:val="7FD97494"/>
    <w:rsid w:val="7FEC0D6B"/>
    <w:rsid w:val="7FF44553"/>
    <w:rsid w:val="7FF78292"/>
    <w:rsid w:val="F2EBCA9B"/>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qFormat/>
    <w:uiPriority w:val="0"/>
    <w:pPr>
      <w:keepNext/>
      <w:keepLines/>
      <w:spacing w:before="260" w:after="260" w:line="415" w:lineRule="auto"/>
      <w:outlineLvl w:val="2"/>
    </w:pPr>
    <w:rPr>
      <w:b/>
      <w:sz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autoRedefine/>
    <w:qFormat/>
    <w:uiPriority w:val="99"/>
    <w:pPr>
      <w:spacing w:after="120"/>
    </w:pPr>
  </w:style>
  <w:style w:type="paragraph" w:styleId="8">
    <w:name w:val="Body Text Indent"/>
    <w:basedOn w:val="1"/>
    <w:qFormat/>
    <w:uiPriority w:val="0"/>
    <w:pPr>
      <w:snapToGrid w:val="0"/>
      <w:spacing w:line="360" w:lineRule="auto"/>
      <w:ind w:firstLine="538" w:firstLineChars="192"/>
    </w:pPr>
    <w:rPr>
      <w:rFonts w:ascii="仿宋_GB2312" w:eastAsia="仿宋_GB2312"/>
      <w:bCs/>
      <w:sz w:val="28"/>
      <w:szCs w:val="28"/>
    </w:rPr>
  </w:style>
  <w:style w:type="paragraph" w:styleId="9">
    <w:name w:val="Plain Text"/>
    <w:basedOn w:val="1"/>
    <w:link w:val="66"/>
    <w:autoRedefine/>
    <w:qFormat/>
    <w:uiPriority w:val="0"/>
    <w:rPr>
      <w:rFonts w:ascii="宋体" w:hAnsi="Courier New"/>
      <w:szCs w:val="20"/>
    </w:rPr>
  </w:style>
  <w:style w:type="paragraph" w:styleId="10">
    <w:name w:val="Balloon Text"/>
    <w:basedOn w:val="1"/>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autoRedefine/>
    <w:qFormat/>
    <w:uiPriority w:val="0"/>
    <w:pPr>
      <w:tabs>
        <w:tab w:val="right" w:leader="dot" w:pos="8393"/>
      </w:tabs>
      <w:spacing w:line="500" w:lineRule="exact"/>
    </w:pPr>
    <w:rPr>
      <w:rFonts w:ascii="宋体" w:hAnsi="宋体"/>
      <w:b/>
      <w:bCs/>
      <w:color w:val="000000"/>
      <w:sz w:val="28"/>
      <w:szCs w:val="28"/>
    </w:rPr>
  </w:style>
  <w:style w:type="paragraph" w:styleId="14">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5">
    <w:name w:val="Body Text First Indent 2"/>
    <w:basedOn w:val="8"/>
    <w:autoRedefine/>
    <w:unhideWhenUsed/>
    <w:qFormat/>
    <w:uiPriority w:val="0"/>
    <w:pPr>
      <w:spacing w:after="120" w:line="240" w:lineRule="auto"/>
      <w:ind w:left="420" w:leftChars="200" w:firstLine="420" w:firstLineChars="200"/>
    </w:pPr>
    <w:rPr>
      <w:sz w:val="21"/>
      <w:szCs w:val="21"/>
    </w:rPr>
  </w:style>
  <w:style w:type="table" w:styleId="17">
    <w:name w:val="Table Grid"/>
    <w:basedOn w:val="1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bCs/>
    </w:rPr>
  </w:style>
  <w:style w:type="character" w:styleId="20">
    <w:name w:val="page number"/>
    <w:basedOn w:val="18"/>
    <w:autoRedefine/>
    <w:qFormat/>
    <w:uiPriority w:val="0"/>
  </w:style>
  <w:style w:type="character" w:styleId="21">
    <w:name w:val="FollowedHyperlink"/>
    <w:basedOn w:val="18"/>
    <w:semiHidden/>
    <w:unhideWhenUsed/>
    <w:qFormat/>
    <w:uiPriority w:val="0"/>
    <w:rPr>
      <w:color w:val="428BCA"/>
      <w:u w:val="none"/>
    </w:rPr>
  </w:style>
  <w:style w:type="character" w:styleId="22">
    <w:name w:val="HTML Definition"/>
    <w:basedOn w:val="18"/>
    <w:semiHidden/>
    <w:unhideWhenUsed/>
    <w:qFormat/>
    <w:uiPriority w:val="0"/>
    <w:rPr>
      <w:i/>
      <w:iCs/>
    </w:rPr>
  </w:style>
  <w:style w:type="character" w:styleId="23">
    <w:name w:val="Hyperlink"/>
    <w:basedOn w:val="18"/>
    <w:autoRedefine/>
    <w:qFormat/>
    <w:uiPriority w:val="0"/>
    <w:rPr>
      <w:color w:val="013F7C"/>
      <w:u w:val="none"/>
    </w:rPr>
  </w:style>
  <w:style w:type="character" w:styleId="24">
    <w:name w:val="HTML Code"/>
    <w:basedOn w:val="18"/>
    <w:semiHidden/>
    <w:unhideWhenUsed/>
    <w:qFormat/>
    <w:uiPriority w:val="0"/>
    <w:rPr>
      <w:rFonts w:hint="default" w:ascii="Consolas" w:hAnsi="Consolas" w:eastAsia="Consolas" w:cs="Consolas"/>
      <w:color w:val="C7254E"/>
      <w:sz w:val="21"/>
      <w:szCs w:val="21"/>
      <w:shd w:val="clear" w:color="auto" w:fill="F9F2F4"/>
    </w:rPr>
  </w:style>
  <w:style w:type="character" w:styleId="25">
    <w:name w:val="annotation reference"/>
    <w:basedOn w:val="18"/>
    <w:semiHidden/>
    <w:unhideWhenUsed/>
    <w:qFormat/>
    <w:uiPriority w:val="0"/>
    <w:rPr>
      <w:sz w:val="21"/>
      <w:szCs w:val="21"/>
    </w:rPr>
  </w:style>
  <w:style w:type="character" w:styleId="26">
    <w:name w:val="HTML Cite"/>
    <w:basedOn w:val="18"/>
    <w:semiHidden/>
    <w:unhideWhenUsed/>
    <w:qFormat/>
    <w:uiPriority w:val="0"/>
  </w:style>
  <w:style w:type="character" w:styleId="27">
    <w:name w:val="HTML Keyboard"/>
    <w:basedOn w:val="18"/>
    <w:semiHidden/>
    <w:unhideWhenUsed/>
    <w:qFormat/>
    <w:uiPriority w:val="0"/>
    <w:rPr>
      <w:rFonts w:hint="default" w:ascii="Consolas" w:hAnsi="Consolas" w:eastAsia="Consolas" w:cs="Consolas"/>
      <w:color w:val="FFFFFF"/>
      <w:sz w:val="21"/>
      <w:szCs w:val="21"/>
      <w:shd w:val="clear" w:color="auto" w:fill="333333"/>
    </w:rPr>
  </w:style>
  <w:style w:type="character" w:styleId="28">
    <w:name w:val="HTML Sample"/>
    <w:basedOn w:val="18"/>
    <w:semiHidden/>
    <w:unhideWhenUsed/>
    <w:qFormat/>
    <w:uiPriority w:val="0"/>
    <w:rPr>
      <w:rFonts w:ascii="Consolas" w:hAnsi="Consolas" w:eastAsia="Consolas" w:cs="Consolas"/>
      <w:sz w:val="21"/>
      <w:szCs w:val="21"/>
    </w:rPr>
  </w:style>
  <w:style w:type="paragraph" w:customStyle="1" w:styleId="29">
    <w:name w:val="引用1"/>
    <w:basedOn w:val="1"/>
    <w:qFormat/>
    <w:uiPriority w:val="99"/>
    <w:rPr>
      <w:rFonts w:ascii="Calibri" w:hAnsi="Calibri" w:cs="Calibri"/>
      <w:i/>
      <w:iCs/>
      <w:color w:val="000000"/>
      <w:sz w:val="22"/>
      <w:szCs w:val="22"/>
    </w:r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样式3"/>
    <w:basedOn w:val="9"/>
    <w:qFormat/>
    <w:uiPriority w:val="0"/>
    <w:pPr>
      <w:spacing w:line="0" w:lineRule="atLeast"/>
      <w:outlineLvl w:val="0"/>
    </w:pPr>
    <w:rPr>
      <w:sz w:val="28"/>
      <w:szCs w:val="24"/>
    </w:rPr>
  </w:style>
  <w:style w:type="paragraph" w:customStyle="1" w:styleId="32">
    <w:name w:val="正文1"/>
    <w:qFormat/>
    <w:uiPriority w:val="0"/>
    <w:pPr>
      <w:jc w:val="both"/>
    </w:pPr>
    <w:rPr>
      <w:rFonts w:ascii="Calibri" w:hAnsi="Calibri" w:eastAsia="宋体" w:cs="宋体"/>
      <w:kern w:val="2"/>
      <w:sz w:val="21"/>
      <w:szCs w:val="21"/>
      <w:lang w:val="en-US" w:eastAsia="zh-CN" w:bidi="ar-SA"/>
    </w:rPr>
  </w:style>
  <w:style w:type="paragraph" w:customStyle="1" w:styleId="33">
    <w:name w:val="Normal_18"/>
    <w:qFormat/>
    <w:uiPriority w:val="0"/>
    <w:rPr>
      <w:rFonts w:ascii="Times New Roman" w:hAnsi="Times New Roman" w:eastAsia="宋体" w:cs="Times New Roman"/>
      <w:sz w:val="21"/>
      <w:lang w:val="en-US" w:eastAsia="zh-CN" w:bidi="ar-SA"/>
    </w:rPr>
  </w:style>
  <w:style w:type="character" w:customStyle="1" w:styleId="34">
    <w:name w:val="ndata"/>
    <w:basedOn w:val="18"/>
    <w:qFormat/>
    <w:uiPriority w:val="0"/>
    <w:rPr>
      <w:color w:val="AAAAAA"/>
    </w:rPr>
  </w:style>
  <w:style w:type="character" w:customStyle="1" w:styleId="35">
    <w:name w:val="NormalCharacter"/>
    <w:qFormat/>
    <w:uiPriority w:val="0"/>
    <w:rPr>
      <w:sz w:val="21"/>
      <w:lang w:val="en-US" w:eastAsia="zh-CN" w:bidi="ar-SA"/>
    </w:rPr>
  </w:style>
  <w:style w:type="paragraph" w:customStyle="1" w:styleId="36">
    <w:name w:val="正文2"/>
    <w:basedOn w:val="1"/>
    <w:qFormat/>
    <w:uiPriority w:val="0"/>
    <w:pPr>
      <w:spacing w:before="156" w:line="360" w:lineRule="auto"/>
      <w:ind w:firstLine="510" w:firstLineChars="200"/>
    </w:pPr>
    <w:rPr>
      <w:sz w:val="24"/>
    </w:rPr>
  </w:style>
  <w:style w:type="paragraph" w:customStyle="1" w:styleId="37">
    <w:name w:val="NormalIndent"/>
    <w:basedOn w:val="1"/>
    <w:qFormat/>
    <w:uiPriority w:val="0"/>
    <w:pPr>
      <w:widowControl/>
      <w:ind w:firstLine="200" w:firstLineChars="200"/>
    </w:pPr>
    <w:rPr>
      <w:rFonts w:ascii="Calibri" w:hAnsi="Calibri"/>
    </w:rPr>
  </w:style>
  <w:style w:type="paragraph" w:styleId="38">
    <w:name w:val="List Paragraph"/>
    <w:basedOn w:val="1"/>
    <w:qFormat/>
    <w:uiPriority w:val="34"/>
    <w:pPr>
      <w:ind w:firstLine="420" w:firstLineChars="200"/>
    </w:pPr>
  </w:style>
  <w:style w:type="paragraph" w:customStyle="1" w:styleId="39">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0">
    <w:name w:val="active5"/>
    <w:basedOn w:val="18"/>
    <w:qFormat/>
    <w:uiPriority w:val="0"/>
    <w:rPr>
      <w:color w:val="FFFFFF"/>
      <w:shd w:val="clear" w:color="auto" w:fill="428BCA"/>
    </w:rPr>
  </w:style>
  <w:style w:type="character" w:customStyle="1" w:styleId="41">
    <w:name w:val="ui-jqgrid-resize"/>
    <w:basedOn w:val="18"/>
    <w:qFormat/>
    <w:uiPriority w:val="0"/>
  </w:style>
  <w:style w:type="character" w:customStyle="1" w:styleId="42">
    <w:name w:val="ui-icon37"/>
    <w:basedOn w:val="18"/>
    <w:qFormat/>
    <w:uiPriority w:val="0"/>
  </w:style>
  <w:style w:type="character" w:customStyle="1" w:styleId="43">
    <w:name w:val="ui-icon38"/>
    <w:basedOn w:val="18"/>
    <w:qFormat/>
    <w:uiPriority w:val="0"/>
  </w:style>
  <w:style w:type="character" w:customStyle="1" w:styleId="44">
    <w:name w:val="ui-icon39"/>
    <w:basedOn w:val="18"/>
    <w:qFormat/>
    <w:uiPriority w:val="0"/>
  </w:style>
  <w:style w:type="character" w:customStyle="1" w:styleId="45">
    <w:name w:val="input-icon2"/>
    <w:basedOn w:val="18"/>
    <w:qFormat/>
    <w:uiPriority w:val="0"/>
  </w:style>
  <w:style w:type="character" w:customStyle="1" w:styleId="46">
    <w:name w:val="before"/>
    <w:basedOn w:val="18"/>
    <w:qFormat/>
    <w:uiPriority w:val="0"/>
    <w:rPr>
      <w:rFonts w:hint="default" w:ascii="FontAwesome" w:hAnsi="FontAwesome" w:eastAsia="FontAwesome" w:cs="FontAwesome"/>
      <w:color w:val="888888"/>
    </w:rPr>
  </w:style>
  <w:style w:type="character" w:customStyle="1" w:styleId="47">
    <w:name w:val="before1"/>
    <w:basedOn w:val="18"/>
    <w:qFormat/>
    <w:uiPriority w:val="0"/>
    <w:rPr>
      <w:rFonts w:hint="default" w:ascii="FontAwesome" w:hAnsi="FontAwesome" w:eastAsia="FontAwesome" w:cs="FontAwesome"/>
      <w:color w:val="888888"/>
    </w:rPr>
  </w:style>
  <w:style w:type="character" w:customStyle="1" w:styleId="48">
    <w:name w:val="hover6"/>
    <w:basedOn w:val="18"/>
    <w:qFormat/>
    <w:uiPriority w:val="0"/>
    <w:rPr>
      <w:shd w:val="clear" w:color="auto" w:fill="EEEEEE"/>
    </w:rPr>
  </w:style>
  <w:style w:type="character" w:customStyle="1" w:styleId="49">
    <w:name w:val="old"/>
    <w:basedOn w:val="18"/>
    <w:qFormat/>
    <w:uiPriority w:val="0"/>
    <w:rPr>
      <w:color w:val="999999"/>
    </w:rPr>
  </w:style>
  <w:style w:type="character" w:customStyle="1" w:styleId="50">
    <w:name w:val="ui-icon40"/>
    <w:basedOn w:val="18"/>
    <w:qFormat/>
    <w:uiPriority w:val="0"/>
  </w:style>
  <w:style w:type="paragraph" w:customStyle="1" w:styleId="51">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2">
    <w:name w:val="font31"/>
    <w:basedOn w:val="18"/>
    <w:qFormat/>
    <w:uiPriority w:val="0"/>
    <w:rPr>
      <w:rFonts w:hint="default" w:ascii="Arial" w:hAnsi="Arial" w:cs="Arial"/>
      <w:b/>
      <w:color w:val="000000"/>
      <w:sz w:val="24"/>
      <w:szCs w:val="24"/>
      <w:u w:val="none"/>
    </w:rPr>
  </w:style>
  <w:style w:type="character" w:customStyle="1" w:styleId="53">
    <w:name w:val="font81"/>
    <w:basedOn w:val="18"/>
    <w:qFormat/>
    <w:uiPriority w:val="0"/>
    <w:rPr>
      <w:rFonts w:ascii="新宋体" w:hAnsi="新宋体" w:eastAsia="新宋体" w:cs="新宋体"/>
      <w:color w:val="000000"/>
      <w:sz w:val="21"/>
      <w:szCs w:val="21"/>
      <w:u w:val="none"/>
    </w:rPr>
  </w:style>
  <w:style w:type="character" w:customStyle="1" w:styleId="54">
    <w:name w:val="font41"/>
    <w:basedOn w:val="18"/>
    <w:qFormat/>
    <w:uiPriority w:val="0"/>
    <w:rPr>
      <w:rFonts w:hint="default" w:ascii="Times New Roman" w:hAnsi="Times New Roman" w:cs="Times New Roman"/>
      <w:color w:val="000000"/>
      <w:sz w:val="18"/>
      <w:szCs w:val="18"/>
      <w:u w:val="none"/>
    </w:rPr>
  </w:style>
  <w:style w:type="character" w:customStyle="1" w:styleId="55">
    <w:name w:val="font51"/>
    <w:basedOn w:val="18"/>
    <w:qFormat/>
    <w:uiPriority w:val="0"/>
    <w:rPr>
      <w:rFonts w:hint="eastAsia" w:ascii="宋体" w:hAnsi="宋体" w:eastAsia="宋体" w:cs="宋体"/>
      <w:b/>
      <w:color w:val="000000"/>
      <w:sz w:val="32"/>
      <w:szCs w:val="32"/>
      <w:u w:val="none"/>
    </w:rPr>
  </w:style>
  <w:style w:type="character" w:customStyle="1" w:styleId="56">
    <w:name w:val="font01"/>
    <w:basedOn w:val="18"/>
    <w:qFormat/>
    <w:uiPriority w:val="0"/>
    <w:rPr>
      <w:rFonts w:hint="eastAsia" w:ascii="宋体" w:hAnsi="宋体" w:eastAsia="宋体" w:cs="宋体"/>
      <w:color w:val="000000"/>
      <w:sz w:val="24"/>
      <w:szCs w:val="24"/>
      <w:u w:val="none"/>
    </w:rPr>
  </w:style>
  <w:style w:type="character" w:customStyle="1" w:styleId="57">
    <w:name w:val="font71"/>
    <w:basedOn w:val="18"/>
    <w:qFormat/>
    <w:uiPriority w:val="0"/>
    <w:rPr>
      <w:rFonts w:hint="default" w:ascii="仿宋_GB2312" w:eastAsia="仿宋_GB2312" w:cs="仿宋_GB2312"/>
      <w:b/>
      <w:bCs/>
      <w:color w:val="000000"/>
      <w:sz w:val="32"/>
      <w:szCs w:val="32"/>
      <w:u w:val="none"/>
    </w:rPr>
  </w:style>
  <w:style w:type="character" w:customStyle="1" w:styleId="58">
    <w:name w:val="active1"/>
    <w:basedOn w:val="18"/>
    <w:qFormat/>
    <w:uiPriority w:val="0"/>
    <w:rPr>
      <w:color w:val="FFFFFF"/>
      <w:shd w:val="clear" w:color="auto" w:fill="428BCA"/>
    </w:rPr>
  </w:style>
  <w:style w:type="character" w:customStyle="1" w:styleId="59">
    <w:name w:val="hover5"/>
    <w:basedOn w:val="18"/>
    <w:qFormat/>
    <w:uiPriority w:val="0"/>
    <w:rPr>
      <w:shd w:val="clear" w:color="auto" w:fill="EEEEEE"/>
    </w:rPr>
  </w:style>
  <w:style w:type="character" w:customStyle="1" w:styleId="60">
    <w:name w:val="ui-jqgrid-resize2"/>
    <w:basedOn w:val="18"/>
    <w:qFormat/>
    <w:uiPriority w:val="0"/>
  </w:style>
  <w:style w:type="paragraph" w:customStyle="1" w:styleId="61">
    <w:name w:val="Body text|1"/>
    <w:basedOn w:val="1"/>
    <w:qFormat/>
    <w:uiPriority w:val="0"/>
    <w:pPr>
      <w:spacing w:line="384" w:lineRule="auto"/>
      <w:ind w:firstLine="400"/>
    </w:pPr>
    <w:rPr>
      <w:rFonts w:ascii="方正黑体简体" w:hAnsi="方正黑体简体" w:eastAsia="方正黑体简体" w:cs="方正黑体简体"/>
      <w:sz w:val="30"/>
      <w:szCs w:val="30"/>
      <w:lang w:val="zh-TW" w:eastAsia="zh-TW" w:bidi="zh-TW"/>
    </w:rPr>
  </w:style>
  <w:style w:type="paragraph" w:customStyle="1" w:styleId="62">
    <w:name w:val="Normal_0_1"/>
    <w:qFormat/>
    <w:uiPriority w:val="0"/>
    <w:rPr>
      <w:rFonts w:ascii="Times New Roman" w:hAnsi="Times New Roman" w:eastAsia="Times New Roman" w:cs="Times New Roman"/>
      <w:sz w:val="24"/>
      <w:szCs w:val="24"/>
      <w:lang w:val="en-US" w:eastAsia="zh-CN" w:bidi="ar-SA"/>
    </w:rPr>
  </w:style>
  <w:style w:type="paragraph" w:customStyle="1" w:styleId="6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4">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65">
    <w:name w:val="Revision"/>
    <w:unhideWhenUsed/>
    <w:qFormat/>
    <w:uiPriority w:val="99"/>
    <w:rPr>
      <w:rFonts w:ascii="Times New Roman" w:hAnsi="Times New Roman" w:eastAsia="宋体" w:cs="Times New Roman"/>
      <w:kern w:val="2"/>
      <w:sz w:val="21"/>
      <w:szCs w:val="24"/>
      <w:lang w:val="en-US" w:eastAsia="zh-CN" w:bidi="ar-SA"/>
    </w:rPr>
  </w:style>
  <w:style w:type="character" w:customStyle="1" w:styleId="66">
    <w:name w:val="纯文本 字符"/>
    <w:basedOn w:val="18"/>
    <w:link w:val="9"/>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8ADA2-A66B-4F8B-A6D2-B250AAC0A4A8}">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37</Pages>
  <Words>20258</Words>
  <Characters>21292</Characters>
  <Lines>171</Lines>
  <Paragraphs>48</Paragraphs>
  <TotalTime>16</TotalTime>
  <ScaleCrop>false</ScaleCrop>
  <LinksUpToDate>false</LinksUpToDate>
  <CharactersWithSpaces>22310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2024-06-24T06:38:00Z</dcterms:created>
  <dc:creator>随风</dc:creator>
  <cp:lastModifiedBy>符慧华</cp:lastModifiedBy>
  <cp:lastPrinted>2024-06-05T06:48:00Z</cp:lastPrinted>
  <dcterms:modified xsi:type="dcterms:W3CDTF">2024-06-25T06:55:44Z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EEAB6D39B0C44A2AB5F5F0EC1B10D1AE_13</vt:lpwstr>
  </property>
</Properties>
</file>