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基坑监测任务书</w:t>
      </w: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（东营溪泵闸）</w:t>
      </w:r>
    </w:p>
    <w:p>
      <w:pPr>
        <w:bidi w:val="0"/>
        <w:jc w:val="center"/>
        <w:rPr>
          <w:rFonts w:hint="eastAsia" w:ascii="黑体" w:hAnsi="黑体" w:eastAsia="黑体" w:cs="黑体"/>
          <w:sz w:val="44"/>
          <w:szCs w:val="44"/>
          <w:lang w:eastAsia="zh-CN"/>
        </w:rPr>
      </w:pPr>
    </w:p>
    <w:p>
      <w:pPr>
        <w:rPr>
          <w:rFonts w:hint="eastAsia" w:ascii="黑体" w:hAnsi="黑体" w:eastAsia="黑体" w:cs="黑体"/>
          <w:sz w:val="44"/>
          <w:szCs w:val="44"/>
          <w:lang w:eastAsia="zh-CN"/>
        </w:rPr>
      </w:pPr>
      <w:r>
        <w:rPr>
          <w:rFonts w:hint="eastAsia" w:ascii="黑体" w:hAnsi="黑体" w:eastAsia="黑体" w:cs="黑体"/>
          <w:sz w:val="44"/>
          <w:szCs w:val="44"/>
          <w:lang w:eastAsia="zh-CN"/>
        </w:rPr>
        <w:br w:type="page"/>
      </w:r>
    </w:p>
    <w:p>
      <w:pPr>
        <w:pStyle w:val="3"/>
        <w:numPr>
          <w:ilvl w:val="0"/>
          <w:numId w:val="1"/>
        </w:numPr>
        <w:bidi w:val="0"/>
        <w:ind w:left="425" w:leftChars="0" w:hanging="425" w:firstLineChars="0"/>
        <w:rPr>
          <w:rFonts w:hint="eastAsia"/>
          <w:lang w:eastAsia="zh-CN"/>
        </w:rPr>
      </w:pPr>
      <w:r>
        <w:rPr>
          <w:rFonts w:hint="eastAsia"/>
          <w:lang w:eastAsia="zh-CN"/>
        </w:rPr>
        <w:t>工程概况</w:t>
      </w:r>
    </w:p>
    <w:p>
      <w:pPr>
        <w:keepNext w:val="0"/>
        <w:keepLines w:val="0"/>
        <w:widowControl/>
        <w:suppressLineNumbers w:val="0"/>
        <w:ind w:firstLine="88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本基坑为分级</w:t>
      </w:r>
      <w:r>
        <w:rPr>
          <w:rFonts w:hint="default" w:ascii="宋体" w:hAnsi="宋体" w:eastAsia="宋体" w:cs="宋体"/>
          <w:color w:val="000000"/>
          <w:kern w:val="0"/>
          <w:sz w:val="24"/>
          <w:szCs w:val="24"/>
          <w:lang w:val="en-US" w:eastAsia="zh-CN" w:bidi="ar"/>
        </w:rPr>
        <w:t>放坡开挖与钢板桩开挖结合,上部采取分级放坡开挖,下部深度采取钢板桩支护开挖</w:t>
      </w:r>
      <w:r>
        <w:rPr>
          <w:rFonts w:hint="eastAsia" w:ascii="宋体" w:hAnsi="宋体" w:eastAsia="宋体" w:cs="宋体"/>
          <w:color w:val="000000"/>
          <w:kern w:val="0"/>
          <w:sz w:val="24"/>
          <w:szCs w:val="24"/>
          <w:lang w:val="en-US" w:eastAsia="zh-CN" w:bidi="ar"/>
        </w:rPr>
        <w:t>。开挖深度为1.8m～4.88m，基坑监测等级为二级。</w:t>
      </w:r>
    </w:p>
    <w:p>
      <w:pPr>
        <w:pStyle w:val="3"/>
        <w:numPr>
          <w:ilvl w:val="0"/>
          <w:numId w:val="1"/>
        </w:numPr>
        <w:bidi w:val="0"/>
        <w:ind w:left="425" w:leftChars="0" w:hanging="425" w:firstLineChars="0"/>
        <w:rPr>
          <w:rFonts w:hint="default"/>
          <w:b/>
          <w:lang w:val="en-US" w:eastAsia="zh-CN"/>
        </w:rPr>
      </w:pPr>
      <w:r>
        <w:rPr>
          <w:rFonts w:hint="eastAsia"/>
          <w:b/>
          <w:lang w:val="en-US" w:eastAsia="zh-CN"/>
        </w:rPr>
        <w:t>编制依据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《建筑基坑支护技术规程》（JGJ120-2012)；</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《建筑基坑工程监测技术</w:t>
      </w:r>
      <w:r>
        <w:rPr>
          <w:rFonts w:hint="eastAsia" w:ascii="宋体" w:hAnsi="宋体" w:eastAsia="宋体" w:cs="宋体"/>
          <w:sz w:val="24"/>
          <w:highlight w:val="none"/>
          <w:lang w:val="en-US" w:eastAsia="zh-CN"/>
        </w:rPr>
        <w:t>标准</w:t>
      </w:r>
      <w:r>
        <w:rPr>
          <w:rFonts w:hint="eastAsia" w:ascii="宋体" w:hAnsi="宋体" w:eastAsia="宋体" w:cs="宋体"/>
          <w:sz w:val="24"/>
          <w:highlight w:val="none"/>
        </w:rPr>
        <w:t>》（GB50497-20</w:t>
      </w:r>
      <w:r>
        <w:rPr>
          <w:rFonts w:hint="eastAsia" w:ascii="宋体" w:hAnsi="宋体" w:eastAsia="宋体" w:cs="宋体"/>
          <w:sz w:val="24"/>
          <w:highlight w:val="none"/>
          <w:lang w:val="en-US" w:eastAsia="zh-CN"/>
        </w:rPr>
        <w:t>1</w:t>
      </w:r>
      <w:r>
        <w:rPr>
          <w:rFonts w:hint="eastAsia" w:ascii="宋体" w:hAnsi="宋体" w:eastAsia="宋体" w:cs="宋体"/>
          <w:sz w:val="24"/>
          <w:highlight w:val="none"/>
        </w:rPr>
        <w:t>9)；</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《工程测量</w:t>
      </w:r>
      <w:r>
        <w:rPr>
          <w:rFonts w:hint="eastAsia" w:ascii="宋体" w:hAnsi="宋体" w:eastAsia="宋体" w:cs="宋体"/>
          <w:sz w:val="24"/>
          <w:highlight w:val="none"/>
          <w:lang w:eastAsia="zh-CN"/>
        </w:rPr>
        <w:t>标准</w:t>
      </w:r>
      <w:r>
        <w:rPr>
          <w:rFonts w:hint="eastAsia" w:ascii="宋体" w:hAnsi="宋体" w:eastAsia="宋体" w:cs="宋体"/>
          <w:sz w:val="24"/>
          <w:highlight w:val="none"/>
        </w:rPr>
        <w:t>》（GB50026-20</w:t>
      </w:r>
      <w:r>
        <w:rPr>
          <w:rFonts w:hint="eastAsia" w:ascii="宋体" w:hAnsi="宋体" w:eastAsia="宋体" w:cs="宋体"/>
          <w:sz w:val="24"/>
          <w:highlight w:val="none"/>
          <w:lang w:val="en-US" w:eastAsia="zh-CN"/>
        </w:rPr>
        <w:t>20</w:t>
      </w:r>
      <w:r>
        <w:rPr>
          <w:rFonts w:hint="eastAsia" w:ascii="宋体" w:hAnsi="宋体" w:eastAsia="宋体" w:cs="宋体"/>
          <w:sz w:val="24"/>
          <w:highlight w:val="none"/>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《国家一、二等水准测量规范》（GB/T12897-2006）；</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default"/>
          <w:lang w:val="en-US" w:eastAsia="zh-CN"/>
        </w:rPr>
      </w:pPr>
      <w:r>
        <w:rPr>
          <w:rFonts w:hint="eastAsia" w:ascii="宋体" w:hAnsi="宋体" w:eastAsia="宋体" w:cs="宋体"/>
          <w:sz w:val="24"/>
          <w:highlight w:val="none"/>
        </w:rPr>
        <w:t>甲方提供的图纸、支护设计方案和相关技术资料。</w:t>
      </w:r>
    </w:p>
    <w:p>
      <w:pPr>
        <w:pStyle w:val="3"/>
        <w:numPr>
          <w:ilvl w:val="0"/>
          <w:numId w:val="1"/>
        </w:numPr>
        <w:bidi w:val="0"/>
        <w:ind w:left="425" w:leftChars="0" w:hanging="425" w:firstLineChars="0"/>
        <w:rPr>
          <w:rFonts w:hint="eastAsia"/>
          <w:lang w:eastAsia="zh-CN"/>
        </w:rPr>
      </w:pPr>
      <w:r>
        <w:rPr>
          <w:rFonts w:hint="eastAsia"/>
          <w:lang w:eastAsia="zh-CN"/>
        </w:rPr>
        <w:t>监测内容及要求</w:t>
      </w:r>
    </w:p>
    <w:p>
      <w:pPr>
        <w:pStyle w:val="4"/>
        <w:bidi w:val="0"/>
        <w:rPr>
          <w:rFonts w:hint="default"/>
          <w:lang w:val="en-US" w:eastAsia="zh-CN"/>
        </w:rPr>
      </w:pPr>
      <w:r>
        <w:rPr>
          <w:rFonts w:hint="eastAsia"/>
          <w:lang w:val="en-US" w:eastAsia="zh-CN"/>
        </w:rPr>
        <w:t>3.1 监测目的及监测点布置</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（1）监测目的</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监测支护结构的位移、变形和基坑开挖过程中坑内软土隆起或流土的施工安全等信息。通过监测，了解基坑开挖期间支护结构的安全状态和周边环境的受影响程度，以指导下一步施工。</w:t>
      </w:r>
    </w:p>
    <w:p>
      <w:pPr>
        <w:keepNext w:val="0"/>
        <w:keepLines w:val="0"/>
        <w:widowControl/>
        <w:numPr>
          <w:ilvl w:val="0"/>
          <w:numId w:val="3"/>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监测点布置</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监测一般沿支护结构四周布置水平变形、垂直位移监测点，此外，还需在周边布置地表竖向位移测点、地下水位测点等。</w:t>
      </w:r>
    </w:p>
    <w:p>
      <w:pPr>
        <w:pStyle w:val="4"/>
        <w:bidi w:val="0"/>
        <w:ind w:firstLine="0"/>
        <w:rPr>
          <w:rFonts w:hint="default" w:ascii="Arial" w:hAnsi="Arial"/>
          <w:b/>
          <w:lang w:val="en-US" w:eastAsia="zh-CN"/>
        </w:rPr>
      </w:pPr>
      <w:r>
        <w:rPr>
          <w:rFonts w:hint="eastAsia" w:ascii="Arial" w:hAnsi="Arial"/>
          <w:b/>
          <w:lang w:val="en-US" w:eastAsia="zh-CN"/>
        </w:rPr>
        <w:t>3.2监测内容</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高程基准点监测</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平面基准点监测</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围护结构顶水平位移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围护结构顶竖向位移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围护结构深层水平位移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地表沉降</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坑外水位</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结构内力</w:t>
      </w:r>
    </w:p>
    <w:p>
      <w:pPr>
        <w:rPr>
          <w:rFonts w:hint="eastAsia"/>
          <w:lang w:val="en-US" w:eastAsia="zh-CN"/>
        </w:rPr>
      </w:pPr>
      <w:r>
        <w:rPr>
          <w:rFonts w:hint="eastAsia"/>
          <w:lang w:val="en-US" w:eastAsia="zh-CN"/>
        </w:rPr>
        <w:br w:type="page"/>
      </w:r>
    </w:p>
    <w:p>
      <w:pPr>
        <w:pStyle w:val="2"/>
        <w:ind w:left="0" w:leftChars="0" w:firstLine="0" w:firstLineChars="0"/>
        <w:jc w:val="center"/>
        <w:rPr>
          <w:rFonts w:hint="eastAsia"/>
          <w:sz w:val="21"/>
          <w:szCs w:val="21"/>
          <w:lang w:val="en-US" w:eastAsia="zh-CN"/>
        </w:rPr>
      </w:pPr>
      <w:r>
        <w:rPr>
          <w:rFonts w:hint="eastAsia"/>
          <w:sz w:val="21"/>
          <w:szCs w:val="21"/>
          <w:lang w:val="en-US" w:eastAsia="zh-CN"/>
        </w:rPr>
        <w:t>表3.1 监测项目汇总表</w:t>
      </w:r>
    </w:p>
    <w:tbl>
      <w:tblPr>
        <w:tblStyle w:val="7"/>
        <w:tblW w:w="5096"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476"/>
        <w:gridCol w:w="1995"/>
        <w:gridCol w:w="4431"/>
        <w:gridCol w:w="158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序号</w:t>
            </w:r>
          </w:p>
        </w:tc>
        <w:tc>
          <w:tcPr>
            <w:tcW w:w="1175"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监测项目</w:t>
            </w:r>
          </w:p>
        </w:tc>
        <w:tc>
          <w:tcPr>
            <w:tcW w:w="2610"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布设位置</w:t>
            </w:r>
          </w:p>
        </w:tc>
        <w:tc>
          <w:tcPr>
            <w:tcW w:w="933"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监测仪器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1</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高程基准点监测</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sz w:val="18"/>
                <w:szCs w:val="18"/>
                <w:lang w:eastAsia="zh-CN"/>
              </w:rPr>
            </w:pPr>
            <w:r>
              <w:rPr>
                <w:rFonts w:hint="eastAsia" w:ascii="宋体" w:hAnsi="宋体"/>
                <w:sz w:val="18"/>
                <w:szCs w:val="18"/>
              </w:rPr>
              <w:t>基坑周边布置</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2</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平面基准点监测</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sz w:val="18"/>
                <w:szCs w:val="18"/>
              </w:rPr>
            </w:pPr>
            <w:r>
              <w:rPr>
                <w:rFonts w:hint="eastAsia" w:ascii="宋体" w:hAnsi="宋体"/>
                <w:sz w:val="18"/>
                <w:szCs w:val="18"/>
              </w:rPr>
              <w:t>基坑周边布置</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3</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3</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围护结构顶水平位移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sz w:val="18"/>
                <w:szCs w:val="18"/>
              </w:rPr>
            </w:pPr>
            <w:r>
              <w:rPr>
                <w:rFonts w:hint="eastAsia" w:ascii="宋体" w:hAnsi="宋体"/>
                <w:sz w:val="18"/>
                <w:szCs w:val="18"/>
              </w:rPr>
              <w:t>水平和竖向位移监测点宜为共用点，监测点宜设置在围护墙顶或基坑坡顶上。监测点数目</w:t>
            </w:r>
            <w:r>
              <w:rPr>
                <w:rFonts w:hint="eastAsia" w:ascii="宋体" w:hAnsi="宋体"/>
                <w:sz w:val="18"/>
                <w:szCs w:val="18"/>
                <w:lang w:eastAsia="zh-CN"/>
              </w:rPr>
              <w:t>至少</w:t>
            </w:r>
            <w:r>
              <w:rPr>
                <w:rFonts w:hint="eastAsia" w:ascii="宋体" w:hAnsi="宋体"/>
                <w:sz w:val="18"/>
                <w:szCs w:val="18"/>
                <w:lang w:val="en-US" w:eastAsia="zh-CN"/>
              </w:rPr>
              <w:t>7</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4</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围护结构顶竖向位移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水平和竖向位移监测点宜为共用点，监测点宜设置在围护墙顶或基坑坡顶上。监测点数目</w:t>
            </w:r>
            <w:r>
              <w:rPr>
                <w:rFonts w:hint="eastAsia" w:ascii="宋体" w:hAnsi="宋体"/>
                <w:sz w:val="18"/>
                <w:szCs w:val="18"/>
                <w:lang w:eastAsia="zh-CN"/>
              </w:rPr>
              <w:t>至少</w:t>
            </w:r>
            <w:r>
              <w:rPr>
                <w:rFonts w:hint="eastAsia" w:ascii="宋体" w:hAnsi="宋体"/>
                <w:sz w:val="18"/>
                <w:szCs w:val="18"/>
                <w:lang w:val="en-US" w:eastAsia="zh-CN"/>
              </w:rPr>
              <w:t>7</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5</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围护结构深层水平位移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监测点宜设置在围护墙</w:t>
            </w:r>
            <w:r>
              <w:rPr>
                <w:rFonts w:hint="eastAsia" w:ascii="宋体" w:hAnsi="宋体"/>
                <w:sz w:val="18"/>
                <w:szCs w:val="18"/>
                <w:lang w:eastAsia="zh-CN"/>
              </w:rPr>
              <w:t>中部</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7</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测斜仪</w:t>
            </w:r>
            <w:bookmarkStart w:id="38" w:name="_GoBack"/>
            <w:bookmarkEnd w:id="38"/>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6</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地表沉降</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宋体" w:hAnsi="宋体" w:eastAsiaTheme="minorEastAsia"/>
                <w:sz w:val="18"/>
                <w:szCs w:val="18"/>
                <w:lang w:val="en-US" w:eastAsia="zh-CN"/>
              </w:rPr>
            </w:pPr>
            <w:r>
              <w:rPr>
                <w:rFonts w:hint="eastAsia" w:ascii="宋体" w:hAnsi="宋体"/>
                <w:sz w:val="18"/>
                <w:szCs w:val="18"/>
                <w:lang w:eastAsia="zh-CN"/>
              </w:rPr>
              <w:t>布设在基坑周边地面，</w:t>
            </w:r>
            <w:r>
              <w:rPr>
                <w:rFonts w:hint="eastAsia" w:ascii="宋体" w:hAnsi="宋体"/>
                <w:sz w:val="18"/>
                <w:szCs w:val="18"/>
              </w:rPr>
              <w:t>监测断面</w:t>
            </w:r>
            <w:r>
              <w:rPr>
                <w:rFonts w:hint="eastAsia" w:ascii="宋体" w:hAnsi="宋体"/>
                <w:sz w:val="18"/>
                <w:szCs w:val="18"/>
                <w:lang w:eastAsia="zh-CN"/>
              </w:rPr>
              <w:t>与坡顶水平</w:t>
            </w:r>
            <w:r>
              <w:rPr>
                <w:rFonts w:hint="eastAsia" w:ascii="宋体" w:hAnsi="宋体"/>
                <w:sz w:val="18"/>
                <w:szCs w:val="18"/>
                <w:lang w:val="en-US" w:eastAsia="zh-CN"/>
              </w:rPr>
              <w:t>/竖向位移在相对基坑相同位置</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7</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水准仪、铟钢尺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eastAsia="zh-CN"/>
              </w:rPr>
              <w:t>7</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eastAsia="zh-CN"/>
              </w:rPr>
              <w:t>坑外水位</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eastAsia="zh-CN"/>
              </w:rPr>
              <w:t>布设在</w:t>
            </w:r>
            <w:r>
              <w:rPr>
                <w:rFonts w:hint="eastAsia" w:ascii="宋体" w:hAnsi="宋体"/>
                <w:sz w:val="18"/>
                <w:szCs w:val="18"/>
              </w:rPr>
              <w:t>基坑角点、长、短边中点部位及部分降水井</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7</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电测水位计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sz w:val="18"/>
                <w:szCs w:val="18"/>
                <w:lang w:val="en-US" w:eastAsia="zh-CN"/>
              </w:rPr>
            </w:pPr>
            <w:r>
              <w:rPr>
                <w:rFonts w:hint="eastAsia" w:ascii="宋体" w:hAnsi="宋体"/>
                <w:sz w:val="18"/>
                <w:szCs w:val="18"/>
                <w:lang w:val="en-US" w:eastAsia="zh-CN"/>
              </w:rPr>
              <w:t>8</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结构内力</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sz w:val="18"/>
                <w:szCs w:val="18"/>
                <w:lang w:eastAsia="zh-CN"/>
              </w:rPr>
            </w:pPr>
            <w:r>
              <w:rPr>
                <w:rFonts w:hint="eastAsia" w:ascii="宋体" w:hAnsi="宋体"/>
                <w:sz w:val="18"/>
                <w:szCs w:val="18"/>
              </w:rPr>
              <w:t>监测点宜设置在围护墙顶</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7</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eastAsia="zh-CN"/>
              </w:rPr>
            </w:pPr>
            <w:r>
              <w:rPr>
                <w:rFonts w:hint="eastAsia" w:ascii="宋体" w:hAnsi="宋体"/>
                <w:sz w:val="18"/>
                <w:szCs w:val="18"/>
                <w:lang w:eastAsia="zh-CN"/>
              </w:rPr>
              <w:t>压力计</w:t>
            </w:r>
          </w:p>
        </w:tc>
      </w:tr>
    </w:tbl>
    <w:p>
      <w:pPr>
        <w:pStyle w:val="4"/>
        <w:bidi w:val="0"/>
        <w:ind w:firstLine="0"/>
        <w:rPr>
          <w:rFonts w:hint="eastAsia" w:ascii="Arial" w:hAnsi="Arial"/>
          <w:b/>
          <w:lang w:val="en-US" w:eastAsia="zh-CN"/>
        </w:rPr>
      </w:pPr>
      <w:r>
        <w:rPr>
          <w:rFonts w:hint="eastAsia" w:ascii="Arial" w:hAnsi="Arial"/>
          <w:b/>
          <w:lang w:val="en-US" w:eastAsia="zh-CN"/>
        </w:rPr>
        <w:t>3.3监测频率</w:t>
      </w:r>
    </w:p>
    <w:p>
      <w:pPr>
        <w:bidi w:val="0"/>
        <w:rPr>
          <w:rFonts w:hint="eastAsia"/>
          <w:lang w:eastAsia="zh-CN"/>
        </w:rPr>
      </w:pPr>
      <w:r>
        <w:rPr>
          <w:rFonts w:hint="eastAsia"/>
        </w:rPr>
        <w:t>根据《建筑基坑工程监测技术</w:t>
      </w:r>
      <w:r>
        <w:rPr>
          <w:rFonts w:hint="eastAsia"/>
          <w:lang w:val="en-US" w:eastAsia="zh-CN"/>
        </w:rPr>
        <w:t>标准</w:t>
      </w:r>
      <w:r>
        <w:rPr>
          <w:rFonts w:hint="eastAsia"/>
        </w:rPr>
        <w:t>》（GB50497-20</w:t>
      </w:r>
      <w:r>
        <w:rPr>
          <w:rFonts w:hint="eastAsia"/>
          <w:lang w:val="en-US" w:eastAsia="zh-CN"/>
        </w:rPr>
        <w:t>1</w:t>
      </w:r>
      <w:r>
        <w:rPr>
          <w:rFonts w:hint="eastAsia"/>
        </w:rPr>
        <w:t>9</w:t>
      </w:r>
      <w:r>
        <w:rPr>
          <w:rFonts w:hint="eastAsia"/>
          <w:lang w:eastAsia="zh-CN"/>
        </w:rPr>
        <w:t>）</w:t>
      </w:r>
      <w:r>
        <w:rPr>
          <w:rFonts w:hint="eastAsia"/>
        </w:rPr>
        <w:t>；基坑监测时间间隔要求，监测工作自始至终要与施工的进度相结合，监测频率应满足施工工况的要求，监测频率详见下表</w:t>
      </w:r>
      <w:r>
        <w:rPr>
          <w:rFonts w:hint="eastAsia"/>
          <w:lang w:eastAsia="zh-CN"/>
        </w:rPr>
        <w:t>：</w:t>
      </w:r>
    </w:p>
    <w:p>
      <w:pPr>
        <w:pStyle w:val="2"/>
        <w:ind w:left="0" w:leftChars="0" w:firstLine="0" w:firstLineChars="0"/>
        <w:jc w:val="center"/>
        <w:rPr>
          <w:rFonts w:hint="eastAsia"/>
          <w:lang w:val="en-US" w:eastAsia="zh-CN"/>
        </w:rPr>
      </w:pPr>
      <w:r>
        <w:rPr>
          <w:rFonts w:hint="eastAsia"/>
          <w:sz w:val="21"/>
          <w:szCs w:val="21"/>
          <w:lang w:val="en-US" w:eastAsia="zh-CN"/>
        </w:rPr>
        <w:t>表3.2 基坑监测频率表</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500" w:type="pct"/>
            <w:gridSpan w:val="2"/>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0" w:name="_Toc11577"/>
            <w:r>
              <w:rPr>
                <w:rFonts w:hint="eastAsia" w:ascii="宋体" w:hAnsi="宋体" w:eastAsia="宋体" w:cs="宋体"/>
                <w:b w:val="0"/>
                <w:bCs w:val="0"/>
                <w:color w:val="000000"/>
                <w:kern w:val="0"/>
                <w:sz w:val="18"/>
                <w:szCs w:val="18"/>
                <w:lang w:val="en-US" w:eastAsia="zh-CN"/>
              </w:rPr>
              <w:t>施工进程</w:t>
            </w:r>
            <w:bookmarkEnd w:id="0"/>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r>
              <w:rPr>
                <w:rFonts w:hint="eastAsia" w:ascii="宋体" w:hAnsi="宋体" w:eastAsia="宋体" w:cs="宋体"/>
                <w:b w:val="0"/>
                <w:bCs w:val="0"/>
                <w:color w:val="000000"/>
                <w:kern w:val="0"/>
                <w:sz w:val="18"/>
                <w:szCs w:val="18"/>
                <w:lang w:val="en-US" w:eastAsia="zh-CN"/>
              </w:rPr>
              <w:t>监测频率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 w:name="_Toc20"/>
            <w:r>
              <w:rPr>
                <w:rFonts w:hint="eastAsia" w:ascii="宋体" w:hAnsi="宋体" w:eastAsia="宋体" w:cs="宋体"/>
                <w:b w:val="0"/>
                <w:bCs w:val="0"/>
                <w:color w:val="000000"/>
                <w:kern w:val="0"/>
                <w:sz w:val="18"/>
                <w:szCs w:val="18"/>
                <w:lang w:val="en-US" w:eastAsia="zh-CN"/>
              </w:rPr>
              <w:t>开挖深度h（m）</w:t>
            </w:r>
            <w:bookmarkEnd w:id="1"/>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2" w:name="_Toc29782"/>
            <w:r>
              <w:rPr>
                <w:rFonts w:hint="eastAsia" w:ascii="宋体" w:hAnsi="宋体" w:eastAsia="宋体" w:cs="宋体"/>
                <w:b w:val="0"/>
                <w:bCs w:val="0"/>
                <w:color w:val="000000"/>
                <w:kern w:val="0"/>
                <w:sz w:val="18"/>
                <w:szCs w:val="18"/>
                <w:lang w:val="en-US" w:eastAsia="zh-CN"/>
              </w:rPr>
              <w:t>≤H/3</w:t>
            </w:r>
            <w:bookmarkEnd w:id="2"/>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3" w:name="_Toc29967"/>
            <w:r>
              <w:rPr>
                <w:rFonts w:hint="eastAsia" w:ascii="宋体" w:hAnsi="宋体" w:eastAsia="宋体" w:cs="宋体"/>
                <w:b w:val="0"/>
                <w:bCs w:val="0"/>
                <w:color w:val="000000"/>
                <w:kern w:val="0"/>
                <w:sz w:val="18"/>
                <w:szCs w:val="18"/>
                <w:lang w:val="en-US" w:eastAsia="zh-CN"/>
              </w:rPr>
              <w:t>1次/3d</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4" w:name="_Toc404"/>
            <w:r>
              <w:rPr>
                <w:rFonts w:hint="eastAsia" w:ascii="宋体" w:hAnsi="宋体" w:eastAsia="宋体" w:cs="宋体"/>
                <w:b w:val="0"/>
                <w:bCs w:val="0"/>
                <w:color w:val="000000"/>
                <w:kern w:val="0"/>
                <w:sz w:val="18"/>
                <w:szCs w:val="18"/>
                <w:lang w:val="en-US" w:eastAsia="zh-CN"/>
              </w:rPr>
              <w:t>H/3～2H/3</w:t>
            </w:r>
            <w:bookmarkEnd w:id="4"/>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5" w:name="_Toc31333"/>
            <w:r>
              <w:rPr>
                <w:rFonts w:hint="eastAsia" w:ascii="宋体" w:hAnsi="宋体" w:eastAsia="宋体" w:cs="宋体"/>
                <w:b w:val="0"/>
                <w:bCs w:val="0"/>
                <w:color w:val="000000"/>
                <w:kern w:val="0"/>
                <w:sz w:val="18"/>
                <w:szCs w:val="18"/>
                <w:lang w:val="en-US" w:eastAsia="zh-CN"/>
              </w:rPr>
              <w:t>1次/2d</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6" w:name="_Toc5507"/>
            <w:r>
              <w:rPr>
                <w:rFonts w:hint="eastAsia" w:ascii="宋体" w:hAnsi="宋体" w:eastAsia="宋体" w:cs="宋体"/>
                <w:b w:val="0"/>
                <w:bCs w:val="0"/>
                <w:color w:val="000000"/>
                <w:kern w:val="0"/>
                <w:sz w:val="18"/>
                <w:szCs w:val="18"/>
                <w:lang w:val="en-US" w:eastAsia="zh-CN"/>
              </w:rPr>
              <w:t>2H/3～H</w:t>
            </w:r>
            <w:bookmarkEnd w:id="6"/>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7" w:name="_Toc20844"/>
            <w:r>
              <w:rPr>
                <w:rFonts w:hint="eastAsia" w:ascii="宋体" w:hAnsi="宋体" w:eastAsia="宋体" w:cs="宋体"/>
                <w:b w:val="0"/>
                <w:bCs w:val="0"/>
                <w:color w:val="000000"/>
                <w:kern w:val="0"/>
                <w:sz w:val="18"/>
                <w:szCs w:val="18"/>
                <w:lang w:val="en-US" w:eastAsia="zh-CN"/>
              </w:rPr>
              <w:t>1次/d</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8" w:name="_Toc23572"/>
            <w:r>
              <w:rPr>
                <w:rFonts w:hint="eastAsia" w:ascii="宋体" w:hAnsi="宋体" w:eastAsia="宋体" w:cs="宋体"/>
                <w:b w:val="0"/>
                <w:bCs w:val="0"/>
                <w:color w:val="000000"/>
                <w:kern w:val="0"/>
                <w:sz w:val="18"/>
                <w:szCs w:val="18"/>
                <w:lang w:val="en-US" w:eastAsia="zh-CN"/>
              </w:rPr>
              <w:t>底板浇筑后时间（d）</w:t>
            </w:r>
            <w:bookmarkEnd w:id="8"/>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9" w:name="_Toc3680"/>
            <w:r>
              <w:rPr>
                <w:rFonts w:hint="eastAsia" w:ascii="宋体" w:hAnsi="宋体" w:eastAsia="宋体" w:cs="宋体"/>
                <w:b w:val="0"/>
                <w:bCs w:val="0"/>
                <w:color w:val="000000"/>
                <w:kern w:val="0"/>
                <w:sz w:val="18"/>
                <w:szCs w:val="18"/>
                <w:lang w:val="en-US" w:eastAsia="zh-CN"/>
              </w:rPr>
              <w:t>≤7</w:t>
            </w:r>
            <w:bookmarkEnd w:id="9"/>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0" w:name="_Toc6246"/>
            <w:r>
              <w:rPr>
                <w:rFonts w:hint="eastAsia" w:ascii="宋体" w:hAnsi="宋体" w:eastAsia="宋体" w:cs="宋体"/>
                <w:b w:val="0"/>
                <w:bCs w:val="0"/>
                <w:color w:val="000000"/>
                <w:kern w:val="0"/>
                <w:sz w:val="18"/>
                <w:szCs w:val="18"/>
                <w:lang w:val="en-US" w:eastAsia="zh-CN"/>
              </w:rPr>
              <w:t>1次/2d</w:t>
            </w:r>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1" w:name="_Toc4231"/>
            <w:r>
              <w:rPr>
                <w:rFonts w:hint="eastAsia" w:ascii="宋体" w:hAnsi="宋体" w:eastAsia="宋体" w:cs="宋体"/>
                <w:b w:val="0"/>
                <w:bCs w:val="0"/>
                <w:color w:val="000000"/>
                <w:kern w:val="0"/>
                <w:sz w:val="18"/>
                <w:szCs w:val="18"/>
                <w:lang w:val="en-US" w:eastAsia="zh-CN"/>
              </w:rPr>
              <w:t>7～14</w:t>
            </w:r>
            <w:bookmarkEnd w:id="11"/>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2" w:name="_Toc15032"/>
            <w:r>
              <w:rPr>
                <w:rFonts w:hint="eastAsia" w:ascii="宋体" w:hAnsi="宋体" w:eastAsia="宋体" w:cs="宋体"/>
                <w:b w:val="0"/>
                <w:bCs w:val="0"/>
                <w:color w:val="000000"/>
                <w:kern w:val="0"/>
                <w:sz w:val="18"/>
                <w:szCs w:val="18"/>
                <w:lang w:val="en-US" w:eastAsia="zh-CN"/>
              </w:rPr>
              <w:t>1次/3d</w:t>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3" w:name="_Toc17622"/>
            <w:r>
              <w:rPr>
                <w:rFonts w:hint="eastAsia" w:ascii="宋体" w:hAnsi="宋体" w:eastAsia="宋体" w:cs="宋体"/>
                <w:b w:val="0"/>
                <w:bCs w:val="0"/>
                <w:color w:val="000000"/>
                <w:kern w:val="0"/>
                <w:sz w:val="18"/>
                <w:szCs w:val="18"/>
                <w:lang w:val="en-US" w:eastAsia="zh-CN"/>
              </w:rPr>
              <w:t>14～28</w:t>
            </w:r>
            <w:bookmarkEnd w:id="13"/>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4" w:name="_Toc2845"/>
            <w:r>
              <w:rPr>
                <w:rFonts w:hint="eastAsia" w:ascii="宋体" w:hAnsi="宋体" w:eastAsia="宋体" w:cs="宋体"/>
                <w:b w:val="0"/>
                <w:bCs w:val="0"/>
                <w:color w:val="000000"/>
                <w:kern w:val="0"/>
                <w:sz w:val="18"/>
                <w:szCs w:val="18"/>
                <w:lang w:val="en-US" w:eastAsia="zh-CN"/>
              </w:rPr>
              <w:t>1次/7d</w:t>
            </w:r>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5" w:name="_Toc20056"/>
            <w:r>
              <w:rPr>
                <w:rFonts w:hint="eastAsia" w:ascii="宋体" w:hAnsi="宋体" w:eastAsia="宋体" w:cs="宋体"/>
                <w:b w:val="0"/>
                <w:bCs w:val="0"/>
                <w:color w:val="000000"/>
                <w:kern w:val="0"/>
                <w:sz w:val="18"/>
                <w:szCs w:val="18"/>
                <w:lang w:val="en-US" w:eastAsia="zh-CN"/>
              </w:rPr>
              <w:t>＞28</w:t>
            </w:r>
            <w:bookmarkEnd w:id="15"/>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6" w:name="_Toc13993"/>
            <w:r>
              <w:rPr>
                <w:rFonts w:hint="eastAsia" w:ascii="宋体" w:hAnsi="宋体" w:eastAsia="宋体" w:cs="宋体"/>
                <w:b w:val="0"/>
                <w:bCs w:val="0"/>
                <w:color w:val="000000"/>
                <w:kern w:val="0"/>
                <w:sz w:val="18"/>
                <w:szCs w:val="18"/>
                <w:lang w:val="en-US" w:eastAsia="zh-CN"/>
              </w:rPr>
              <w:t>1次/10d</w:t>
            </w:r>
            <w:bookmarkEnd w:id="16"/>
          </w:p>
        </w:tc>
      </w:tr>
    </w:tbl>
    <w:p>
      <w:pPr>
        <w:pStyle w:val="4"/>
        <w:bidi w:val="0"/>
        <w:ind w:firstLine="0"/>
        <w:rPr>
          <w:rFonts w:hint="eastAsia" w:ascii="Arial" w:hAnsi="Arial"/>
          <w:b/>
          <w:lang w:val="en-US" w:eastAsia="zh-CN"/>
        </w:rPr>
      </w:pPr>
      <w:r>
        <w:rPr>
          <w:rFonts w:hint="eastAsia" w:ascii="Arial" w:hAnsi="Arial"/>
          <w:b/>
          <w:lang w:val="en-US" w:eastAsia="zh-CN"/>
        </w:rPr>
        <w:t>3.4监测预警值</w:t>
      </w:r>
    </w:p>
    <w:p>
      <w:pPr>
        <w:rPr>
          <w:rFonts w:hint="eastAsia"/>
          <w:lang w:val="en-US" w:eastAsia="zh-CN"/>
        </w:rPr>
      </w:pPr>
      <w:r>
        <w:rPr>
          <w:rFonts w:hint="eastAsia"/>
        </w:rPr>
        <w:t>根据《建筑基坑工程监测技术</w:t>
      </w:r>
      <w:r>
        <w:rPr>
          <w:rFonts w:hint="eastAsia"/>
          <w:lang w:val="en-US" w:eastAsia="zh-CN"/>
        </w:rPr>
        <w:t>标准</w:t>
      </w:r>
      <w:r>
        <w:rPr>
          <w:rFonts w:hint="eastAsia"/>
        </w:rPr>
        <w:t>》（GB50497-20</w:t>
      </w:r>
      <w:r>
        <w:rPr>
          <w:rFonts w:hint="eastAsia"/>
          <w:lang w:val="en-US" w:eastAsia="zh-CN"/>
        </w:rPr>
        <w:t>1</w:t>
      </w:r>
      <w:r>
        <w:rPr>
          <w:rFonts w:hint="eastAsia"/>
        </w:rPr>
        <w:t>9</w:t>
      </w:r>
      <w:r>
        <w:rPr>
          <w:rFonts w:hint="eastAsia"/>
          <w:lang w:eastAsia="zh-CN"/>
        </w:rPr>
        <w:t>）</w:t>
      </w:r>
      <w:r>
        <w:rPr>
          <w:rFonts w:hint="eastAsia"/>
        </w:rPr>
        <w:t>；监测预警值应包括监测项目的累计变化预警值和变化速率预警值。基坑及支护结构监测预警值应根据基坑设计安全等级、工程地质条件、设计计算结果及当地工程经验等因素确定。</w:t>
      </w:r>
    </w:p>
    <w:p>
      <w:pPr>
        <w:pStyle w:val="2"/>
        <w:ind w:left="0" w:leftChars="0" w:firstLine="0" w:firstLineChars="0"/>
        <w:jc w:val="center"/>
        <w:rPr>
          <w:rFonts w:hint="eastAsia"/>
          <w:lang w:val="en-US" w:eastAsia="zh-CN"/>
        </w:rPr>
      </w:pPr>
      <w:r>
        <w:rPr>
          <w:rFonts w:hint="eastAsia"/>
          <w:sz w:val="21"/>
          <w:szCs w:val="21"/>
          <w:lang w:val="en-US" w:eastAsia="zh-CN"/>
        </w:rPr>
        <w:t>表3.3 基坑监测预警值表</w:t>
      </w:r>
    </w:p>
    <w:tbl>
      <w:tblPr>
        <w:tblStyle w:val="7"/>
        <w:tblW w:w="5132"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678"/>
        <w:gridCol w:w="1672"/>
        <w:gridCol w:w="3440"/>
        <w:gridCol w:w="275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7"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序号</w:t>
            </w:r>
          </w:p>
        </w:tc>
        <w:tc>
          <w:tcPr>
            <w:tcW w:w="978"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监测项目</w:t>
            </w:r>
          </w:p>
        </w:tc>
        <w:tc>
          <w:tcPr>
            <w:tcW w:w="2012"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累计变化量预警值</w:t>
            </w:r>
          </w:p>
        </w:tc>
        <w:tc>
          <w:tcPr>
            <w:tcW w:w="1612"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变化速率预警值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7"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val="en-US" w:eastAsia="zh-CN"/>
              </w:rPr>
            </w:pPr>
            <w:r>
              <w:rPr>
                <w:rFonts w:hint="eastAsia" w:ascii="宋体" w:hAnsi="宋体"/>
                <w:sz w:val="18"/>
                <w:szCs w:val="18"/>
                <w:lang w:val="en-US" w:eastAsia="zh-CN"/>
              </w:rPr>
              <w:t>1</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坡顶水平位移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±50mm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±5mm/d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7"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val="en-US" w:eastAsia="zh-CN"/>
              </w:rPr>
            </w:pPr>
            <w:r>
              <w:rPr>
                <w:rFonts w:hint="eastAsia" w:ascii="宋体" w:hAnsi="宋体"/>
                <w:sz w:val="18"/>
                <w:szCs w:val="18"/>
                <w:lang w:val="en-US" w:eastAsia="zh-CN"/>
              </w:rPr>
              <w:t>2</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坡顶竖向位移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7"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sz w:val="18"/>
                <w:szCs w:val="18"/>
                <w:lang w:val="en-US" w:eastAsia="zh-CN"/>
              </w:rPr>
            </w:pPr>
            <w:r>
              <w:rPr>
                <w:rFonts w:hint="eastAsia" w:ascii="宋体" w:hAnsi="宋体" w:eastAsia="宋体"/>
                <w:sz w:val="18"/>
                <w:szCs w:val="18"/>
                <w:lang w:val="en-US" w:eastAsia="zh-CN"/>
              </w:rPr>
              <w:t>3</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桩顶水平位移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±50mm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val="en-US" w:eastAsia="zh-CN"/>
              </w:rPr>
              <w:t>±5mm/d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7"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桩顶竖向位移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±40mm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7"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5</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eastAsia="zh-CN"/>
              </w:rPr>
            </w:pPr>
            <w:r>
              <w:rPr>
                <w:rFonts w:hint="eastAsia" w:ascii="宋体" w:hAnsi="宋体"/>
                <w:sz w:val="18"/>
                <w:szCs w:val="18"/>
                <w:lang w:eastAsia="zh-CN"/>
              </w:rPr>
              <w:t>周边地表竖向位移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±55mm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sz w:val="18"/>
                <w:szCs w:val="18"/>
                <w:lang w:val="en-US" w:eastAsia="zh-CN"/>
              </w:rPr>
            </w:pPr>
            <w:r>
              <w:rPr>
                <w:rFonts w:hint="eastAsia" w:ascii="宋体" w:hAnsi="宋体"/>
                <w:sz w:val="18"/>
                <w:szCs w:val="18"/>
                <w:lang w:val="en-US" w:eastAsia="zh-CN"/>
              </w:rPr>
              <w:t>±5mm/d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678"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6</w:t>
            </w:r>
          </w:p>
        </w:tc>
        <w:tc>
          <w:tcPr>
            <w:tcW w:w="1672"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坑外</w:t>
            </w:r>
            <w:r>
              <w:rPr>
                <w:rFonts w:hint="eastAsia" w:ascii="宋体" w:hAnsi="宋体"/>
                <w:sz w:val="18"/>
                <w:szCs w:val="18"/>
              </w:rPr>
              <w:t>水位</w:t>
            </w:r>
          </w:p>
        </w:tc>
        <w:tc>
          <w:tcPr>
            <w:tcW w:w="3440"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±1000mm</w:t>
            </w:r>
          </w:p>
        </w:tc>
        <w:tc>
          <w:tcPr>
            <w:tcW w:w="2756" w:type="dxa"/>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±500mm</w:t>
            </w:r>
          </w:p>
        </w:tc>
      </w:tr>
    </w:tbl>
    <w:p>
      <w:pPr>
        <w:pStyle w:val="3"/>
        <w:numPr>
          <w:ilvl w:val="0"/>
          <w:numId w:val="1"/>
        </w:numPr>
        <w:bidi w:val="0"/>
        <w:ind w:left="425" w:leftChars="0" w:hanging="425" w:firstLineChars="0"/>
        <w:rPr>
          <w:rFonts w:hint="default"/>
          <w:b/>
          <w:lang w:val="en-US" w:eastAsia="zh-CN"/>
        </w:rPr>
      </w:pPr>
      <w:r>
        <w:rPr>
          <w:rFonts w:hint="eastAsia"/>
          <w:b/>
          <w:lang w:val="en-US" w:eastAsia="zh-CN"/>
        </w:rPr>
        <w:t>监测工作方案</w:t>
      </w:r>
    </w:p>
    <w:p>
      <w:pPr>
        <w:pStyle w:val="4"/>
        <w:bidi w:val="0"/>
        <w:ind w:firstLine="0"/>
        <w:rPr>
          <w:rFonts w:hint="eastAsia" w:ascii="Arial" w:hAnsi="Arial" w:eastAsia="宋体"/>
          <w:b/>
          <w:lang w:val="en-US" w:eastAsia="zh-CN"/>
        </w:rPr>
      </w:pPr>
      <w:bookmarkStart w:id="17" w:name="_Toc32754"/>
      <w:bookmarkStart w:id="18" w:name="_Toc388787201"/>
      <w:bookmarkStart w:id="19" w:name="_Toc24187"/>
      <w:r>
        <w:rPr>
          <w:rFonts w:hint="eastAsia" w:ascii="Arial" w:hAnsi="Arial" w:eastAsia="宋体"/>
          <w:b/>
          <w:lang w:val="en-US" w:eastAsia="zh-CN"/>
        </w:rPr>
        <w:t>4.1 初始调查</w:t>
      </w:r>
      <w:bookmarkEnd w:id="17"/>
      <w:bookmarkEnd w:id="18"/>
      <w:bookmarkEnd w:id="19"/>
    </w:p>
    <w:p>
      <w:pPr>
        <w:spacing w:line="360" w:lineRule="auto"/>
        <w:ind w:firstLine="480" w:firstLineChars="200"/>
        <w:rPr>
          <w:rFonts w:hint="eastAsia" w:ascii="宋体" w:hAnsi="宋体"/>
          <w:sz w:val="24"/>
          <w:szCs w:val="24"/>
        </w:rPr>
      </w:pPr>
      <w:r>
        <w:rPr>
          <w:rFonts w:hint="eastAsia" w:ascii="宋体" w:hAnsi="宋体"/>
          <w:sz w:val="24"/>
          <w:szCs w:val="24"/>
        </w:rPr>
        <w:t>在施工前对施工影响区域内的建（构）筑物、重要管线、不良地质、等进行初始调查，了解设计意图，掌握施工现场重大风险源，收集相关文字及影像资料，为监测方案的编制以及后期工作的顺利开展做好准备。</w:t>
      </w:r>
    </w:p>
    <w:p>
      <w:pPr>
        <w:pStyle w:val="4"/>
        <w:bidi w:val="0"/>
        <w:ind w:firstLine="0"/>
        <w:rPr>
          <w:rFonts w:hint="eastAsia" w:ascii="Arial" w:hAnsi="Arial" w:eastAsia="宋体"/>
          <w:b/>
          <w:lang w:val="en-US" w:eastAsia="zh-CN"/>
        </w:rPr>
      </w:pPr>
      <w:bookmarkStart w:id="20" w:name="_Toc23900"/>
      <w:bookmarkStart w:id="21" w:name="_Toc6269"/>
      <w:bookmarkStart w:id="22" w:name="_Toc388787202"/>
      <w:r>
        <w:rPr>
          <w:rFonts w:hint="eastAsia" w:ascii="Arial" w:hAnsi="Arial" w:eastAsia="宋体"/>
          <w:b/>
          <w:lang w:val="en-US" w:eastAsia="zh-CN"/>
        </w:rPr>
        <w:t>4.2 编制监测方案</w:t>
      </w:r>
      <w:bookmarkEnd w:id="20"/>
      <w:bookmarkEnd w:id="21"/>
      <w:bookmarkEnd w:id="22"/>
    </w:p>
    <w:p>
      <w:pPr>
        <w:spacing w:line="360" w:lineRule="auto"/>
        <w:ind w:firstLine="480" w:firstLineChars="200"/>
        <w:rPr>
          <w:rFonts w:hint="eastAsia" w:ascii="宋体" w:hAnsi="宋体"/>
          <w:sz w:val="24"/>
          <w:szCs w:val="24"/>
        </w:rPr>
      </w:pPr>
      <w:r>
        <w:rPr>
          <w:rFonts w:hint="eastAsia" w:ascii="宋体" w:hAnsi="宋体"/>
          <w:sz w:val="24"/>
          <w:szCs w:val="24"/>
        </w:rPr>
        <w:t>监测单位按照招标文件技术要求、监测招标图纸、土建施工图监测设计方案并结合现场实际情况编制监测方案。</w:t>
      </w:r>
    </w:p>
    <w:p>
      <w:pPr>
        <w:pStyle w:val="4"/>
        <w:bidi w:val="0"/>
        <w:ind w:firstLine="0"/>
        <w:rPr>
          <w:rFonts w:hint="eastAsia" w:ascii="Arial" w:hAnsi="Arial" w:eastAsia="宋体"/>
          <w:b/>
          <w:lang w:val="en-US" w:eastAsia="zh-CN"/>
        </w:rPr>
      </w:pPr>
      <w:bookmarkStart w:id="23" w:name="_Toc388787204"/>
      <w:bookmarkStart w:id="24" w:name="_Toc12443"/>
      <w:bookmarkStart w:id="25" w:name="_Toc18165"/>
      <w:r>
        <w:rPr>
          <w:rFonts w:hint="eastAsia" w:ascii="Arial" w:hAnsi="Arial" w:eastAsia="宋体"/>
          <w:b/>
          <w:lang w:val="en-US" w:eastAsia="zh-CN"/>
        </w:rPr>
        <w:t>4.3 监测点布设、验收及初始值</w:t>
      </w:r>
      <w:bookmarkEnd w:id="23"/>
      <w:r>
        <w:rPr>
          <w:rFonts w:hint="eastAsia" w:ascii="Arial" w:hAnsi="Arial" w:eastAsia="宋体"/>
          <w:b/>
          <w:lang w:val="en-US" w:eastAsia="zh-CN"/>
        </w:rPr>
        <w:t>的测定</w:t>
      </w:r>
      <w:bookmarkEnd w:id="24"/>
      <w:bookmarkEnd w:id="25"/>
    </w:p>
    <w:p>
      <w:pPr>
        <w:spacing w:line="360" w:lineRule="auto"/>
        <w:ind w:firstLine="480" w:firstLineChars="200"/>
        <w:rPr>
          <w:rFonts w:hint="eastAsia" w:ascii="宋体" w:hAnsi="宋体"/>
          <w:sz w:val="24"/>
          <w:szCs w:val="24"/>
        </w:rPr>
      </w:pPr>
      <w:r>
        <w:rPr>
          <w:rFonts w:hint="eastAsia" w:ascii="宋体" w:hAnsi="宋体"/>
          <w:sz w:val="24"/>
          <w:szCs w:val="24"/>
        </w:rPr>
        <w:t>监测单位按照设计图纸及相关规范要求</w:t>
      </w:r>
      <w:r>
        <w:rPr>
          <w:rFonts w:hint="eastAsia" w:ascii="宋体" w:hAnsi="宋体"/>
          <w:sz w:val="24"/>
          <w:szCs w:val="24"/>
          <w:lang w:eastAsia="zh-CN"/>
        </w:rPr>
        <w:t>埋设监测点</w:t>
      </w:r>
      <w:r>
        <w:rPr>
          <w:rFonts w:hint="eastAsia" w:ascii="宋体" w:hAnsi="宋体"/>
          <w:sz w:val="24"/>
          <w:szCs w:val="24"/>
        </w:rPr>
        <w:t>。在施工降水前或施工开始前所有监测点应布设完毕</w:t>
      </w:r>
      <w:r>
        <w:rPr>
          <w:rFonts w:hint="eastAsia" w:ascii="宋体" w:hAnsi="宋体"/>
          <w:sz w:val="24"/>
          <w:szCs w:val="24"/>
          <w:lang w:eastAsia="zh-CN"/>
        </w:rPr>
        <w:t>。连续对监测点观测三次，将所得成果取平均值后，确定</w:t>
      </w:r>
      <w:r>
        <w:rPr>
          <w:rFonts w:hint="eastAsia" w:ascii="宋体" w:hAnsi="宋体"/>
          <w:sz w:val="24"/>
          <w:szCs w:val="24"/>
        </w:rPr>
        <w:t>监测点的初始观测值。</w:t>
      </w:r>
    </w:p>
    <w:p>
      <w:pPr>
        <w:pStyle w:val="4"/>
        <w:bidi w:val="0"/>
        <w:ind w:firstLine="0"/>
        <w:rPr>
          <w:rFonts w:hint="eastAsia" w:ascii="Arial" w:hAnsi="Arial" w:eastAsia="宋体"/>
          <w:b/>
          <w:lang w:val="en-US" w:eastAsia="zh-CN"/>
        </w:rPr>
      </w:pPr>
      <w:bookmarkStart w:id="26" w:name="_Toc388787205"/>
      <w:bookmarkStart w:id="27" w:name="_Toc22733"/>
      <w:bookmarkStart w:id="28" w:name="_Toc31914"/>
      <w:r>
        <w:rPr>
          <w:rFonts w:hint="eastAsia" w:ascii="Arial" w:hAnsi="Arial" w:eastAsia="宋体"/>
          <w:b/>
          <w:lang w:val="en-US" w:eastAsia="zh-CN"/>
        </w:rPr>
        <w:t>4.4 现场监测及巡</w:t>
      </w:r>
      <w:bookmarkEnd w:id="26"/>
      <w:r>
        <w:rPr>
          <w:rFonts w:hint="eastAsia" w:ascii="Arial" w:hAnsi="Arial" w:eastAsia="宋体"/>
          <w:b/>
          <w:lang w:val="en-US" w:eastAsia="zh-CN"/>
        </w:rPr>
        <w:t>查</w:t>
      </w:r>
      <w:bookmarkEnd w:id="27"/>
      <w:bookmarkEnd w:id="28"/>
    </w:p>
    <w:p>
      <w:pPr>
        <w:spacing w:line="360" w:lineRule="auto"/>
        <w:ind w:firstLine="480" w:firstLineChars="200"/>
        <w:rPr>
          <w:rFonts w:hint="eastAsia" w:ascii="宋体" w:hAnsi="宋体"/>
          <w:sz w:val="24"/>
          <w:szCs w:val="24"/>
        </w:rPr>
      </w:pPr>
      <w:r>
        <w:rPr>
          <w:rFonts w:hint="eastAsia" w:ascii="宋体" w:hAnsi="宋体"/>
          <w:sz w:val="24"/>
          <w:szCs w:val="24"/>
        </w:rPr>
        <w:t>现场监测工作严格按照监测方案实施，实施前应检核基准点或工作基点，确保监测起算数据准确，原始记录应使用规范表格，记录信息及人员签字齐全，监测工作结束后现场进行复核，确保外业数据准确无误。根据施工实际情况，在施工现场进行施工影响区环境安全状况的巡查，发现问题及时通知业主及相关管理单位，确保施工影响区环境安全。</w:t>
      </w:r>
    </w:p>
    <w:p>
      <w:pPr>
        <w:pStyle w:val="4"/>
        <w:bidi w:val="0"/>
        <w:ind w:firstLine="0"/>
        <w:rPr>
          <w:rFonts w:hint="eastAsia" w:ascii="Arial" w:hAnsi="Arial" w:eastAsia="宋体"/>
          <w:b/>
          <w:lang w:val="en-US" w:eastAsia="zh-CN"/>
        </w:rPr>
      </w:pPr>
      <w:bookmarkStart w:id="29" w:name="_Toc4488"/>
      <w:bookmarkStart w:id="30" w:name="_Toc388787206"/>
      <w:bookmarkStart w:id="31" w:name="_Toc18569"/>
      <w:r>
        <w:rPr>
          <w:rFonts w:hint="eastAsia" w:ascii="Arial" w:hAnsi="Arial" w:eastAsia="宋体"/>
          <w:b/>
          <w:lang w:val="en-US" w:eastAsia="zh-CN"/>
        </w:rPr>
        <w:t>4.5 监测信息反馈</w:t>
      </w:r>
      <w:bookmarkEnd w:id="29"/>
      <w:bookmarkEnd w:id="30"/>
      <w:bookmarkEnd w:id="31"/>
    </w:p>
    <w:p>
      <w:pPr>
        <w:spacing w:line="360" w:lineRule="auto"/>
        <w:ind w:firstLine="480" w:firstLineChars="200"/>
        <w:rPr>
          <w:rFonts w:hint="eastAsia" w:ascii="宋体" w:hAnsi="宋体"/>
          <w:sz w:val="24"/>
          <w:szCs w:val="24"/>
        </w:rPr>
      </w:pPr>
      <w:r>
        <w:rPr>
          <w:rFonts w:hint="eastAsia" w:ascii="宋体" w:hAnsi="宋体"/>
          <w:sz w:val="24"/>
          <w:szCs w:val="24"/>
        </w:rPr>
        <w:t>监测数据应及时进行分析处理，形成</w:t>
      </w:r>
      <w:r>
        <w:rPr>
          <w:rFonts w:hint="eastAsia" w:ascii="宋体" w:hAnsi="宋体"/>
          <w:sz w:val="24"/>
          <w:szCs w:val="24"/>
          <w:lang w:eastAsia="zh-CN"/>
        </w:rPr>
        <w:t>日报、</w:t>
      </w:r>
      <w:r>
        <w:rPr>
          <w:rFonts w:hint="eastAsia" w:ascii="宋体" w:hAnsi="宋体"/>
          <w:sz w:val="24"/>
          <w:szCs w:val="24"/>
        </w:rPr>
        <w:t>周报、月报等监测成果报告，如有特殊情况根据需要编制警情快报或阶段性分析报告。当出现预警或严重隐患情况时，应第一时间以电话或电子文件形式上报，之后再作书面报告。</w:t>
      </w:r>
    </w:p>
    <w:p>
      <w:pPr>
        <w:pStyle w:val="4"/>
        <w:bidi w:val="0"/>
        <w:ind w:firstLine="0"/>
        <w:rPr>
          <w:rFonts w:hint="eastAsia" w:ascii="Arial" w:hAnsi="Arial" w:eastAsia="宋体"/>
          <w:b/>
          <w:lang w:val="en-US" w:eastAsia="zh-CN"/>
        </w:rPr>
      </w:pPr>
      <w:bookmarkStart w:id="32" w:name="_Toc388787208"/>
      <w:bookmarkStart w:id="33" w:name="_Toc2119"/>
      <w:bookmarkStart w:id="34" w:name="_Toc11519"/>
      <w:r>
        <w:rPr>
          <w:rFonts w:hint="eastAsia" w:ascii="Arial" w:hAnsi="Arial" w:eastAsia="宋体"/>
          <w:b/>
          <w:lang w:val="en-US" w:eastAsia="zh-CN"/>
        </w:rPr>
        <w:t>4.6 申请停测</w:t>
      </w:r>
      <w:bookmarkEnd w:id="32"/>
      <w:bookmarkEnd w:id="33"/>
      <w:bookmarkEnd w:id="34"/>
    </w:p>
    <w:p>
      <w:pPr>
        <w:spacing w:line="360" w:lineRule="auto"/>
        <w:ind w:firstLine="480" w:firstLineChars="200"/>
        <w:rPr>
          <w:rFonts w:hint="eastAsia" w:ascii="宋体" w:hAnsi="宋体"/>
          <w:sz w:val="24"/>
          <w:szCs w:val="24"/>
        </w:rPr>
      </w:pPr>
      <w:r>
        <w:rPr>
          <w:rFonts w:hint="eastAsia" w:ascii="宋体" w:hAnsi="宋体"/>
          <w:sz w:val="24"/>
          <w:szCs w:val="24"/>
        </w:rPr>
        <w:t>监测单位按照相关规范及合同要求停止监测工作时，须提前向业主和相关管理单位提交停测申请，经批准后方可停止监测工作。</w:t>
      </w:r>
      <w:bookmarkStart w:id="35" w:name="_Toc388787209"/>
    </w:p>
    <w:p>
      <w:pPr>
        <w:pStyle w:val="4"/>
        <w:bidi w:val="0"/>
        <w:ind w:firstLine="0"/>
        <w:rPr>
          <w:rFonts w:hint="eastAsia" w:ascii="Arial" w:hAnsi="Arial" w:eastAsia="宋体"/>
          <w:b/>
          <w:lang w:val="en-US" w:eastAsia="zh-CN"/>
        </w:rPr>
      </w:pPr>
      <w:bookmarkStart w:id="36" w:name="_Toc3411"/>
      <w:bookmarkStart w:id="37" w:name="_Toc9244"/>
      <w:r>
        <w:rPr>
          <w:rFonts w:hint="eastAsia" w:ascii="Arial" w:hAnsi="Arial" w:eastAsia="宋体"/>
          <w:b/>
          <w:lang w:val="en-US" w:eastAsia="zh-CN"/>
        </w:rPr>
        <w:t>4.7 编写竣工总结报告</w:t>
      </w:r>
      <w:bookmarkEnd w:id="35"/>
      <w:bookmarkEnd w:id="36"/>
      <w:bookmarkEnd w:id="37"/>
    </w:p>
    <w:p>
      <w:pPr>
        <w:spacing w:line="360" w:lineRule="auto"/>
        <w:ind w:firstLine="480" w:firstLineChars="200"/>
        <w:rPr>
          <w:rFonts w:hint="default"/>
          <w:lang w:val="en-US" w:eastAsia="zh-CN"/>
        </w:rPr>
      </w:pPr>
      <w:r>
        <w:rPr>
          <w:rFonts w:hint="eastAsia" w:ascii="宋体" w:hAnsi="宋体"/>
          <w:sz w:val="24"/>
          <w:szCs w:val="24"/>
        </w:rPr>
        <w:t>监测工作停止后，应按照业主和相关管理单位的要求及时编写整个施工过程的监测工作总结报告，并存档备案。</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6ED2CE"/>
    <w:multiLevelType w:val="singleLevel"/>
    <w:tmpl w:val="986ED2CE"/>
    <w:lvl w:ilvl="0" w:tentative="0">
      <w:start w:val="1"/>
      <w:numFmt w:val="decimal"/>
      <w:suff w:val="nothing"/>
      <w:lvlText w:val="（%1）"/>
      <w:lvlJc w:val="left"/>
    </w:lvl>
  </w:abstractNum>
  <w:abstractNum w:abstractNumId="1">
    <w:nsid w:val="C5C2E317"/>
    <w:multiLevelType w:val="singleLevel"/>
    <w:tmpl w:val="C5C2E317"/>
    <w:lvl w:ilvl="0" w:tentative="0">
      <w:start w:val="1"/>
      <w:numFmt w:val="decimal"/>
      <w:lvlText w:val="%1."/>
      <w:lvlJc w:val="left"/>
      <w:pPr>
        <w:ind w:left="425" w:hanging="425"/>
      </w:pPr>
      <w:rPr>
        <w:rFonts w:hint="default"/>
      </w:rPr>
    </w:lvl>
  </w:abstractNum>
  <w:abstractNum w:abstractNumId="2">
    <w:nsid w:val="F57CE85E"/>
    <w:multiLevelType w:val="singleLevel"/>
    <w:tmpl w:val="F57CE85E"/>
    <w:lvl w:ilvl="0" w:tentative="0">
      <w:start w:val="1"/>
      <w:numFmt w:val="decimal"/>
      <w:lvlText w:val="%1."/>
      <w:lvlJc w:val="left"/>
      <w:pPr>
        <w:ind w:left="425" w:hanging="425"/>
      </w:pPr>
      <w:rPr>
        <w:rFonts w:hint="default"/>
      </w:rPr>
    </w:lvl>
  </w:abstractNum>
  <w:abstractNum w:abstractNumId="3">
    <w:nsid w:val="745E19C5"/>
    <w:multiLevelType w:val="singleLevel"/>
    <w:tmpl w:val="745E19C5"/>
    <w:lvl w:ilvl="0" w:tentative="0">
      <w:start w:val="2"/>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YThlMzdhMTA4ZGE5NDhmYjA3ZTRiYjQyOWY1NGUifQ=="/>
  </w:docVars>
  <w:rsids>
    <w:rsidRoot w:val="00000000"/>
    <w:rsid w:val="201E1A0B"/>
    <w:rsid w:val="2905100D"/>
    <w:rsid w:val="37011A6E"/>
    <w:rsid w:val="3C524EFE"/>
    <w:rsid w:val="572A26BB"/>
    <w:rsid w:val="5A864B12"/>
    <w:rsid w:val="727E4E50"/>
    <w:rsid w:val="75B50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880" w:firstLineChars="200"/>
      <w:jc w:val="both"/>
    </w:pPr>
    <w:rPr>
      <w:rFonts w:asciiTheme="minorAscii" w:hAnsiTheme="minorAscii" w:eastAsiaTheme="minorEastAsia" w:cstheme="minorBidi"/>
      <w:kern w:val="2"/>
      <w:sz w:val="24"/>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ind w:firstLine="0" w:firstLineChars="0"/>
      <w:outlineLvl w:val="0"/>
    </w:pPr>
    <w:rPr>
      <w:b/>
      <w:kern w:val="44"/>
      <w:sz w:val="28"/>
    </w:rPr>
  </w:style>
  <w:style w:type="paragraph" w:styleId="4">
    <w:name w:val="heading 2"/>
    <w:basedOn w:val="1"/>
    <w:next w:val="1"/>
    <w:unhideWhenUsed/>
    <w:qFormat/>
    <w:uiPriority w:val="0"/>
    <w:pPr>
      <w:keepNext/>
      <w:keepLines/>
      <w:spacing w:beforeLines="0" w:beforeAutospacing="0" w:afterLines="0" w:afterAutospacing="0" w:line="360" w:lineRule="auto"/>
      <w:ind w:firstLine="0" w:firstLineChars="0"/>
      <w:outlineLvl w:val="1"/>
    </w:pPr>
    <w:rPr>
      <w:rFonts w:ascii="Arial" w:hAnsi="Arial" w:eastAsia="宋体"/>
      <w:b/>
      <w:sz w:val="24"/>
    </w:rPr>
  </w:style>
  <w:style w:type="character" w:default="1" w:styleId="9">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autoSpaceDE w:val="0"/>
      <w:autoSpaceDN w:val="0"/>
      <w:adjustRightInd w:val="0"/>
      <w:spacing w:line="360" w:lineRule="auto"/>
      <w:ind w:left="147" w:right="246" w:firstLine="480"/>
    </w:pPr>
    <w:rPr>
      <w:rFonts w:ascii="宋体" w:hAnsi="宋体"/>
      <w:kern w:val="0"/>
      <w:sz w:val="24"/>
    </w:rPr>
  </w:style>
  <w:style w:type="paragraph" w:styleId="5">
    <w:name w:val="Body Text Indent"/>
    <w:basedOn w:val="1"/>
    <w:next w:val="1"/>
    <w:autoRedefine/>
    <w:qFormat/>
    <w:uiPriority w:val="0"/>
    <w:pPr>
      <w:spacing w:line="19" w:lineRule="auto"/>
      <w:ind w:firstLine="560" w:firstLineChars="200"/>
      <w:jc w:val="left"/>
    </w:pPr>
    <w:rPr>
      <w:sz w:val="28"/>
    </w:rPr>
  </w:style>
  <w:style w:type="paragraph" w:styleId="6">
    <w:name w:val="Body Text First Indent 2"/>
    <w:basedOn w:val="5"/>
    <w:unhideWhenUsed/>
    <w:qFormat/>
    <w:uiPriority w:val="0"/>
    <w:pPr>
      <w:ind w:firstLine="420" w:firstLineChars="200"/>
    </w:pPr>
    <w:rPr>
      <w:rFonts w:hint="eastAsia"/>
      <w:sz w:val="3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basedOn w:val="9"/>
    <w:qFormat/>
    <w:uiPriority w:val="0"/>
    <w:rPr>
      <w:i/>
    </w:rPr>
  </w:style>
  <w:style w:type="paragraph" w:customStyle="1" w:styleId="11">
    <w:name w:val="样式 正文11 + 首行缩进:  2 字符"/>
    <w:basedOn w:val="1"/>
    <w:autoRedefine/>
    <w:qFormat/>
    <w:uiPriority w:val="0"/>
    <w:pPr>
      <w:ind w:firstLine="560"/>
    </w:pPr>
    <w:rPr>
      <w:rFonts w:ascii="宋体" w:hAnsi="宋体" w:cs="宋体"/>
      <w:color w:val="FF000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1767</Words>
  <Characters>1950</Characters>
  <Lines>0</Lines>
  <Paragraphs>0</Paragraphs>
  <TotalTime>0</TotalTime>
  <ScaleCrop>false</ScaleCrop>
  <LinksUpToDate>false</LinksUpToDate>
  <CharactersWithSpaces>1961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2024-04-29T11:28:00Z</dcterms:created>
  <dc:creator>Administrator</dc:creator>
  <cp:lastModifiedBy>董雨华</cp:lastModifiedBy>
  <dcterms:modified xsi:type="dcterms:W3CDTF">2024-06-05T07:55:16Z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3D827496B18149F7B37D92ACADD6DDCE_13</vt:lpwstr>
  </property>
</Properties>
</file>