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75510">
      <w:pPr>
        <w:pStyle w:val="9"/>
        <w:adjustRightInd w:val="0"/>
        <w:snapToGrid w:val="0"/>
        <w:spacing w:line="360" w:lineRule="auto"/>
        <w:outlineLvl w:val="0"/>
        <w:rPr>
          <w:rFonts w:asciiTheme="minorEastAsia" w:hAnsiTheme="minorEastAsia" w:eastAsiaTheme="minorEastAsia" w:cstheme="minorEastAsia"/>
          <w:b/>
          <w:color w:val="auto"/>
          <w:szCs w:val="21"/>
        </w:rPr>
      </w:pPr>
    </w:p>
    <w:p w14:paraId="0E28B53E">
      <w:pPr>
        <w:pStyle w:val="9"/>
        <w:adjustRightInd w:val="0"/>
        <w:snapToGrid w:val="0"/>
        <w:spacing w:line="360" w:lineRule="auto"/>
        <w:outlineLvl w:val="0"/>
        <w:rPr>
          <w:rFonts w:asciiTheme="minorEastAsia" w:hAnsiTheme="minorEastAsia" w:eastAsiaTheme="minorEastAsia" w:cstheme="minorEastAsia"/>
          <w:b/>
          <w:color w:val="auto"/>
          <w:szCs w:val="21"/>
        </w:rPr>
      </w:pPr>
    </w:p>
    <w:p w14:paraId="5ECE5645">
      <w:pPr>
        <w:pStyle w:val="9"/>
        <w:adjustRightInd w:val="0"/>
        <w:snapToGrid w:val="0"/>
        <w:spacing w:line="360" w:lineRule="auto"/>
        <w:outlineLvl w:val="0"/>
        <w:rPr>
          <w:rFonts w:asciiTheme="minorEastAsia" w:hAnsiTheme="minorEastAsia" w:eastAsiaTheme="minorEastAsia" w:cstheme="minorEastAsia"/>
          <w:b/>
          <w:color w:val="auto"/>
          <w:sz w:val="52"/>
          <w:szCs w:val="52"/>
        </w:rPr>
      </w:pPr>
    </w:p>
    <w:p w14:paraId="00032F3C">
      <w:pPr>
        <w:adjustRightInd w:val="0"/>
        <w:snapToGrid w:val="0"/>
        <w:spacing w:line="360" w:lineRule="auto"/>
        <w:jc w:val="center"/>
        <w:rPr>
          <w:rFonts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海口江东新区管理局</w:t>
      </w:r>
    </w:p>
    <w:p w14:paraId="48688AB5">
      <w:pPr>
        <w:adjustRightInd w:val="0"/>
        <w:snapToGrid w:val="0"/>
        <w:spacing w:line="500" w:lineRule="exact"/>
        <w:jc w:val="center"/>
        <w:rPr>
          <w:rFonts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采购比选文件</w:t>
      </w:r>
    </w:p>
    <w:p w14:paraId="30DA57B0">
      <w:pPr>
        <w:pStyle w:val="3"/>
        <w:spacing w:line="500" w:lineRule="exact"/>
        <w:jc w:val="center"/>
        <w:rPr>
          <w:rFonts w:eastAsiaTheme="minorEastAsia"/>
          <w:color w:val="auto"/>
        </w:rPr>
      </w:pPr>
    </w:p>
    <w:p w14:paraId="7652A9A6">
      <w:pPr>
        <w:adjustRightInd w:val="0"/>
        <w:snapToGrid w:val="0"/>
        <w:spacing w:line="360" w:lineRule="auto"/>
        <w:jc w:val="center"/>
        <w:rPr>
          <w:rFonts w:asciiTheme="minorEastAsia" w:hAnsiTheme="minorEastAsia" w:eastAsiaTheme="minorEastAsia" w:cstheme="minorEastAsia"/>
          <w:b/>
          <w:color w:val="auto"/>
          <w:szCs w:val="21"/>
        </w:rPr>
      </w:pPr>
    </w:p>
    <w:p w14:paraId="4F5B41BC">
      <w:pPr>
        <w:spacing w:line="360" w:lineRule="auto"/>
        <w:rPr>
          <w:color w:val="auto"/>
          <w:szCs w:val="21"/>
        </w:rPr>
      </w:pPr>
    </w:p>
    <w:p w14:paraId="6BCEAFAE">
      <w:pPr>
        <w:pStyle w:val="9"/>
        <w:adjustRightInd w:val="0"/>
        <w:snapToGrid w:val="0"/>
        <w:spacing w:line="360" w:lineRule="auto"/>
        <w:jc w:val="center"/>
        <w:outlineLvl w:val="0"/>
        <w:rPr>
          <w:rFonts w:asciiTheme="minorEastAsia" w:hAnsiTheme="minorEastAsia" w:eastAsiaTheme="minorEastAsia" w:cstheme="minorEastAsia"/>
          <w:b/>
          <w:color w:val="auto"/>
          <w:szCs w:val="21"/>
        </w:rPr>
      </w:pPr>
    </w:p>
    <w:p w14:paraId="20399AD4">
      <w:pPr>
        <w:pStyle w:val="9"/>
        <w:adjustRightInd w:val="0"/>
        <w:snapToGrid w:val="0"/>
        <w:spacing w:line="360" w:lineRule="auto"/>
        <w:jc w:val="center"/>
        <w:outlineLvl w:val="0"/>
        <w:rPr>
          <w:rFonts w:asciiTheme="minorEastAsia" w:hAnsiTheme="minorEastAsia" w:eastAsiaTheme="minorEastAsia" w:cstheme="minorEastAsia"/>
          <w:b/>
          <w:color w:val="auto"/>
          <w:szCs w:val="21"/>
        </w:rPr>
      </w:pPr>
    </w:p>
    <w:p w14:paraId="752DA39A">
      <w:pPr>
        <w:pStyle w:val="9"/>
        <w:spacing w:line="360" w:lineRule="auto"/>
        <w:ind w:firstLine="1476" w:firstLineChars="700"/>
        <w:jc w:val="left"/>
        <w:outlineLvl w:val="0"/>
        <w:rPr>
          <w:rFonts w:asciiTheme="minorEastAsia" w:hAnsiTheme="minorEastAsia" w:eastAsiaTheme="minorEastAsia" w:cstheme="minorEastAsia"/>
          <w:b/>
          <w:color w:val="auto"/>
          <w:szCs w:val="21"/>
        </w:rPr>
      </w:pPr>
    </w:p>
    <w:p w14:paraId="3A37619C">
      <w:pPr>
        <w:pStyle w:val="9"/>
        <w:spacing w:line="360" w:lineRule="auto"/>
        <w:ind w:firstLine="1968" w:firstLineChars="700"/>
        <w:jc w:val="left"/>
        <w:outlineLvl w:val="0"/>
        <w:rPr>
          <w:rFonts w:hint="eastAsia" w:asciiTheme="minorEastAsia" w:hAnsiTheme="minorEastAsia" w:eastAsiaTheme="minorEastAsia" w:cstheme="minorEastAsia"/>
          <w:b/>
          <w:color w:val="auto"/>
          <w:sz w:val="28"/>
          <w:szCs w:val="28"/>
          <w:lang w:val="en-US" w:eastAsia="zh-CN"/>
        </w:rPr>
      </w:pPr>
      <w:bookmarkStart w:id="0" w:name="_Toc246825786"/>
      <w:bookmarkEnd w:id="0"/>
      <w:bookmarkStart w:id="1" w:name="_Toc245888257"/>
      <w:bookmarkEnd w:id="1"/>
      <w:bookmarkStart w:id="2" w:name="_Toc245887524"/>
      <w:bookmarkEnd w:id="2"/>
      <w:bookmarkStart w:id="3" w:name="_Toc246826091"/>
      <w:bookmarkEnd w:id="3"/>
      <w:bookmarkStart w:id="4" w:name="_Toc245887525"/>
      <w:bookmarkStart w:id="5" w:name="_Toc245888258"/>
      <w:bookmarkStart w:id="6" w:name="_Toc246825787"/>
      <w:bookmarkStart w:id="7" w:name="_Toc246826092"/>
      <w:r>
        <w:rPr>
          <w:rFonts w:hint="eastAsia" w:asciiTheme="minorEastAsia" w:hAnsiTheme="minorEastAsia" w:eastAsiaTheme="minorEastAsia" w:cstheme="minorEastAsia"/>
          <w:b/>
          <w:color w:val="auto"/>
          <w:sz w:val="28"/>
          <w:szCs w:val="28"/>
        </w:rPr>
        <w:t>项目编号：zfcg-fw-20240902-001</w:t>
      </w:r>
    </w:p>
    <w:bookmarkEnd w:id="4"/>
    <w:bookmarkEnd w:id="5"/>
    <w:bookmarkEnd w:id="6"/>
    <w:bookmarkEnd w:id="7"/>
    <w:p w14:paraId="1BCADAF3">
      <w:pPr>
        <w:pStyle w:val="9"/>
        <w:spacing w:line="360" w:lineRule="auto"/>
        <w:ind w:left="3360" w:leftChars="931" w:hanging="1405" w:hangingChars="500"/>
        <w:jc w:val="left"/>
        <w:outlineLvl w:val="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项目名称：2024年-2026年海口江东新区信用园区</w:t>
      </w:r>
    </w:p>
    <w:p w14:paraId="26B40F0B">
      <w:pPr>
        <w:pStyle w:val="9"/>
        <w:spacing w:line="360" w:lineRule="auto"/>
        <w:ind w:left="3352" w:leftChars="1596" w:firstLine="0" w:firstLineChars="0"/>
        <w:jc w:val="left"/>
        <w:outlineLvl w:val="0"/>
        <w:rPr>
          <w:rFonts w:hint="eastAsia" w:asciiTheme="minorEastAsia" w:hAnsiTheme="minorEastAsia" w:eastAsiaTheme="minorEastAsia" w:cstheme="minorEastAsia"/>
          <w:b/>
          <w:color w:val="auto"/>
          <w:sz w:val="28"/>
          <w:szCs w:val="28"/>
          <w:lang w:val="en-US" w:eastAsia="zh-CN"/>
        </w:rPr>
      </w:pPr>
      <w:r>
        <w:rPr>
          <w:rFonts w:hint="eastAsia" w:asciiTheme="minorEastAsia" w:hAnsiTheme="minorEastAsia" w:eastAsiaTheme="minorEastAsia" w:cstheme="minorEastAsia"/>
          <w:b/>
          <w:color w:val="auto"/>
          <w:sz w:val="28"/>
          <w:szCs w:val="28"/>
        </w:rPr>
        <w:t>建设</w:t>
      </w:r>
      <w:r>
        <w:rPr>
          <w:rFonts w:hint="eastAsia" w:asciiTheme="minorEastAsia" w:hAnsiTheme="minorEastAsia" w:eastAsiaTheme="minorEastAsia" w:cstheme="minorEastAsia"/>
          <w:b/>
          <w:color w:val="auto"/>
          <w:sz w:val="28"/>
          <w:szCs w:val="28"/>
          <w:lang w:val="en-US" w:eastAsia="zh-CN"/>
        </w:rPr>
        <w:t>咨询服务</w:t>
      </w:r>
    </w:p>
    <w:p w14:paraId="7D716863">
      <w:pPr>
        <w:pStyle w:val="9"/>
        <w:spacing w:line="360" w:lineRule="auto"/>
        <w:ind w:firstLine="1968" w:firstLineChars="700"/>
        <w:jc w:val="left"/>
        <w:outlineLvl w:val="0"/>
        <w:rPr>
          <w:rFonts w:asciiTheme="minorEastAsia" w:hAnsiTheme="minorEastAsia" w:eastAsiaTheme="minorEastAsia" w:cstheme="minorEastAsia"/>
          <w:b/>
          <w:color w:val="auto"/>
          <w:sz w:val="28"/>
          <w:szCs w:val="28"/>
        </w:rPr>
      </w:pPr>
    </w:p>
    <w:p w14:paraId="2D509DBA">
      <w:pPr>
        <w:pStyle w:val="9"/>
        <w:spacing w:line="360" w:lineRule="auto"/>
        <w:ind w:firstLine="1476" w:firstLineChars="700"/>
        <w:jc w:val="left"/>
        <w:outlineLvl w:val="0"/>
        <w:rPr>
          <w:rFonts w:asciiTheme="minorEastAsia" w:hAnsiTheme="minorEastAsia" w:eastAsiaTheme="minorEastAsia" w:cstheme="minorEastAsia"/>
          <w:b/>
          <w:color w:val="auto"/>
          <w:szCs w:val="21"/>
        </w:rPr>
      </w:pPr>
    </w:p>
    <w:p w14:paraId="248A5AF7">
      <w:pPr>
        <w:pStyle w:val="9"/>
        <w:spacing w:line="360" w:lineRule="auto"/>
        <w:outlineLvl w:val="0"/>
        <w:rPr>
          <w:rFonts w:asciiTheme="minorEastAsia" w:hAnsiTheme="minorEastAsia" w:eastAsiaTheme="minorEastAsia" w:cstheme="minorEastAsia"/>
          <w:bCs/>
          <w:color w:val="auto"/>
          <w:szCs w:val="21"/>
        </w:rPr>
      </w:pPr>
    </w:p>
    <w:p w14:paraId="1BCB047A">
      <w:pPr>
        <w:pStyle w:val="9"/>
        <w:adjustRightInd w:val="0"/>
        <w:snapToGrid w:val="0"/>
        <w:spacing w:line="360" w:lineRule="auto"/>
        <w:jc w:val="center"/>
        <w:outlineLvl w:val="0"/>
        <w:rPr>
          <w:rFonts w:asciiTheme="minorEastAsia" w:hAnsiTheme="minorEastAsia" w:eastAsiaTheme="minorEastAsia" w:cstheme="minorEastAsia"/>
          <w:bCs/>
          <w:color w:val="auto"/>
          <w:szCs w:val="21"/>
        </w:rPr>
      </w:pPr>
    </w:p>
    <w:p w14:paraId="1498737A">
      <w:pPr>
        <w:pStyle w:val="7"/>
        <w:spacing w:line="360" w:lineRule="auto"/>
        <w:rPr>
          <w:rFonts w:asciiTheme="minorEastAsia" w:hAnsiTheme="minorEastAsia" w:eastAsiaTheme="minorEastAsia" w:cstheme="minorEastAsia"/>
          <w:b/>
          <w:color w:val="auto"/>
          <w:spacing w:val="40"/>
          <w:szCs w:val="21"/>
        </w:rPr>
      </w:pPr>
    </w:p>
    <w:p w14:paraId="625D23D6">
      <w:pPr>
        <w:pStyle w:val="29"/>
        <w:spacing w:line="360" w:lineRule="auto"/>
        <w:rPr>
          <w:color w:val="auto"/>
          <w:sz w:val="21"/>
          <w:szCs w:val="21"/>
        </w:rPr>
      </w:pPr>
    </w:p>
    <w:p w14:paraId="272B7AF1">
      <w:pPr>
        <w:pStyle w:val="15"/>
        <w:ind w:left="0" w:leftChars="0" w:firstLine="0" w:firstLineChars="0"/>
        <w:rPr>
          <w:color w:val="auto"/>
        </w:rPr>
      </w:pPr>
    </w:p>
    <w:p w14:paraId="09E6D413">
      <w:pPr>
        <w:pStyle w:val="15"/>
        <w:rPr>
          <w:color w:val="auto"/>
        </w:rPr>
      </w:pPr>
    </w:p>
    <w:p w14:paraId="534A45C0">
      <w:pPr>
        <w:pStyle w:val="15"/>
        <w:rPr>
          <w:color w:val="auto"/>
        </w:rPr>
      </w:pPr>
    </w:p>
    <w:p w14:paraId="71F23032">
      <w:pPr>
        <w:adjustRightInd w:val="0"/>
        <w:snapToGrid w:val="0"/>
        <w:spacing w:line="360" w:lineRule="auto"/>
        <w:jc w:val="center"/>
        <w:rPr>
          <w:rFonts w:asciiTheme="minorEastAsia" w:hAnsiTheme="minorEastAsia" w:eastAsiaTheme="minorEastAsia" w:cstheme="minorEastAsia"/>
          <w:b/>
          <w:color w:val="auto"/>
          <w:spacing w:val="40"/>
          <w:szCs w:val="21"/>
        </w:rPr>
      </w:pPr>
    </w:p>
    <w:p w14:paraId="02AA4D35">
      <w:pPr>
        <w:adjustRightInd w:val="0"/>
        <w:snapToGrid w:val="0"/>
        <w:spacing w:line="360" w:lineRule="auto"/>
        <w:jc w:val="center"/>
        <w:rPr>
          <w:rFonts w:asciiTheme="minorEastAsia" w:hAnsiTheme="minorEastAsia" w:eastAsiaTheme="minorEastAsia" w:cstheme="minorEastAsia"/>
          <w:b/>
          <w:color w:val="auto"/>
          <w:spacing w:val="40"/>
          <w:szCs w:val="21"/>
        </w:rPr>
      </w:pPr>
    </w:p>
    <w:p w14:paraId="23B1F036">
      <w:pPr>
        <w:pStyle w:val="9"/>
        <w:adjustRightInd w:val="0"/>
        <w:snapToGrid w:val="0"/>
        <w:spacing w:line="360" w:lineRule="auto"/>
        <w:jc w:val="center"/>
        <w:outlineLvl w:val="0"/>
        <w:rPr>
          <w:rFonts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pacing w:val="40"/>
          <w:sz w:val="28"/>
          <w:szCs w:val="28"/>
        </w:rPr>
        <w:t>2024年</w:t>
      </w:r>
      <w:r>
        <w:rPr>
          <w:rFonts w:hint="eastAsia" w:asciiTheme="minorEastAsia" w:hAnsiTheme="minorEastAsia" w:eastAsiaTheme="minorEastAsia" w:cstheme="minorEastAsia"/>
          <w:b/>
          <w:color w:val="auto"/>
          <w:spacing w:val="40"/>
          <w:sz w:val="28"/>
          <w:szCs w:val="28"/>
          <w:lang w:val="en-US" w:eastAsia="zh-CN"/>
        </w:rPr>
        <w:t>9</w:t>
      </w:r>
      <w:r>
        <w:rPr>
          <w:rFonts w:hint="eastAsia" w:asciiTheme="minorEastAsia" w:hAnsiTheme="minorEastAsia" w:eastAsiaTheme="minorEastAsia" w:cstheme="minorEastAsia"/>
          <w:b/>
          <w:color w:val="auto"/>
          <w:spacing w:val="40"/>
          <w:sz w:val="28"/>
          <w:szCs w:val="28"/>
        </w:rPr>
        <w:t xml:space="preserve">月  </w:t>
      </w:r>
    </w:p>
    <w:p w14:paraId="05656ED1">
      <w:pPr>
        <w:pStyle w:val="9"/>
        <w:spacing w:line="360" w:lineRule="auto"/>
        <w:jc w:val="center"/>
        <w:outlineLvl w:val="0"/>
        <w:rPr>
          <w:rStyle w:val="23"/>
          <w:rFonts w:hAnsi="宋体" w:cs="宋体"/>
          <w:b/>
          <w:color w:val="auto"/>
          <w:szCs w:val="21"/>
        </w:rPr>
        <w:sectPr>
          <w:headerReference r:id="rId5" w:type="first"/>
          <w:headerReference r:id="rId3" w:type="default"/>
          <w:footerReference r:id="rId6" w:type="default"/>
          <w:headerReference r:id="rId4" w:type="even"/>
          <w:pgSz w:w="11906" w:h="16838"/>
          <w:pgMar w:top="1440" w:right="1800" w:bottom="1440" w:left="1800" w:header="851" w:footer="992" w:gutter="0"/>
          <w:cols w:space="425" w:num="1"/>
          <w:docGrid w:type="lines" w:linePitch="312" w:charSpace="0"/>
        </w:sectPr>
      </w:pPr>
    </w:p>
    <w:p w14:paraId="00E376FE">
      <w:pPr>
        <w:pStyle w:val="9"/>
        <w:spacing w:line="360" w:lineRule="auto"/>
        <w:jc w:val="center"/>
        <w:outlineLvl w:val="0"/>
        <w:rPr>
          <w:rStyle w:val="23"/>
          <w:rFonts w:hAnsi="宋体" w:cs="宋体"/>
          <w:b/>
          <w:color w:val="auto"/>
          <w:szCs w:val="21"/>
        </w:rPr>
      </w:pPr>
    </w:p>
    <w:p w14:paraId="301B06BB">
      <w:pPr>
        <w:pStyle w:val="9"/>
        <w:spacing w:line="360" w:lineRule="auto"/>
        <w:jc w:val="center"/>
        <w:outlineLvl w:val="0"/>
        <w:rPr>
          <w:rStyle w:val="23"/>
          <w:rFonts w:hAnsi="宋体" w:cs="宋体"/>
          <w:b/>
          <w:color w:val="auto"/>
          <w:sz w:val="24"/>
          <w:szCs w:val="24"/>
        </w:rPr>
      </w:pPr>
      <w:r>
        <w:rPr>
          <w:rStyle w:val="23"/>
          <w:rFonts w:hint="eastAsia" w:hAnsi="宋体" w:cs="宋体"/>
          <w:b/>
          <w:color w:val="auto"/>
          <w:sz w:val="24"/>
          <w:szCs w:val="24"/>
        </w:rPr>
        <w:t>目  录</w:t>
      </w:r>
    </w:p>
    <w:p w14:paraId="0E92401F">
      <w:pPr>
        <w:spacing w:line="360" w:lineRule="auto"/>
        <w:rPr>
          <w:rFonts w:ascii="宋体" w:hAnsi="宋体" w:cs="宋体"/>
          <w:b/>
          <w:color w:val="auto"/>
          <w:sz w:val="24"/>
        </w:rPr>
      </w:pPr>
    </w:p>
    <w:p w14:paraId="7A71A450">
      <w:pPr>
        <w:spacing w:line="360" w:lineRule="auto"/>
        <w:rPr>
          <w:rFonts w:ascii="宋体" w:hAnsi="宋体" w:cs="宋体"/>
          <w:b/>
          <w:color w:val="auto"/>
          <w:sz w:val="24"/>
        </w:rPr>
      </w:pPr>
    </w:p>
    <w:p w14:paraId="4F2E0B5C">
      <w:pPr>
        <w:spacing w:line="360" w:lineRule="auto"/>
        <w:rPr>
          <w:rFonts w:ascii="宋体" w:hAnsi="宋体" w:cs="宋体"/>
          <w:b/>
          <w:color w:val="auto"/>
          <w:sz w:val="24"/>
        </w:rPr>
      </w:pPr>
      <w:r>
        <w:rPr>
          <w:rFonts w:hint="eastAsia" w:ascii="宋体" w:hAnsi="宋体" w:cs="宋体"/>
          <w:b/>
          <w:color w:val="auto"/>
          <w:sz w:val="24"/>
        </w:rPr>
        <w:fldChar w:fldCharType="begin"/>
      </w:r>
      <w:r>
        <w:rPr>
          <w:rFonts w:hint="eastAsia" w:ascii="宋体" w:hAnsi="宋体" w:cs="宋体"/>
          <w:b/>
          <w:color w:val="auto"/>
          <w:sz w:val="24"/>
        </w:rPr>
        <w:instrText xml:space="preserve"> TOC \o "1-3" \h \z \u </w:instrText>
      </w:r>
      <w:r>
        <w:rPr>
          <w:rFonts w:hint="eastAsia" w:ascii="宋体" w:hAnsi="宋体" w:cs="宋体"/>
          <w:b/>
          <w:color w:val="auto"/>
          <w:sz w:val="24"/>
        </w:rPr>
        <w:fldChar w:fldCharType="separate"/>
      </w:r>
    </w:p>
    <w:p w14:paraId="4CF70214">
      <w:pPr>
        <w:spacing w:line="360" w:lineRule="auto"/>
        <w:rPr>
          <w:rFonts w:ascii="宋体" w:hAnsi="宋体" w:cs="宋体"/>
          <w:b/>
          <w:color w:val="auto"/>
          <w:sz w:val="24"/>
        </w:rPr>
      </w:pPr>
    </w:p>
    <w:p w14:paraId="48C262EC">
      <w:pPr>
        <w:spacing w:line="360" w:lineRule="auto"/>
        <w:rPr>
          <w:rFonts w:ascii="宋体" w:hAnsi="宋体" w:cs="宋体"/>
          <w:b/>
          <w:color w:val="auto"/>
          <w:sz w:val="24"/>
        </w:rPr>
      </w:pPr>
    </w:p>
    <w:p w14:paraId="0D8C0916">
      <w:pPr>
        <w:spacing w:line="360" w:lineRule="auto"/>
        <w:rPr>
          <w:rFonts w:ascii="宋体" w:hAnsi="宋体" w:cs="宋体"/>
          <w:b/>
          <w:color w:val="auto"/>
          <w:sz w:val="24"/>
        </w:rPr>
      </w:pPr>
      <w:r>
        <w:rPr>
          <w:color w:val="auto"/>
        </w:rPr>
        <w:fldChar w:fldCharType="begin"/>
      </w:r>
      <w:r>
        <w:rPr>
          <w:color w:val="auto"/>
        </w:rPr>
        <w:instrText xml:space="preserve"> HYPERLINK "file:///D:\\外网\\20090911\\界面资料091011\\界面资料\\部门资料\\采购文件范本1104\\招标文件范本\\印刷版本\\政府采购招标文件印刷.doc" \l "_Toc246826096#_Toc246826096" </w:instrText>
      </w:r>
      <w:r>
        <w:rPr>
          <w:color w:val="auto"/>
        </w:rPr>
        <w:fldChar w:fldCharType="separate"/>
      </w:r>
      <w:r>
        <w:rPr>
          <w:rFonts w:hint="eastAsia" w:ascii="宋体" w:hAnsi="宋体" w:cs="宋体"/>
          <w:b/>
          <w:color w:val="auto"/>
          <w:sz w:val="24"/>
        </w:rPr>
        <w:t>第一章  比选公告……………………………………………………</w:t>
      </w:r>
      <w:r>
        <w:rPr>
          <w:rFonts w:hint="eastAsia" w:ascii="宋体" w:hAnsi="宋体" w:cs="宋体"/>
          <w:b/>
          <w:color w:val="auto"/>
          <w:sz w:val="24"/>
        </w:rPr>
        <w:fldChar w:fldCharType="end"/>
      </w:r>
      <w:r>
        <w:rPr>
          <w:rFonts w:hint="eastAsia" w:ascii="宋体" w:hAnsi="宋体" w:cs="宋体"/>
          <w:b/>
          <w:color w:val="auto"/>
          <w:sz w:val="24"/>
        </w:rPr>
        <w:t>……3-4</w:t>
      </w:r>
    </w:p>
    <w:p w14:paraId="5C3B6A0D">
      <w:pPr>
        <w:spacing w:line="360" w:lineRule="auto"/>
        <w:rPr>
          <w:rFonts w:ascii="宋体" w:hAnsi="宋体" w:cs="宋体"/>
          <w:b/>
          <w:color w:val="auto"/>
          <w:sz w:val="24"/>
        </w:rPr>
      </w:pPr>
      <w:r>
        <w:rPr>
          <w:color w:val="auto"/>
        </w:rPr>
        <w:fldChar w:fldCharType="begin"/>
      </w:r>
      <w:r>
        <w:rPr>
          <w:color w:val="auto"/>
        </w:rPr>
        <w:instrText xml:space="preserve"> HYPERLINK "file:///D:\\外网\\20090911\\界面资料091011\\界面资料\\部门资料\\采购文件范本1104\\招标文件范本\\印刷版本\\政府采购招标文件印刷.doc" \l "_Toc246826105#_Toc246826105" </w:instrText>
      </w:r>
      <w:r>
        <w:rPr>
          <w:color w:val="auto"/>
        </w:rPr>
        <w:fldChar w:fldCharType="separate"/>
      </w:r>
      <w:r>
        <w:rPr>
          <w:rFonts w:hint="eastAsia" w:ascii="宋体" w:hAnsi="宋体" w:cs="宋体"/>
          <w:b/>
          <w:color w:val="auto"/>
          <w:sz w:val="24"/>
        </w:rPr>
        <w:t>第二章  采购需求……………………………………………………</w:t>
      </w:r>
      <w:r>
        <w:rPr>
          <w:rFonts w:hint="eastAsia" w:ascii="宋体" w:hAnsi="宋体" w:cs="宋体"/>
          <w:b/>
          <w:color w:val="auto"/>
          <w:sz w:val="24"/>
        </w:rPr>
        <w:fldChar w:fldCharType="end"/>
      </w:r>
      <w:r>
        <w:rPr>
          <w:rFonts w:hint="eastAsia" w:ascii="宋体" w:hAnsi="宋体" w:cs="宋体"/>
          <w:b/>
          <w:color w:val="auto"/>
          <w:sz w:val="24"/>
        </w:rPr>
        <w:t>……5-6</w:t>
      </w:r>
    </w:p>
    <w:p w14:paraId="635B375D">
      <w:pPr>
        <w:spacing w:line="360" w:lineRule="auto"/>
        <w:rPr>
          <w:rFonts w:ascii="宋体" w:hAnsi="宋体" w:cs="宋体"/>
          <w:b/>
          <w:color w:val="auto"/>
          <w:sz w:val="24"/>
        </w:rPr>
      </w:pPr>
      <w:r>
        <w:rPr>
          <w:color w:val="auto"/>
        </w:rPr>
        <w:fldChar w:fldCharType="begin"/>
      </w:r>
      <w:r>
        <w:rPr>
          <w:color w:val="auto"/>
        </w:rPr>
        <w:instrText xml:space="preserve"> HYPERLINK "file:///D:\\外网\\20090911\\界面资料091011\\界面资料\\部门资料\\采购文件范本1104\\招标文件范本\\印刷版本\\政府采购招标文件印刷.doc" \l "_Toc246826118#_Toc246826118" </w:instrText>
      </w:r>
      <w:r>
        <w:rPr>
          <w:color w:val="auto"/>
        </w:rPr>
        <w:fldChar w:fldCharType="separate"/>
      </w:r>
      <w:r>
        <w:rPr>
          <w:rFonts w:hint="eastAsia" w:ascii="宋体" w:hAnsi="宋体" w:cs="宋体"/>
          <w:b/>
          <w:color w:val="auto"/>
          <w:sz w:val="24"/>
        </w:rPr>
        <w:t>第三章  供应商须知………………………………………</w:t>
      </w:r>
      <w:r>
        <w:rPr>
          <w:rFonts w:hint="eastAsia" w:ascii="宋体" w:hAnsi="宋体" w:cs="宋体"/>
          <w:b/>
          <w:color w:val="auto"/>
          <w:sz w:val="24"/>
        </w:rPr>
        <w:fldChar w:fldCharType="end"/>
      </w:r>
      <w:r>
        <w:rPr>
          <w:rFonts w:hint="eastAsia" w:ascii="宋体" w:hAnsi="宋体" w:cs="宋体"/>
          <w:b/>
          <w:color w:val="auto"/>
          <w:sz w:val="24"/>
        </w:rPr>
        <w:t>………………</w:t>
      </w:r>
      <w:r>
        <w:rPr>
          <w:rFonts w:hint="eastAsia" w:ascii="宋体" w:hAnsi="宋体" w:cs="宋体"/>
          <w:b/>
          <w:color w:val="auto"/>
          <w:sz w:val="24"/>
        </w:rPr>
        <w:fldChar w:fldCharType="end"/>
      </w:r>
      <w:r>
        <w:rPr>
          <w:rFonts w:hint="eastAsia" w:ascii="宋体" w:hAnsi="宋体" w:cs="宋体"/>
          <w:b/>
          <w:color w:val="auto"/>
          <w:sz w:val="24"/>
        </w:rPr>
        <w:t>7-18</w:t>
      </w:r>
    </w:p>
    <w:p w14:paraId="42056AC3">
      <w:pPr>
        <w:spacing w:line="360" w:lineRule="auto"/>
        <w:rPr>
          <w:rFonts w:ascii="宋体" w:hAnsi="宋体" w:cs="宋体"/>
          <w:b/>
          <w:color w:val="auto"/>
          <w:sz w:val="24"/>
        </w:rPr>
      </w:pPr>
      <w:r>
        <w:rPr>
          <w:color w:val="auto"/>
        </w:rPr>
        <w:fldChar w:fldCharType="begin"/>
      </w:r>
      <w:r>
        <w:rPr>
          <w:color w:val="auto"/>
        </w:rPr>
        <w:instrText xml:space="preserve"> HYPERLINK "file:///D:\\外网\\20090911\\界面资料091011\\界面资料\\部门资料\\采购文件范本1104\\招标文件范本\\印刷版本\\政府采购招标文件印刷.doc" \l "_Toc246826115#_Toc246826115" </w:instrText>
      </w:r>
      <w:r>
        <w:rPr>
          <w:color w:val="auto"/>
        </w:rPr>
        <w:fldChar w:fldCharType="separate"/>
      </w:r>
      <w:r>
        <w:rPr>
          <w:rFonts w:hint="eastAsia" w:ascii="宋体" w:hAnsi="宋体" w:cs="宋体"/>
          <w:b/>
          <w:color w:val="auto"/>
          <w:sz w:val="24"/>
        </w:rPr>
        <w:t>第四章  评审标准……………………………………</w:t>
      </w:r>
      <w:r>
        <w:rPr>
          <w:rFonts w:hint="eastAsia" w:ascii="宋体" w:hAnsi="宋体" w:cs="宋体"/>
          <w:b/>
          <w:color w:val="auto"/>
          <w:sz w:val="24"/>
        </w:rPr>
        <w:fldChar w:fldCharType="end"/>
      </w:r>
      <w:r>
        <w:rPr>
          <w:rFonts w:hint="eastAsia" w:ascii="宋体" w:hAnsi="宋体" w:cs="宋体"/>
          <w:b/>
          <w:color w:val="auto"/>
          <w:sz w:val="24"/>
        </w:rPr>
        <w:t>……………………19-22</w:t>
      </w:r>
    </w:p>
    <w:p w14:paraId="6A7E101B">
      <w:pPr>
        <w:spacing w:line="360" w:lineRule="auto"/>
        <w:rPr>
          <w:rFonts w:ascii="宋体" w:hAnsi="宋体" w:cs="宋体"/>
          <w:b/>
          <w:color w:val="auto"/>
          <w:sz w:val="24"/>
        </w:rPr>
      </w:pPr>
      <w:r>
        <w:rPr>
          <w:color w:val="auto"/>
        </w:rPr>
        <w:fldChar w:fldCharType="begin"/>
      </w:r>
      <w:r>
        <w:rPr>
          <w:color w:val="auto"/>
        </w:rPr>
        <w:instrText xml:space="preserve"> HYPERLINK "file:///D:\\外网\\20090911\\界面资料091011\\界面资料\\部门资料\\采购文件范本1104\\招标文件范本\\印刷版本\\政府采购招标文件印刷.doc" \l "_Toc246826104#_Toc246826104" </w:instrText>
      </w:r>
      <w:r>
        <w:rPr>
          <w:color w:val="auto"/>
        </w:rPr>
        <w:fldChar w:fldCharType="separate"/>
      </w:r>
      <w:r>
        <w:rPr>
          <w:rFonts w:hint="eastAsia" w:ascii="宋体" w:hAnsi="宋体" w:cs="宋体"/>
          <w:b/>
          <w:color w:val="auto"/>
          <w:sz w:val="24"/>
        </w:rPr>
        <w:t>第五章  采购合同格式………………………………………………</w:t>
      </w:r>
      <w:r>
        <w:rPr>
          <w:rFonts w:hint="eastAsia" w:ascii="宋体" w:hAnsi="宋体" w:cs="宋体"/>
          <w:b/>
          <w:color w:val="auto"/>
          <w:sz w:val="24"/>
        </w:rPr>
        <w:fldChar w:fldCharType="end"/>
      </w:r>
      <w:r>
        <w:rPr>
          <w:rFonts w:hint="eastAsia" w:ascii="宋体" w:hAnsi="宋体" w:cs="宋体"/>
          <w:b/>
          <w:color w:val="auto"/>
          <w:sz w:val="24"/>
        </w:rPr>
        <w:t>……23-26</w:t>
      </w:r>
    </w:p>
    <w:p w14:paraId="7326A708">
      <w:pPr>
        <w:spacing w:line="360" w:lineRule="auto"/>
        <w:rPr>
          <w:rFonts w:ascii="宋体" w:hAnsi="宋体" w:cs="宋体"/>
          <w:b/>
          <w:color w:val="auto"/>
          <w:sz w:val="24"/>
        </w:rPr>
      </w:pPr>
      <w:r>
        <w:rPr>
          <w:color w:val="auto"/>
        </w:rPr>
        <w:fldChar w:fldCharType="begin"/>
      </w:r>
      <w:r>
        <w:rPr>
          <w:color w:val="auto"/>
        </w:rPr>
        <w:instrText xml:space="preserve"> HYPERLINK "file:///D:\\外网\\20090911\\界面资料091011\\界面资料\\部门资料\\采购文件范本1104\\招标文件范本\\印刷版本\\政府采购招标文件印刷.doc" \l "_Toc246826118#_Toc246826118" </w:instrText>
      </w:r>
      <w:r>
        <w:rPr>
          <w:color w:val="auto"/>
        </w:rPr>
        <w:fldChar w:fldCharType="separate"/>
      </w:r>
      <w:r>
        <w:rPr>
          <w:rFonts w:hint="eastAsia" w:ascii="宋体" w:hAnsi="宋体" w:cs="宋体"/>
          <w:b/>
          <w:color w:val="auto"/>
          <w:sz w:val="24"/>
        </w:rPr>
        <w:t>第六章  响应文件格式及附件……………………………………………</w:t>
      </w:r>
      <w:r>
        <w:rPr>
          <w:rFonts w:hint="eastAsia" w:ascii="宋体" w:hAnsi="宋体" w:cs="宋体"/>
          <w:b/>
          <w:color w:val="auto"/>
          <w:sz w:val="24"/>
        </w:rPr>
        <w:fldChar w:fldCharType="end"/>
      </w:r>
      <w:r>
        <w:rPr>
          <w:rFonts w:hint="eastAsia" w:ascii="宋体" w:hAnsi="宋体" w:cs="宋体"/>
          <w:b/>
          <w:color w:val="auto"/>
          <w:sz w:val="24"/>
        </w:rPr>
        <w:t>27-36</w:t>
      </w:r>
    </w:p>
    <w:p w14:paraId="7F21CA09">
      <w:pPr>
        <w:spacing w:line="360" w:lineRule="auto"/>
        <w:rPr>
          <w:rFonts w:ascii="宋体" w:hAnsi="宋体" w:cs="宋体"/>
          <w:b/>
          <w:color w:val="auto"/>
          <w:sz w:val="24"/>
        </w:rPr>
      </w:pPr>
    </w:p>
    <w:p w14:paraId="1538C6BE">
      <w:pPr>
        <w:pStyle w:val="9"/>
        <w:adjustRightInd w:val="0"/>
        <w:snapToGrid w:val="0"/>
        <w:spacing w:line="360" w:lineRule="auto"/>
        <w:jc w:val="center"/>
        <w:outlineLvl w:val="0"/>
        <w:rPr>
          <w:rFonts w:asciiTheme="minorEastAsia" w:hAnsiTheme="minorEastAsia" w:eastAsiaTheme="minorEastAsia" w:cstheme="minorEastAsia"/>
          <w:b/>
          <w:color w:val="auto"/>
          <w:szCs w:val="21"/>
        </w:rPr>
      </w:pPr>
    </w:p>
    <w:p w14:paraId="4F09339F">
      <w:pPr>
        <w:pStyle w:val="9"/>
        <w:adjustRightInd w:val="0"/>
        <w:snapToGrid w:val="0"/>
        <w:spacing w:line="360" w:lineRule="auto"/>
        <w:jc w:val="center"/>
        <w:outlineLvl w:val="0"/>
        <w:rPr>
          <w:rFonts w:asciiTheme="minorEastAsia" w:hAnsiTheme="minorEastAsia" w:eastAsiaTheme="minorEastAsia" w:cstheme="minorEastAsia"/>
          <w:b/>
          <w:color w:val="auto"/>
          <w:szCs w:val="21"/>
        </w:rPr>
      </w:pPr>
    </w:p>
    <w:p w14:paraId="768E830C">
      <w:pPr>
        <w:pStyle w:val="9"/>
        <w:adjustRightInd w:val="0"/>
        <w:snapToGrid w:val="0"/>
        <w:spacing w:line="360" w:lineRule="auto"/>
        <w:jc w:val="center"/>
        <w:outlineLvl w:val="0"/>
        <w:rPr>
          <w:rFonts w:asciiTheme="minorEastAsia" w:hAnsiTheme="minorEastAsia" w:eastAsiaTheme="minorEastAsia" w:cstheme="minorEastAsia"/>
          <w:b/>
          <w:color w:val="auto"/>
          <w:szCs w:val="21"/>
        </w:rPr>
      </w:pPr>
    </w:p>
    <w:p w14:paraId="3F5E994A">
      <w:pPr>
        <w:pStyle w:val="9"/>
        <w:adjustRightInd w:val="0"/>
        <w:snapToGrid w:val="0"/>
        <w:spacing w:line="360" w:lineRule="auto"/>
        <w:jc w:val="center"/>
        <w:outlineLvl w:val="0"/>
        <w:rPr>
          <w:rFonts w:asciiTheme="minorEastAsia" w:hAnsiTheme="minorEastAsia" w:eastAsiaTheme="minorEastAsia" w:cstheme="minorEastAsia"/>
          <w:b/>
          <w:color w:val="auto"/>
          <w:szCs w:val="21"/>
        </w:rPr>
      </w:pPr>
    </w:p>
    <w:p w14:paraId="60C6F97C">
      <w:pPr>
        <w:pStyle w:val="9"/>
        <w:adjustRightInd w:val="0"/>
        <w:snapToGrid w:val="0"/>
        <w:spacing w:line="360" w:lineRule="auto"/>
        <w:jc w:val="center"/>
        <w:outlineLvl w:val="0"/>
        <w:rPr>
          <w:rFonts w:asciiTheme="minorEastAsia" w:hAnsiTheme="minorEastAsia" w:eastAsiaTheme="minorEastAsia" w:cstheme="minorEastAsia"/>
          <w:b/>
          <w:color w:val="auto"/>
          <w:szCs w:val="21"/>
        </w:rPr>
      </w:pPr>
    </w:p>
    <w:p w14:paraId="11D8A9BF">
      <w:pPr>
        <w:pStyle w:val="9"/>
        <w:adjustRightInd w:val="0"/>
        <w:snapToGrid w:val="0"/>
        <w:spacing w:line="360" w:lineRule="auto"/>
        <w:jc w:val="center"/>
        <w:outlineLvl w:val="0"/>
        <w:rPr>
          <w:rFonts w:asciiTheme="minorEastAsia" w:hAnsiTheme="minorEastAsia" w:eastAsiaTheme="minorEastAsia" w:cstheme="minorEastAsia"/>
          <w:b/>
          <w:color w:val="auto"/>
          <w:szCs w:val="21"/>
        </w:rPr>
      </w:pPr>
    </w:p>
    <w:p w14:paraId="2829787B">
      <w:pPr>
        <w:pStyle w:val="9"/>
        <w:adjustRightInd w:val="0"/>
        <w:snapToGrid w:val="0"/>
        <w:spacing w:line="360" w:lineRule="auto"/>
        <w:jc w:val="center"/>
        <w:outlineLvl w:val="0"/>
        <w:rPr>
          <w:rFonts w:asciiTheme="minorEastAsia" w:hAnsiTheme="minorEastAsia" w:eastAsiaTheme="minorEastAsia" w:cstheme="minorEastAsia"/>
          <w:b/>
          <w:color w:val="auto"/>
          <w:szCs w:val="21"/>
        </w:rPr>
      </w:pPr>
    </w:p>
    <w:p w14:paraId="04DA780F">
      <w:pPr>
        <w:pStyle w:val="9"/>
        <w:adjustRightInd w:val="0"/>
        <w:snapToGrid w:val="0"/>
        <w:spacing w:line="360" w:lineRule="auto"/>
        <w:jc w:val="center"/>
        <w:outlineLvl w:val="0"/>
        <w:rPr>
          <w:rFonts w:asciiTheme="minorEastAsia" w:hAnsiTheme="minorEastAsia" w:eastAsiaTheme="minorEastAsia" w:cstheme="minorEastAsia"/>
          <w:b/>
          <w:color w:val="auto"/>
          <w:szCs w:val="21"/>
        </w:rPr>
      </w:pPr>
    </w:p>
    <w:p w14:paraId="11A5FFD9">
      <w:pPr>
        <w:pStyle w:val="9"/>
        <w:adjustRightInd w:val="0"/>
        <w:snapToGrid w:val="0"/>
        <w:spacing w:line="360" w:lineRule="auto"/>
        <w:jc w:val="center"/>
        <w:outlineLvl w:val="0"/>
        <w:rPr>
          <w:rFonts w:asciiTheme="minorEastAsia" w:hAnsiTheme="minorEastAsia" w:eastAsiaTheme="minorEastAsia" w:cstheme="minorEastAsia"/>
          <w:b/>
          <w:color w:val="auto"/>
          <w:szCs w:val="21"/>
        </w:rPr>
      </w:pPr>
    </w:p>
    <w:p w14:paraId="06E09611">
      <w:pPr>
        <w:pStyle w:val="9"/>
        <w:adjustRightInd w:val="0"/>
        <w:snapToGrid w:val="0"/>
        <w:spacing w:line="360" w:lineRule="auto"/>
        <w:jc w:val="center"/>
        <w:outlineLvl w:val="0"/>
        <w:rPr>
          <w:rFonts w:asciiTheme="minorEastAsia" w:hAnsiTheme="minorEastAsia" w:eastAsiaTheme="minorEastAsia" w:cstheme="minorEastAsia"/>
          <w:b/>
          <w:color w:val="auto"/>
          <w:szCs w:val="21"/>
        </w:rPr>
      </w:pPr>
    </w:p>
    <w:p w14:paraId="469263F5">
      <w:pPr>
        <w:pStyle w:val="9"/>
        <w:adjustRightInd w:val="0"/>
        <w:snapToGrid w:val="0"/>
        <w:spacing w:line="360" w:lineRule="auto"/>
        <w:jc w:val="center"/>
        <w:outlineLvl w:val="0"/>
        <w:rPr>
          <w:rFonts w:asciiTheme="minorEastAsia" w:hAnsiTheme="minorEastAsia" w:eastAsiaTheme="minorEastAsia" w:cstheme="minorEastAsia"/>
          <w:b/>
          <w:color w:val="auto"/>
          <w:szCs w:val="21"/>
        </w:rPr>
      </w:pPr>
    </w:p>
    <w:p w14:paraId="2C44F36F">
      <w:pPr>
        <w:pStyle w:val="9"/>
        <w:adjustRightInd w:val="0"/>
        <w:snapToGrid w:val="0"/>
        <w:spacing w:line="360" w:lineRule="auto"/>
        <w:jc w:val="center"/>
        <w:outlineLvl w:val="0"/>
        <w:rPr>
          <w:rFonts w:asciiTheme="minorEastAsia" w:hAnsiTheme="minorEastAsia" w:eastAsiaTheme="minorEastAsia" w:cstheme="minorEastAsia"/>
          <w:b/>
          <w:color w:val="auto"/>
          <w:szCs w:val="21"/>
        </w:rPr>
      </w:pPr>
    </w:p>
    <w:p w14:paraId="6FCE0609">
      <w:pPr>
        <w:pStyle w:val="9"/>
        <w:adjustRightInd w:val="0"/>
        <w:snapToGrid w:val="0"/>
        <w:spacing w:line="360" w:lineRule="auto"/>
        <w:jc w:val="center"/>
        <w:outlineLvl w:val="0"/>
        <w:rPr>
          <w:rFonts w:asciiTheme="minorEastAsia" w:hAnsiTheme="minorEastAsia" w:eastAsiaTheme="minorEastAsia" w:cstheme="minorEastAsia"/>
          <w:b/>
          <w:color w:val="auto"/>
          <w:szCs w:val="21"/>
        </w:rPr>
      </w:pPr>
    </w:p>
    <w:p w14:paraId="54D66ECF">
      <w:pPr>
        <w:pStyle w:val="9"/>
        <w:adjustRightInd w:val="0"/>
        <w:snapToGrid w:val="0"/>
        <w:spacing w:line="360" w:lineRule="auto"/>
        <w:jc w:val="center"/>
        <w:outlineLvl w:val="0"/>
        <w:rPr>
          <w:rFonts w:asciiTheme="minorEastAsia" w:hAnsiTheme="minorEastAsia" w:eastAsiaTheme="minorEastAsia" w:cstheme="minorEastAsia"/>
          <w:b/>
          <w:color w:val="auto"/>
          <w:szCs w:val="21"/>
        </w:rPr>
      </w:pPr>
    </w:p>
    <w:p w14:paraId="2E178625">
      <w:pPr>
        <w:pStyle w:val="9"/>
        <w:adjustRightInd w:val="0"/>
        <w:snapToGrid w:val="0"/>
        <w:spacing w:line="360" w:lineRule="auto"/>
        <w:jc w:val="center"/>
        <w:outlineLvl w:val="0"/>
        <w:rPr>
          <w:rFonts w:asciiTheme="minorEastAsia" w:hAnsiTheme="minorEastAsia" w:eastAsiaTheme="minorEastAsia" w:cstheme="minorEastAsia"/>
          <w:b/>
          <w:color w:val="auto"/>
          <w:szCs w:val="21"/>
        </w:rPr>
      </w:pPr>
    </w:p>
    <w:p w14:paraId="60CF8B77">
      <w:pPr>
        <w:pStyle w:val="9"/>
        <w:adjustRightInd w:val="0"/>
        <w:snapToGrid w:val="0"/>
        <w:spacing w:line="360" w:lineRule="auto"/>
        <w:jc w:val="center"/>
        <w:outlineLvl w:val="0"/>
        <w:rPr>
          <w:rFonts w:asciiTheme="minorEastAsia" w:hAnsiTheme="minorEastAsia" w:eastAsiaTheme="minorEastAsia" w:cstheme="minorEastAsia"/>
          <w:b/>
          <w:color w:val="auto"/>
          <w:szCs w:val="21"/>
        </w:rPr>
      </w:pPr>
    </w:p>
    <w:p w14:paraId="00B2F62C">
      <w:pPr>
        <w:pStyle w:val="9"/>
        <w:adjustRightInd w:val="0"/>
        <w:snapToGrid w:val="0"/>
        <w:spacing w:line="360" w:lineRule="auto"/>
        <w:jc w:val="center"/>
        <w:outlineLvl w:val="0"/>
        <w:rPr>
          <w:rFonts w:asciiTheme="minorEastAsia" w:hAnsiTheme="minorEastAsia" w:eastAsiaTheme="minorEastAsia" w:cstheme="minorEastAsia"/>
          <w:b/>
          <w:color w:val="auto"/>
          <w:szCs w:val="21"/>
        </w:rPr>
      </w:pPr>
    </w:p>
    <w:p w14:paraId="3D649D70">
      <w:pPr>
        <w:pStyle w:val="9"/>
        <w:adjustRightInd w:val="0"/>
        <w:snapToGrid w:val="0"/>
        <w:spacing w:line="360" w:lineRule="auto"/>
        <w:outlineLvl w:val="0"/>
        <w:rPr>
          <w:rFonts w:asciiTheme="minorEastAsia" w:hAnsiTheme="minorEastAsia" w:eastAsiaTheme="minorEastAsia" w:cstheme="minorEastAsia"/>
          <w:b/>
          <w:color w:val="auto"/>
          <w:szCs w:val="21"/>
        </w:rPr>
      </w:pPr>
    </w:p>
    <w:p w14:paraId="628E1AA7">
      <w:pPr>
        <w:pStyle w:val="9"/>
        <w:adjustRightInd w:val="0"/>
        <w:snapToGrid w:val="0"/>
        <w:spacing w:line="360" w:lineRule="auto"/>
        <w:jc w:val="center"/>
        <w:outlineLv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
          <w:color w:val="auto"/>
          <w:szCs w:val="21"/>
        </w:rPr>
        <w:t>第一章  比选公告</w:t>
      </w:r>
    </w:p>
    <w:p w14:paraId="43C54C75">
      <w:pPr>
        <w:adjustRightInd w:val="0"/>
        <w:snapToGrid w:val="0"/>
        <w:spacing w:line="400" w:lineRule="exact"/>
        <w:ind w:firstLine="422"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一、项目基本情况</w:t>
      </w:r>
    </w:p>
    <w:p w14:paraId="213D15B9">
      <w:pPr>
        <w:pStyle w:val="9"/>
        <w:adjustRightInd w:val="0"/>
        <w:snapToGrid w:val="0"/>
        <w:spacing w:line="400" w:lineRule="exact"/>
        <w:ind w:firstLine="420" w:firstLineChars="200"/>
        <w:jc w:val="left"/>
        <w:outlineLvl w:val="0"/>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rPr>
        <w:t>1、项目编号：</w:t>
      </w:r>
      <w:r>
        <w:rPr>
          <w:rFonts w:hint="eastAsia" w:asciiTheme="minorEastAsia" w:hAnsiTheme="minorEastAsia" w:eastAsiaTheme="minorEastAsia" w:cstheme="minorEastAsia"/>
          <w:bCs/>
          <w:color w:val="auto"/>
          <w:szCs w:val="21"/>
          <w:lang w:val="en-US" w:eastAsia="zh-CN"/>
        </w:rPr>
        <w:t>zfcg-fw-20240902-001；</w:t>
      </w:r>
    </w:p>
    <w:p w14:paraId="6E15FD13">
      <w:pPr>
        <w:pStyle w:val="9"/>
        <w:adjustRightInd w:val="0"/>
        <w:snapToGrid w:val="0"/>
        <w:spacing w:line="400" w:lineRule="exact"/>
        <w:ind w:firstLine="420" w:firstLineChars="200"/>
        <w:jc w:val="left"/>
        <w:outlineLv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2、项目名称：2024年-2026年海口江东新区信用园区建设咨询服务采购；</w:t>
      </w:r>
    </w:p>
    <w:p w14:paraId="6188C10A">
      <w:pPr>
        <w:pStyle w:val="9"/>
        <w:adjustRightInd w:val="0"/>
        <w:snapToGrid w:val="0"/>
        <w:spacing w:line="400" w:lineRule="exact"/>
        <w:ind w:firstLine="420" w:firstLineChars="200"/>
        <w:jc w:val="left"/>
        <w:outlineLvl w:val="0"/>
        <w:rPr>
          <w:rFonts w:hAnsi="宋体" w:cs="宋体"/>
          <w:color w:val="auto"/>
          <w:szCs w:val="21"/>
        </w:rPr>
      </w:pPr>
      <w:r>
        <w:rPr>
          <w:rFonts w:hint="eastAsia" w:asciiTheme="minorEastAsia" w:hAnsiTheme="minorEastAsia" w:eastAsiaTheme="minorEastAsia" w:cstheme="minorEastAsia"/>
          <w:bCs/>
          <w:color w:val="auto"/>
          <w:szCs w:val="21"/>
        </w:rPr>
        <w:t>3、最高限价：</w:t>
      </w:r>
      <w:r>
        <w:rPr>
          <w:rFonts w:hint="eastAsia" w:asciiTheme="minorEastAsia" w:hAnsiTheme="minorEastAsia" w:eastAsiaTheme="minorEastAsia" w:cstheme="minorEastAsia"/>
          <w:bCs/>
          <w:color w:val="auto"/>
          <w:szCs w:val="21"/>
          <w:lang w:val="en-US" w:eastAsia="zh-CN"/>
        </w:rPr>
        <w:t>150</w:t>
      </w:r>
      <w:r>
        <w:rPr>
          <w:rFonts w:hint="eastAsia" w:asciiTheme="minorEastAsia" w:hAnsiTheme="minorEastAsia" w:eastAsiaTheme="minorEastAsia" w:cstheme="minorEastAsia"/>
          <w:bCs/>
          <w:color w:val="auto"/>
          <w:szCs w:val="21"/>
        </w:rPr>
        <w:t>.00万元(不含</w:t>
      </w:r>
      <w:r>
        <w:rPr>
          <w:rFonts w:hint="eastAsia" w:asciiTheme="minorEastAsia" w:hAnsiTheme="minorEastAsia" w:eastAsiaTheme="minorEastAsia" w:cstheme="minorEastAsia"/>
          <w:bCs/>
          <w:color w:val="auto"/>
          <w:szCs w:val="21"/>
          <w:lang w:val="en-US" w:eastAsia="zh-CN"/>
        </w:rPr>
        <w:t>150</w:t>
      </w:r>
      <w:r>
        <w:rPr>
          <w:rFonts w:hint="eastAsia" w:asciiTheme="minorEastAsia" w:hAnsiTheme="minorEastAsia" w:eastAsiaTheme="minorEastAsia" w:cstheme="minorEastAsia"/>
          <w:bCs/>
          <w:color w:val="auto"/>
          <w:szCs w:val="21"/>
        </w:rPr>
        <w:t>万元，超出最高限价将作无效响应处理)；</w:t>
      </w:r>
    </w:p>
    <w:p w14:paraId="2F5D5F05">
      <w:pPr>
        <w:pStyle w:val="9"/>
        <w:adjustRightInd w:val="0"/>
        <w:snapToGrid w:val="0"/>
        <w:spacing w:line="400" w:lineRule="exact"/>
        <w:ind w:firstLine="420" w:firstLineChars="200"/>
        <w:jc w:val="left"/>
        <w:outlineLv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4、采购需求：详见采购比选文件第二章；</w:t>
      </w:r>
    </w:p>
    <w:p w14:paraId="617E10A0">
      <w:pPr>
        <w:pStyle w:val="9"/>
        <w:adjustRightInd w:val="0"/>
        <w:snapToGrid w:val="0"/>
        <w:spacing w:line="400" w:lineRule="exact"/>
        <w:ind w:firstLine="420" w:firstLineChars="200"/>
        <w:jc w:val="left"/>
        <w:outlineLvl w:val="0"/>
        <w:rPr>
          <w:rFonts w:hint="eastAsia" w:asciiTheme="minorEastAsia" w:hAnsiTheme="minorEastAsia" w:eastAsiaTheme="minorEastAsia" w:cstheme="minorEastAsia"/>
          <w:bCs/>
          <w:color w:val="auto"/>
          <w:szCs w:val="21"/>
          <w:lang w:eastAsia="zh-CN"/>
        </w:rPr>
      </w:pPr>
      <w:bookmarkStart w:id="8" w:name="_Toc35393791"/>
      <w:bookmarkStart w:id="9" w:name="_Toc28359080"/>
      <w:bookmarkStart w:id="10" w:name="_Toc28359003"/>
      <w:bookmarkStart w:id="11" w:name="_Toc35393622"/>
      <w:r>
        <w:rPr>
          <w:rFonts w:hint="eastAsia" w:asciiTheme="minorEastAsia" w:hAnsiTheme="minorEastAsia" w:eastAsiaTheme="minorEastAsia" w:cstheme="minorEastAsia"/>
          <w:bCs/>
          <w:color w:val="auto"/>
          <w:szCs w:val="21"/>
        </w:rPr>
        <w:t>5、服务期限：2024年9月-2026年</w:t>
      </w:r>
      <w:r>
        <w:rPr>
          <w:rFonts w:hint="eastAsia" w:asciiTheme="minorEastAsia" w:hAnsiTheme="minorEastAsia" w:eastAsiaTheme="minorEastAsia" w:cstheme="minorEastAsia"/>
          <w:bCs/>
          <w:color w:val="auto"/>
          <w:szCs w:val="21"/>
          <w:lang w:val="en-US" w:eastAsia="zh-CN"/>
        </w:rPr>
        <w:t>12</w:t>
      </w:r>
      <w:r>
        <w:rPr>
          <w:rFonts w:hint="eastAsia" w:asciiTheme="minorEastAsia" w:hAnsiTheme="minorEastAsia" w:eastAsiaTheme="minorEastAsia" w:cstheme="minorEastAsia"/>
          <w:bCs/>
          <w:color w:val="auto"/>
          <w:szCs w:val="21"/>
        </w:rPr>
        <w:t>月</w:t>
      </w:r>
      <w:r>
        <w:rPr>
          <w:rFonts w:hint="eastAsia" w:asciiTheme="minorEastAsia" w:hAnsiTheme="minorEastAsia" w:eastAsiaTheme="minorEastAsia" w:cstheme="minorEastAsia"/>
          <w:bCs/>
          <w:color w:val="auto"/>
          <w:szCs w:val="21"/>
          <w:lang w:eastAsia="zh-CN"/>
        </w:rPr>
        <w:t>；</w:t>
      </w:r>
    </w:p>
    <w:p w14:paraId="156C6404">
      <w:pPr>
        <w:pStyle w:val="9"/>
        <w:adjustRightInd w:val="0"/>
        <w:snapToGrid w:val="0"/>
        <w:spacing w:line="400" w:lineRule="exact"/>
        <w:ind w:firstLine="420" w:firstLineChars="200"/>
        <w:jc w:val="left"/>
        <w:outlineLv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6、服务地点：海口江东新区。</w:t>
      </w:r>
    </w:p>
    <w:bookmarkEnd w:id="8"/>
    <w:bookmarkEnd w:id="9"/>
    <w:bookmarkEnd w:id="10"/>
    <w:bookmarkEnd w:id="11"/>
    <w:p w14:paraId="1D2C0BC4">
      <w:pPr>
        <w:pStyle w:val="9"/>
        <w:adjustRightInd w:val="0"/>
        <w:snapToGrid w:val="0"/>
        <w:spacing w:line="400" w:lineRule="exact"/>
        <w:ind w:firstLine="422" w:firstLineChars="200"/>
        <w:jc w:val="left"/>
        <w:outlineLvl w:val="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二、供应商的资格要求：</w:t>
      </w:r>
    </w:p>
    <w:p w14:paraId="4FF9FB81">
      <w:pPr>
        <w:pStyle w:val="9"/>
        <w:adjustRightInd w:val="0"/>
        <w:snapToGrid w:val="0"/>
        <w:spacing w:line="400" w:lineRule="exact"/>
        <w:ind w:firstLine="420" w:firstLineChars="200"/>
        <w:jc w:val="left"/>
        <w:outlineLvl w:val="0"/>
        <w:rPr>
          <w:rFonts w:hAnsi="宋体" w:cs="宋体"/>
          <w:bCs/>
          <w:color w:val="auto"/>
          <w:szCs w:val="21"/>
        </w:rPr>
      </w:pPr>
      <w:bookmarkStart w:id="12" w:name="_Toc35393623"/>
      <w:bookmarkStart w:id="13" w:name="_Toc28359004"/>
      <w:bookmarkStart w:id="14" w:name="_Toc28359081"/>
      <w:bookmarkStart w:id="15" w:name="_Toc35393792"/>
      <w:r>
        <w:rPr>
          <w:rFonts w:hint="eastAsia" w:hAnsi="宋体" w:cs="宋体"/>
          <w:bCs/>
          <w:color w:val="auto"/>
          <w:szCs w:val="21"/>
        </w:rPr>
        <w:t>1、满足《中华人民共和国政府采购法》第二十二条规定；</w:t>
      </w:r>
    </w:p>
    <w:p w14:paraId="6F84F77B">
      <w:pPr>
        <w:pStyle w:val="9"/>
        <w:adjustRightInd w:val="0"/>
        <w:snapToGrid w:val="0"/>
        <w:spacing w:line="400" w:lineRule="exact"/>
        <w:ind w:firstLine="420" w:firstLineChars="200"/>
        <w:jc w:val="left"/>
        <w:outlineLvl w:val="0"/>
        <w:rPr>
          <w:rFonts w:hAnsi="宋体" w:cs="宋体"/>
          <w:bCs/>
          <w:color w:val="auto"/>
          <w:szCs w:val="21"/>
        </w:rPr>
      </w:pPr>
      <w:r>
        <w:rPr>
          <w:rFonts w:hint="eastAsia" w:hAnsi="宋体" w:cs="宋体"/>
          <w:bCs/>
          <w:color w:val="auto"/>
          <w:szCs w:val="21"/>
        </w:rPr>
        <w:t>2、符合采购人根据采购项目实际情况要求的特定资格条件和其他法律法规规定的条件，具体如下：</w:t>
      </w:r>
    </w:p>
    <w:p w14:paraId="2EC855D7">
      <w:pPr>
        <w:pStyle w:val="9"/>
        <w:adjustRightInd w:val="0"/>
        <w:snapToGrid w:val="0"/>
        <w:spacing w:line="400" w:lineRule="exact"/>
        <w:ind w:firstLine="420" w:firstLineChars="200"/>
        <w:jc w:val="left"/>
        <w:outlineLvl w:val="0"/>
        <w:rPr>
          <w:rFonts w:hAnsi="宋体" w:cs="宋体"/>
          <w:bCs/>
          <w:color w:val="auto"/>
          <w:szCs w:val="21"/>
        </w:rPr>
      </w:pPr>
      <w:r>
        <w:rPr>
          <w:rFonts w:hint="eastAsia" w:hAnsi="宋体" w:cs="宋体"/>
          <w:bCs/>
          <w:color w:val="auto"/>
          <w:szCs w:val="21"/>
          <w:lang w:val="en-US" w:eastAsia="zh-CN"/>
        </w:rPr>
        <w:t>2</w:t>
      </w:r>
      <w:r>
        <w:rPr>
          <w:rFonts w:hint="eastAsia" w:hAnsi="宋体" w:cs="宋体"/>
          <w:bCs/>
          <w:color w:val="auto"/>
          <w:szCs w:val="21"/>
        </w:rPr>
        <w:t>.1、供应商未被列入失信被执行人、重大税收违法案件当事人名单（税收违法黑名单）和政府采购严重违法失信行为记录名单（须提供“信用中国”网站（www.creditchina.gov.cn)查询失信被执行人、重大税收违法案件当事人名单（税收违法黑名单）的查询结果截图并加盖公章；和“中国政府采购网”网站（http://www.ccgp.gov.cn/）查询政府采购严重违法失信行为记录名单的查询结果截图并加盖公章），如相关失信记录已失效，供应商须提供相关证明资料并加盖公章；</w:t>
      </w:r>
    </w:p>
    <w:p w14:paraId="5A83D0FF">
      <w:pPr>
        <w:pStyle w:val="9"/>
        <w:adjustRightInd w:val="0"/>
        <w:snapToGrid w:val="0"/>
        <w:spacing w:line="400" w:lineRule="exact"/>
        <w:ind w:firstLine="420" w:firstLineChars="200"/>
        <w:jc w:val="left"/>
        <w:outlineLvl w:val="0"/>
        <w:rPr>
          <w:rFonts w:hAnsi="宋体" w:cs="宋体"/>
          <w:bCs/>
          <w:color w:val="auto"/>
          <w:szCs w:val="21"/>
        </w:rPr>
      </w:pPr>
      <w:r>
        <w:rPr>
          <w:rFonts w:hint="eastAsia" w:hAnsi="宋体" w:cs="宋体"/>
          <w:bCs/>
          <w:color w:val="auto"/>
          <w:szCs w:val="21"/>
          <w:lang w:val="en-US" w:eastAsia="zh-CN"/>
        </w:rPr>
        <w:t>2</w:t>
      </w:r>
      <w:r>
        <w:rPr>
          <w:rFonts w:hint="eastAsia" w:hAnsi="宋体" w:cs="宋体"/>
          <w:bCs/>
          <w:color w:val="auto"/>
          <w:szCs w:val="21"/>
        </w:rPr>
        <w:t>.2本项目接受联合体响应。</w:t>
      </w:r>
    </w:p>
    <w:bookmarkEnd w:id="12"/>
    <w:bookmarkEnd w:id="13"/>
    <w:bookmarkEnd w:id="14"/>
    <w:bookmarkEnd w:id="15"/>
    <w:p w14:paraId="3D613C12">
      <w:pPr>
        <w:pStyle w:val="9"/>
        <w:adjustRightInd w:val="0"/>
        <w:snapToGrid w:val="0"/>
        <w:spacing w:line="400" w:lineRule="exact"/>
        <w:ind w:firstLine="422" w:firstLineChars="200"/>
        <w:jc w:val="left"/>
        <w:outlineLvl w:val="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三、采购比选文件获取时间、获取办法</w:t>
      </w:r>
    </w:p>
    <w:p w14:paraId="1C58BB10">
      <w:pPr>
        <w:pStyle w:val="9"/>
        <w:adjustRightInd w:val="0"/>
        <w:snapToGrid w:val="0"/>
        <w:spacing w:line="400" w:lineRule="exact"/>
        <w:ind w:firstLine="420" w:firstLineChars="200"/>
        <w:jc w:val="left"/>
        <w:outlineLvl w:val="0"/>
        <w:rPr>
          <w:rFonts w:hint="eastAsia" w:asciiTheme="minorEastAsia" w:hAnsiTheme="minorEastAsia" w:eastAsiaTheme="minorEastAsia" w:cstheme="minorEastAsia"/>
          <w:bCs/>
          <w:color w:val="auto"/>
          <w:szCs w:val="21"/>
          <w:lang w:eastAsia="zh-CN"/>
        </w:rPr>
      </w:pPr>
      <w:bookmarkStart w:id="16" w:name="_Toc35393627"/>
      <w:bookmarkStart w:id="17" w:name="_Toc28359085"/>
      <w:bookmarkStart w:id="18" w:name="_Toc35393796"/>
      <w:bookmarkStart w:id="19" w:name="_Toc28359008"/>
      <w:r>
        <w:rPr>
          <w:rFonts w:hint="eastAsia" w:asciiTheme="minorEastAsia" w:hAnsiTheme="minorEastAsia" w:eastAsiaTheme="minorEastAsia" w:cstheme="minorEastAsia"/>
          <w:bCs/>
          <w:color w:val="auto"/>
          <w:szCs w:val="21"/>
        </w:rPr>
        <w:t>1、采购比选文件获取时间：2024年9月3日00时00分至2024年9月9日24时00分</w:t>
      </w:r>
      <w:r>
        <w:rPr>
          <w:rFonts w:hint="eastAsia" w:asciiTheme="minorEastAsia" w:hAnsiTheme="minorEastAsia" w:eastAsiaTheme="minorEastAsia" w:cstheme="minorEastAsia"/>
          <w:bCs/>
          <w:color w:val="auto"/>
          <w:szCs w:val="21"/>
          <w:lang w:eastAsia="zh-CN"/>
        </w:rPr>
        <w:t>；</w:t>
      </w:r>
    </w:p>
    <w:p w14:paraId="1D27888D">
      <w:pPr>
        <w:pStyle w:val="9"/>
        <w:adjustRightInd w:val="0"/>
        <w:snapToGrid w:val="0"/>
        <w:spacing w:line="400" w:lineRule="exact"/>
        <w:ind w:firstLine="420" w:firstLineChars="200"/>
        <w:jc w:val="left"/>
        <w:outlineLvl w:val="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2、采购比选文件获取方式：请有意向参与本项目采购活动的单位在比选公告界面自行下载比选文件。</w:t>
      </w:r>
    </w:p>
    <w:p w14:paraId="674E1822">
      <w:pPr>
        <w:pStyle w:val="9"/>
        <w:adjustRightInd w:val="0"/>
        <w:snapToGrid w:val="0"/>
        <w:spacing w:line="400" w:lineRule="exact"/>
        <w:ind w:firstLine="422" w:firstLineChars="200"/>
        <w:jc w:val="left"/>
        <w:outlineLvl w:val="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四、响应文件递交截止时间、开标时间及地点</w:t>
      </w:r>
    </w:p>
    <w:p w14:paraId="1079DAA9">
      <w:pPr>
        <w:adjustRightInd w:val="0"/>
        <w:snapToGrid w:val="0"/>
        <w:spacing w:line="400" w:lineRule="exact"/>
        <w:ind w:firstLine="420" w:firstLineChars="200"/>
        <w:rPr>
          <w:rFonts w:hint="eastAsia" w:asciiTheme="minorEastAsia" w:hAnsiTheme="minorEastAsia" w:eastAsiaTheme="minorEastAsia" w:cstheme="minorEastAsia"/>
          <w:bCs/>
          <w:color w:val="auto"/>
          <w:szCs w:val="21"/>
          <w:lang w:eastAsia="zh-CN"/>
        </w:rPr>
      </w:pPr>
      <w:bookmarkStart w:id="20" w:name="_Toc28359007"/>
      <w:bookmarkStart w:id="21" w:name="_Toc28359084"/>
      <w:bookmarkStart w:id="22" w:name="_Toc35393794"/>
      <w:bookmarkStart w:id="23" w:name="_Toc35393625"/>
      <w:r>
        <w:rPr>
          <w:rFonts w:hint="eastAsia" w:asciiTheme="minorEastAsia" w:hAnsiTheme="minorEastAsia" w:eastAsiaTheme="minorEastAsia" w:cstheme="minorEastAsia"/>
          <w:bCs/>
          <w:color w:val="auto"/>
          <w:szCs w:val="21"/>
        </w:rPr>
        <w:t>1、响应文件递交截止时间: 2024年</w:t>
      </w:r>
      <w:r>
        <w:rPr>
          <w:rFonts w:hint="eastAsia" w:asciiTheme="minorEastAsia" w:hAnsiTheme="minorEastAsia" w:eastAsiaTheme="minorEastAsia" w:cstheme="minorEastAsia"/>
          <w:bCs/>
          <w:color w:val="auto"/>
          <w:szCs w:val="21"/>
          <w:lang w:val="en-US" w:eastAsia="zh-CN"/>
        </w:rPr>
        <w:t>9</w:t>
      </w:r>
      <w:r>
        <w:rPr>
          <w:rFonts w:hint="eastAsia" w:asciiTheme="minorEastAsia" w:hAnsiTheme="minorEastAsia" w:eastAsiaTheme="minorEastAsia" w:cstheme="minorEastAsia"/>
          <w:bCs/>
          <w:color w:val="auto"/>
          <w:szCs w:val="21"/>
        </w:rPr>
        <w:t>月</w:t>
      </w:r>
      <w:r>
        <w:rPr>
          <w:rFonts w:hint="eastAsia" w:asciiTheme="minorEastAsia" w:hAnsiTheme="minorEastAsia" w:eastAsiaTheme="minorEastAsia" w:cstheme="minorEastAsia"/>
          <w:bCs/>
          <w:color w:val="auto"/>
          <w:szCs w:val="21"/>
          <w:lang w:val="en-US" w:eastAsia="zh-CN"/>
        </w:rPr>
        <w:t>10</w:t>
      </w:r>
      <w:r>
        <w:rPr>
          <w:rFonts w:hint="eastAsia" w:asciiTheme="minorEastAsia" w:hAnsiTheme="minorEastAsia" w:eastAsiaTheme="minorEastAsia" w:cstheme="minorEastAsia"/>
          <w:bCs/>
          <w:color w:val="auto"/>
          <w:szCs w:val="21"/>
        </w:rPr>
        <w:t>日下午15：00</w:t>
      </w:r>
      <w:r>
        <w:rPr>
          <w:rFonts w:hint="eastAsia" w:asciiTheme="minorEastAsia" w:hAnsiTheme="minorEastAsia" w:eastAsiaTheme="minorEastAsia" w:cstheme="minorEastAsia"/>
          <w:bCs/>
          <w:color w:val="auto"/>
          <w:szCs w:val="21"/>
          <w:lang w:eastAsia="zh-CN"/>
        </w:rPr>
        <w:t>；</w:t>
      </w:r>
    </w:p>
    <w:p w14:paraId="7F7FED38">
      <w:pPr>
        <w:adjustRightInd w:val="0"/>
        <w:snapToGrid w:val="0"/>
        <w:spacing w:line="40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2、开标时间:与响应文件递交截止时间为同一时间；</w:t>
      </w:r>
    </w:p>
    <w:p w14:paraId="5EA07AC6">
      <w:pPr>
        <w:adjustRightInd w:val="0"/>
        <w:snapToGrid w:val="0"/>
        <w:spacing w:line="40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3、响应文件递交及开标地点:海口市美兰区江东大道202号海口江东新区管理局B401室；</w:t>
      </w:r>
    </w:p>
    <w:p w14:paraId="7288F21B">
      <w:pPr>
        <w:adjustRightInd w:val="0"/>
        <w:snapToGrid w:val="0"/>
        <w:spacing w:line="40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4、逾期提交/送达或者未送达指定地点的响应文件，视为无效响应文件不予接收。</w:t>
      </w:r>
    </w:p>
    <w:p w14:paraId="1F84167B">
      <w:pPr>
        <w:pStyle w:val="9"/>
        <w:adjustRightInd w:val="0"/>
        <w:snapToGrid w:val="0"/>
        <w:spacing w:line="400" w:lineRule="exact"/>
        <w:ind w:firstLine="422" w:firstLineChars="200"/>
        <w:jc w:val="left"/>
        <w:outlineLvl w:val="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五、采购信息发布媒体</w:t>
      </w:r>
    </w:p>
    <w:p w14:paraId="46554B6B">
      <w:pPr>
        <w:adjustRightInd w:val="0"/>
        <w:snapToGrid w:val="0"/>
        <w:spacing w:line="400" w:lineRule="exact"/>
        <w:ind w:firstLine="420" w:firstLineChars="20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1、本项目采购信息指定发布媒体为海口江东新区管理局官网；</w:t>
      </w:r>
    </w:p>
    <w:p w14:paraId="1F6585A3">
      <w:pPr>
        <w:pStyle w:val="9"/>
        <w:adjustRightInd w:val="0"/>
        <w:snapToGrid w:val="0"/>
        <w:spacing w:line="400" w:lineRule="exact"/>
        <w:ind w:firstLine="420" w:firstLineChars="200"/>
        <w:jc w:val="left"/>
        <w:outlineLvl w:val="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Cs/>
          <w:color w:val="auto"/>
          <w:szCs w:val="21"/>
        </w:rPr>
        <w:t>2、有关本项目采购比选文件的补遗、澄清及变更信息以上述网站公告与下载为准，采购比选文件与更正公告的内容相互矛盾时，以最后发出的更正公告内容为准</w:t>
      </w:r>
      <w:r>
        <w:rPr>
          <w:rFonts w:hint="eastAsia" w:asciiTheme="minorEastAsia" w:hAnsiTheme="minorEastAsia" w:eastAsiaTheme="minorEastAsia" w:cstheme="minorEastAsia"/>
          <w:b/>
          <w:color w:val="auto"/>
          <w:szCs w:val="21"/>
        </w:rPr>
        <w:t>。</w:t>
      </w:r>
    </w:p>
    <w:p w14:paraId="1E63A05F">
      <w:pPr>
        <w:pStyle w:val="9"/>
        <w:adjustRightInd w:val="0"/>
        <w:snapToGrid w:val="0"/>
        <w:spacing w:line="400" w:lineRule="exact"/>
        <w:ind w:firstLine="422" w:firstLineChars="200"/>
        <w:jc w:val="left"/>
        <w:outlineLvl w:val="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六、公告期限</w:t>
      </w:r>
    </w:p>
    <w:bookmarkEnd w:id="20"/>
    <w:bookmarkEnd w:id="21"/>
    <w:bookmarkEnd w:id="22"/>
    <w:bookmarkEnd w:id="23"/>
    <w:p w14:paraId="1B7B2731">
      <w:pPr>
        <w:widowControl/>
        <w:pBdr>
          <w:top w:val="none" w:color="auto" w:sz="0" w:space="0"/>
          <w:left w:val="none" w:color="auto" w:sz="0" w:space="0"/>
          <w:right w:val="none" w:color="auto" w:sz="0" w:space="0"/>
        </w:pBdr>
        <w:shd w:val="clear" w:fill="FFFFFF"/>
        <w:adjustRightInd w:val="0"/>
        <w:snapToGrid w:val="0"/>
        <w:spacing w:line="400" w:lineRule="exact"/>
        <w:ind w:firstLine="420" w:firstLineChars="200"/>
        <w:jc w:val="left"/>
        <w:outlineLvl w:val="0"/>
        <w:rPr>
          <w:rFonts w:hint="eastAsia" w:asciiTheme="minorEastAsia" w:hAnsiTheme="minorEastAsia" w:eastAsiaTheme="minorEastAsia" w:cstheme="minorEastAsia"/>
          <w:bCs/>
          <w:i w:val="0"/>
          <w:iCs w:val="0"/>
          <w:color w:val="auto"/>
          <w:spacing w:val="0"/>
          <w:sz w:val="21"/>
          <w:szCs w:val="21"/>
          <w:shd w:val="clear" w:fill="FFFFFF"/>
          <w:lang w:val="en-US" w:eastAsia="zh-CN"/>
        </w:rPr>
      </w:pPr>
      <w:r>
        <w:rPr>
          <w:rFonts w:hint="eastAsia" w:asciiTheme="minorEastAsia" w:hAnsiTheme="minorEastAsia" w:eastAsiaTheme="minorEastAsia" w:cstheme="minorEastAsia"/>
          <w:bCs/>
          <w:i w:val="0"/>
          <w:iCs w:val="0"/>
          <w:color w:val="auto"/>
          <w:spacing w:val="0"/>
          <w:sz w:val="21"/>
          <w:szCs w:val="21"/>
          <w:shd w:val="clear" w:fill="FFFFFF"/>
          <w:lang w:val="en-US" w:eastAsia="zh-CN"/>
        </w:rPr>
        <w:t>本项目比选公告、采购比选文件公告自本公告发布之日起不少于3个工作日，自2024年9月3日至2024年9月9日。</w:t>
      </w:r>
    </w:p>
    <w:p w14:paraId="082D02EE">
      <w:pPr>
        <w:keepNext w:val="0"/>
        <w:keepLines w:val="0"/>
        <w:pageBreakBefore w:val="0"/>
        <w:widowControl/>
        <w:numPr>
          <w:ilvl w:val="0"/>
          <w:numId w:val="1"/>
        </w:numPr>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right="0" w:rightChars="0" w:firstLine="422" w:firstLineChars="200"/>
        <w:jc w:val="left"/>
        <w:textAlignment w:val="auto"/>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其他补充事宜</w:t>
      </w:r>
    </w:p>
    <w:p w14:paraId="3C5E813C">
      <w:pPr>
        <w:widowControl/>
        <w:pBdr>
          <w:top w:val="none" w:color="auto" w:sz="0" w:space="0"/>
          <w:left w:val="none" w:color="auto" w:sz="0" w:space="0"/>
          <w:right w:val="none" w:color="auto" w:sz="0" w:space="0"/>
        </w:pBdr>
        <w:shd w:val="clear" w:fill="FFFFFF"/>
        <w:adjustRightInd w:val="0"/>
        <w:snapToGrid w:val="0"/>
        <w:spacing w:line="400" w:lineRule="exact"/>
        <w:ind w:firstLine="420" w:firstLineChars="200"/>
        <w:jc w:val="left"/>
        <w:outlineLvl w:val="0"/>
        <w:rPr>
          <w:rFonts w:hint="eastAsia" w:asciiTheme="minorEastAsia" w:hAnsiTheme="minorEastAsia" w:eastAsiaTheme="minorEastAsia" w:cstheme="minorEastAsia"/>
          <w:b w:val="0"/>
          <w:bCs/>
          <w:color w:val="auto"/>
          <w:kern w:val="2"/>
          <w:sz w:val="21"/>
          <w:szCs w:val="21"/>
        </w:rPr>
      </w:pPr>
      <w:r>
        <w:rPr>
          <w:rFonts w:hint="eastAsia" w:asciiTheme="minorEastAsia" w:hAnsiTheme="minorEastAsia" w:eastAsiaTheme="minorEastAsia" w:cstheme="minorEastAsia"/>
          <w:bCs/>
          <w:i w:val="0"/>
          <w:iCs w:val="0"/>
          <w:color w:val="auto"/>
          <w:spacing w:val="0"/>
          <w:sz w:val="21"/>
          <w:szCs w:val="21"/>
          <w:shd w:val="clear" w:fill="FFFFFF"/>
          <w:lang w:val="en-US" w:eastAsia="zh-CN"/>
        </w:rPr>
        <w:t>在服务期限内，</w:t>
      </w:r>
      <w:r>
        <w:rPr>
          <w:rFonts w:hint="eastAsia" w:asciiTheme="minorEastAsia" w:hAnsiTheme="minorEastAsia" w:eastAsiaTheme="minorEastAsia" w:cstheme="minorEastAsia"/>
          <w:b w:val="0"/>
          <w:bCs/>
          <w:color w:val="auto"/>
          <w:kern w:val="2"/>
          <w:sz w:val="21"/>
          <w:szCs w:val="21"/>
          <w:shd w:val="clear" w:fill="FFFFFF"/>
          <w:lang w:val="en-US" w:eastAsia="zh-CN" w:bidi="ar-SA"/>
        </w:rPr>
        <w:t>预算金额</w:t>
      </w:r>
      <w:r>
        <w:rPr>
          <w:rFonts w:hint="eastAsia" w:asciiTheme="minorEastAsia" w:hAnsiTheme="minorEastAsia" w:eastAsiaTheme="minorEastAsia" w:cstheme="minorEastAsia"/>
          <w:bCs/>
          <w:i w:val="0"/>
          <w:iCs w:val="0"/>
          <w:color w:val="auto"/>
          <w:spacing w:val="0"/>
          <w:sz w:val="21"/>
          <w:szCs w:val="21"/>
          <w:shd w:val="clear" w:fill="FFFFFF"/>
          <w:lang w:val="en-US" w:eastAsia="zh-CN"/>
        </w:rPr>
        <w:t>不超过1，500，0</w:t>
      </w:r>
      <w:r>
        <w:rPr>
          <w:rFonts w:hint="eastAsia" w:asciiTheme="minorEastAsia" w:hAnsiTheme="minorEastAsia" w:eastAsiaTheme="minorEastAsia" w:cstheme="minorEastAsia"/>
          <w:bCs/>
          <w:i w:val="0"/>
          <w:iCs w:val="0"/>
          <w:color w:val="auto"/>
          <w:spacing w:val="0"/>
          <w:sz w:val="21"/>
          <w:szCs w:val="21"/>
          <w:shd w:val="clear" w:fill="FFFFFF"/>
        </w:rPr>
        <w:t>00.00元人民币</w:t>
      </w:r>
      <w:r>
        <w:rPr>
          <w:rFonts w:hint="eastAsia" w:asciiTheme="minorEastAsia" w:hAnsiTheme="minorEastAsia" w:eastAsiaTheme="minorEastAsia" w:cstheme="minorEastAsia"/>
          <w:bCs/>
          <w:i w:val="0"/>
          <w:iCs w:val="0"/>
          <w:color w:val="auto"/>
          <w:spacing w:val="0"/>
          <w:sz w:val="21"/>
          <w:szCs w:val="21"/>
          <w:shd w:val="clear" w:fill="FFFFFF"/>
          <w:lang w:eastAsia="zh-CN"/>
        </w:rPr>
        <w:t>（</w:t>
      </w:r>
      <w:r>
        <w:rPr>
          <w:rFonts w:hint="eastAsia" w:asciiTheme="minorEastAsia" w:hAnsiTheme="minorEastAsia" w:eastAsiaTheme="minorEastAsia" w:cstheme="minorEastAsia"/>
          <w:bCs/>
          <w:i w:val="0"/>
          <w:iCs w:val="0"/>
          <w:color w:val="auto"/>
          <w:spacing w:val="0"/>
          <w:sz w:val="21"/>
          <w:szCs w:val="21"/>
          <w:shd w:val="clear" w:fill="FFFFFF"/>
          <w:lang w:val="en-US" w:eastAsia="zh-CN"/>
        </w:rPr>
        <w:t>含税</w:t>
      </w:r>
      <w:r>
        <w:rPr>
          <w:rFonts w:hint="eastAsia" w:asciiTheme="minorEastAsia" w:hAnsiTheme="minorEastAsia" w:eastAsiaTheme="minorEastAsia" w:cstheme="minorEastAsia"/>
          <w:bCs/>
          <w:i w:val="0"/>
          <w:iCs w:val="0"/>
          <w:color w:val="auto"/>
          <w:spacing w:val="0"/>
          <w:sz w:val="21"/>
          <w:szCs w:val="21"/>
          <w:shd w:val="clear" w:fill="FFFFFF"/>
          <w:lang w:eastAsia="zh-CN"/>
        </w:rPr>
        <w:t>）（</w:t>
      </w:r>
      <w:r>
        <w:rPr>
          <w:rFonts w:hint="eastAsia" w:asciiTheme="minorEastAsia" w:hAnsiTheme="minorEastAsia" w:eastAsiaTheme="minorEastAsia" w:cstheme="minorEastAsia"/>
          <w:bCs/>
          <w:i w:val="0"/>
          <w:iCs w:val="0"/>
          <w:color w:val="auto"/>
          <w:spacing w:val="0"/>
          <w:sz w:val="21"/>
          <w:szCs w:val="21"/>
          <w:shd w:val="clear" w:fill="FFFFFF"/>
          <w:lang w:val="en-US" w:eastAsia="zh-CN"/>
        </w:rPr>
        <w:t>含平台使用费用</w:t>
      </w:r>
      <w:r>
        <w:rPr>
          <w:rFonts w:hint="eastAsia" w:asciiTheme="minorEastAsia" w:hAnsiTheme="minorEastAsia" w:eastAsiaTheme="minorEastAsia" w:cstheme="minorEastAsia"/>
          <w:bCs/>
          <w:i w:val="0"/>
          <w:iCs w:val="0"/>
          <w:color w:val="auto"/>
          <w:spacing w:val="0"/>
          <w:sz w:val="21"/>
          <w:szCs w:val="21"/>
          <w:shd w:val="clear" w:fill="FFFFFF"/>
          <w:lang w:eastAsia="zh-CN"/>
        </w:rPr>
        <w:t>），</w:t>
      </w:r>
      <w:r>
        <w:rPr>
          <w:rFonts w:hint="eastAsia" w:asciiTheme="minorEastAsia" w:hAnsiTheme="minorEastAsia" w:eastAsiaTheme="minorEastAsia" w:cstheme="minorEastAsia"/>
          <w:bCs/>
          <w:i w:val="0"/>
          <w:iCs w:val="0"/>
          <w:color w:val="auto"/>
          <w:spacing w:val="0"/>
          <w:sz w:val="21"/>
          <w:szCs w:val="21"/>
          <w:shd w:val="clear" w:fill="FFFFFF"/>
          <w:lang w:val="en-US" w:eastAsia="zh-CN"/>
        </w:rPr>
        <w:t>另提报服务期限届满后每年平台服务费用报价作评标参考</w:t>
      </w:r>
      <w:r>
        <w:rPr>
          <w:rFonts w:hint="eastAsia" w:asciiTheme="minorEastAsia" w:hAnsiTheme="minorEastAsia" w:eastAsiaTheme="minorEastAsia" w:cstheme="minorEastAsia"/>
          <w:bCs/>
          <w:i w:val="0"/>
          <w:iCs w:val="0"/>
          <w:color w:val="auto"/>
          <w:spacing w:val="0"/>
          <w:sz w:val="21"/>
          <w:szCs w:val="21"/>
          <w:shd w:val="clear" w:fill="FFFFFF"/>
        </w:rPr>
        <w:t>。</w:t>
      </w:r>
    </w:p>
    <w:bookmarkEnd w:id="16"/>
    <w:bookmarkEnd w:id="17"/>
    <w:bookmarkEnd w:id="18"/>
    <w:bookmarkEnd w:id="19"/>
    <w:p w14:paraId="714E1930">
      <w:pPr>
        <w:pStyle w:val="9"/>
        <w:adjustRightInd w:val="0"/>
        <w:snapToGrid w:val="0"/>
        <w:spacing w:line="400" w:lineRule="exact"/>
        <w:ind w:firstLine="422" w:firstLineChars="200"/>
        <w:jc w:val="left"/>
        <w:outlineLvl w:val="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八、对本次招标提出询问，请按以下方式联系</w:t>
      </w:r>
    </w:p>
    <w:p w14:paraId="05937527">
      <w:pPr>
        <w:snapToGrid w:val="0"/>
        <w:spacing w:line="40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名称：海口江东新区管理局 </w:t>
      </w:r>
    </w:p>
    <w:p w14:paraId="029E17BA">
      <w:pPr>
        <w:snapToGrid w:val="0"/>
        <w:spacing w:line="40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地址： 海口市美兰区江东大道202号海口江东新区管理局B401室</w:t>
      </w:r>
    </w:p>
    <w:p w14:paraId="77BB24D5">
      <w:pPr>
        <w:snapToGrid w:val="0"/>
        <w:spacing w:line="400" w:lineRule="exact"/>
        <w:ind w:firstLine="420" w:firstLineChars="200"/>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rPr>
        <w:t>联系人：</w:t>
      </w:r>
      <w:r>
        <w:rPr>
          <w:rFonts w:hint="eastAsia" w:asciiTheme="minorEastAsia" w:hAnsiTheme="minorEastAsia" w:eastAsiaTheme="minorEastAsia" w:cstheme="minorEastAsia"/>
          <w:bCs/>
          <w:color w:val="auto"/>
          <w:szCs w:val="21"/>
          <w:lang w:val="en-US" w:eastAsia="zh-CN"/>
        </w:rPr>
        <w:t>陈工、董工</w:t>
      </w:r>
    </w:p>
    <w:p w14:paraId="3573EB06">
      <w:pPr>
        <w:snapToGrid w:val="0"/>
        <w:spacing w:line="40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联系方式：（0898）65686535/（0898）65686381</w:t>
      </w:r>
    </w:p>
    <w:p w14:paraId="3FC7BCC1">
      <w:pPr>
        <w:snapToGrid w:val="0"/>
        <w:spacing w:line="400" w:lineRule="exact"/>
        <w:ind w:firstLine="420" w:firstLineChars="200"/>
        <w:jc w:val="left"/>
        <w:rPr>
          <w:rFonts w:asciiTheme="minorEastAsia" w:hAnsiTheme="minorEastAsia" w:eastAsiaTheme="minorEastAsia" w:cstheme="minorEastAsia"/>
          <w:bCs/>
          <w:color w:val="auto"/>
          <w:szCs w:val="21"/>
        </w:rPr>
        <w:sectPr>
          <w:headerReference r:id="rId7" w:type="first"/>
          <w:footerReference r:id="rId9" w:type="first"/>
          <w:footerReference r:id="rId8" w:type="default"/>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bCs/>
          <w:color w:val="auto"/>
          <w:szCs w:val="21"/>
        </w:rPr>
        <w:t xml:space="preserve"> </w:t>
      </w:r>
    </w:p>
    <w:p w14:paraId="492AF7A9">
      <w:pPr>
        <w:adjustRightInd w:val="0"/>
        <w:snapToGrid w:val="0"/>
        <w:spacing w:line="360" w:lineRule="auto"/>
        <w:jc w:val="center"/>
        <w:rPr>
          <w:rFonts w:ascii="宋体" w:hAnsi="宋体" w:cs="宋体"/>
          <w:b/>
          <w:color w:val="auto"/>
          <w:szCs w:val="21"/>
        </w:rPr>
      </w:pPr>
      <w:r>
        <w:rPr>
          <w:rFonts w:hint="eastAsia" w:ascii="宋体" w:hAnsi="宋体" w:cs="宋体"/>
          <w:b/>
          <w:color w:val="auto"/>
          <w:szCs w:val="21"/>
        </w:rPr>
        <w:t>第二章  采购需求</w:t>
      </w:r>
    </w:p>
    <w:p w14:paraId="6AD10DD0">
      <w:pPr>
        <w:snapToGrid w:val="0"/>
        <w:spacing w:line="400" w:lineRule="exact"/>
        <w:ind w:firstLine="422"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一、项目概况</w:t>
      </w:r>
    </w:p>
    <w:p w14:paraId="0D71FD27">
      <w:pPr>
        <w:snapToGrid w:val="0"/>
        <w:spacing w:line="400" w:lineRule="exact"/>
        <w:ind w:firstLine="420" w:firstLineChars="200"/>
        <w:rPr>
          <w:rFonts w:hint="eastAsia" w:asciiTheme="minorEastAsia" w:hAnsiTheme="minorEastAsia" w:eastAsiaTheme="minorEastAsia" w:cstheme="minorEastAsia"/>
          <w:bCs/>
          <w:color w:val="auto"/>
          <w:szCs w:val="21"/>
          <w:lang w:eastAsia="zh-CN"/>
        </w:rPr>
      </w:pPr>
      <w:r>
        <w:rPr>
          <w:rFonts w:hint="eastAsia" w:asciiTheme="minorEastAsia" w:hAnsiTheme="minorEastAsia" w:eastAsiaTheme="minorEastAsia" w:cstheme="minorEastAsia"/>
          <w:bCs/>
          <w:color w:val="auto"/>
          <w:szCs w:val="21"/>
        </w:rPr>
        <w:t>1、项目名称：2024年-2026年海口江东新区信用园区建设咨询服务采购</w:t>
      </w:r>
      <w:r>
        <w:rPr>
          <w:rFonts w:hint="eastAsia" w:asciiTheme="minorEastAsia" w:hAnsiTheme="minorEastAsia" w:eastAsiaTheme="minorEastAsia" w:cstheme="minorEastAsia"/>
          <w:bCs/>
          <w:color w:val="auto"/>
          <w:szCs w:val="21"/>
          <w:lang w:eastAsia="zh-CN"/>
        </w:rPr>
        <w:t>；</w:t>
      </w:r>
    </w:p>
    <w:p w14:paraId="7E7E8C12">
      <w:pPr>
        <w:snapToGrid w:val="0"/>
        <w:spacing w:line="400" w:lineRule="exact"/>
        <w:ind w:firstLine="420" w:firstLineChars="200"/>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rPr>
        <w:t>2、项目编号：</w:t>
      </w:r>
      <w:r>
        <w:rPr>
          <w:rFonts w:hint="eastAsia" w:asciiTheme="minorEastAsia" w:hAnsiTheme="minorEastAsia" w:eastAsiaTheme="minorEastAsia" w:cstheme="minorEastAsia"/>
          <w:bCs/>
          <w:color w:val="auto"/>
          <w:szCs w:val="21"/>
          <w:lang w:val="en-US" w:eastAsia="zh-CN"/>
        </w:rPr>
        <w:t>zfcg-fw-20240902-001；</w:t>
      </w:r>
    </w:p>
    <w:p w14:paraId="07BF7B37">
      <w:pPr>
        <w:snapToGrid w:val="0"/>
        <w:spacing w:line="40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3、预算金额：1，500，000.00元人民币（含税）（含平台使用费用）；</w:t>
      </w:r>
    </w:p>
    <w:p w14:paraId="16DAEE08">
      <w:pPr>
        <w:spacing w:line="400" w:lineRule="exact"/>
        <w:ind w:firstLine="420" w:firstLineChars="200"/>
        <w:rPr>
          <w:rFonts w:hint="eastAsia" w:ascii="宋体" w:hAnsi="宋体" w:eastAsiaTheme="minorEastAsia"/>
          <w:bCs/>
          <w:color w:val="auto"/>
          <w:szCs w:val="21"/>
          <w:lang w:eastAsia="zh-CN"/>
        </w:rPr>
      </w:pPr>
      <w:r>
        <w:rPr>
          <w:rFonts w:hint="eastAsia" w:asciiTheme="minorEastAsia" w:hAnsiTheme="minorEastAsia" w:eastAsiaTheme="minorEastAsia" w:cstheme="minorEastAsia"/>
          <w:bCs/>
          <w:color w:val="auto"/>
          <w:szCs w:val="21"/>
        </w:rPr>
        <w:t>4、服务期限：2024年9月-2026年</w:t>
      </w:r>
      <w:r>
        <w:rPr>
          <w:rFonts w:hint="eastAsia" w:asciiTheme="minorEastAsia" w:hAnsiTheme="minorEastAsia" w:eastAsiaTheme="minorEastAsia" w:cstheme="minorEastAsia"/>
          <w:bCs/>
          <w:color w:val="auto"/>
          <w:szCs w:val="21"/>
          <w:lang w:val="en-US" w:eastAsia="zh-CN"/>
        </w:rPr>
        <w:t>12</w:t>
      </w:r>
      <w:r>
        <w:rPr>
          <w:rFonts w:hint="eastAsia" w:asciiTheme="minorEastAsia" w:hAnsiTheme="minorEastAsia" w:eastAsiaTheme="minorEastAsia" w:cstheme="minorEastAsia"/>
          <w:bCs/>
          <w:color w:val="auto"/>
          <w:szCs w:val="21"/>
        </w:rPr>
        <w:t>月</w:t>
      </w:r>
      <w:r>
        <w:rPr>
          <w:rFonts w:hint="eastAsia" w:asciiTheme="minorEastAsia" w:hAnsiTheme="minorEastAsia" w:eastAsiaTheme="minorEastAsia" w:cstheme="minorEastAsia"/>
          <w:bCs/>
          <w:color w:val="auto"/>
          <w:szCs w:val="21"/>
          <w:lang w:eastAsia="zh-CN"/>
        </w:rPr>
        <w:t>；</w:t>
      </w:r>
    </w:p>
    <w:p w14:paraId="37ACCEF2">
      <w:pPr>
        <w:snapToGrid w:val="0"/>
        <w:spacing w:line="40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5、服务地点：海口江东新区（采购人指定地点）；</w:t>
      </w:r>
    </w:p>
    <w:p w14:paraId="045259C1">
      <w:pPr>
        <w:snapToGrid w:val="0"/>
        <w:spacing w:line="400" w:lineRule="exact"/>
        <w:ind w:firstLine="420" w:firstLineChars="200"/>
        <w:rPr>
          <w:rFonts w:hint="eastAsia" w:asciiTheme="minorEastAsia" w:hAnsiTheme="minorEastAsia" w:eastAsiaTheme="minorEastAsia" w:cstheme="minorEastAsia"/>
          <w:bCs/>
          <w:color w:val="auto"/>
          <w:szCs w:val="21"/>
          <w:lang w:eastAsia="zh-CN"/>
        </w:rPr>
      </w:pPr>
      <w:r>
        <w:rPr>
          <w:rFonts w:hint="eastAsia" w:asciiTheme="minorEastAsia" w:hAnsiTheme="minorEastAsia" w:eastAsiaTheme="minorEastAsia" w:cstheme="minorEastAsia"/>
          <w:bCs/>
          <w:color w:val="auto"/>
          <w:szCs w:val="21"/>
        </w:rPr>
        <w:t>6、所属行业：其它服务业</w:t>
      </w:r>
      <w:r>
        <w:rPr>
          <w:rFonts w:hint="eastAsia" w:asciiTheme="minorEastAsia" w:hAnsiTheme="minorEastAsia" w:eastAsiaTheme="minorEastAsia" w:cstheme="minorEastAsia"/>
          <w:bCs/>
          <w:color w:val="auto"/>
          <w:szCs w:val="21"/>
          <w:lang w:eastAsia="zh-CN"/>
        </w:rPr>
        <w:t>；</w:t>
      </w:r>
    </w:p>
    <w:p w14:paraId="147A9C1F">
      <w:pPr>
        <w:snapToGrid w:val="0"/>
        <w:spacing w:line="40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7、付款方式：届时由成交供应商与采购人签订合同；</w:t>
      </w:r>
    </w:p>
    <w:p w14:paraId="6E1BBD0C">
      <w:pPr>
        <w:snapToGrid w:val="0"/>
        <w:spacing w:line="40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8、验收标准：按国家行业规范标准及合同要求进行验收。</w:t>
      </w:r>
    </w:p>
    <w:p w14:paraId="7894057A">
      <w:pPr>
        <w:snapToGrid w:val="0"/>
        <w:spacing w:line="400" w:lineRule="exact"/>
        <w:ind w:firstLine="422"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二、服务内容</w:t>
      </w:r>
    </w:p>
    <w:p w14:paraId="1E4E4987">
      <w:pPr>
        <w:pStyle w:val="51"/>
        <w:spacing w:line="400" w:lineRule="exact"/>
        <w:ind w:firstLine="420" w:firstLineChars="200"/>
        <w:jc w:val="both"/>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根据省、市社会信用建设相关工作要求，第三方信用服务机构需为江东新区信用园区建设提供专业咨询、业务指导、文件编制、应用策划、场景辅导和技术支撑等服务，具体服务内容如下：</w:t>
      </w:r>
    </w:p>
    <w:p w14:paraId="0432AE49">
      <w:pPr>
        <w:pStyle w:val="51"/>
        <w:spacing w:line="400" w:lineRule="exact"/>
        <w:ind w:firstLine="422" w:firstLineChars="200"/>
        <w:jc w:val="both"/>
        <w:rPr>
          <w:rFonts w:hint="eastAsia" w:ascii="Times New Roman" w:hAnsi="Times New Roman" w:cs="Times New Roman"/>
          <w:b/>
          <w:bCs/>
          <w:color w:val="auto"/>
          <w:kern w:val="2"/>
          <w:sz w:val="21"/>
          <w:lang w:eastAsia="zh-CN"/>
        </w:rPr>
      </w:pPr>
      <w:r>
        <w:rPr>
          <w:rFonts w:hint="eastAsia" w:ascii="Times New Roman" w:hAnsi="Times New Roman" w:cs="Times New Roman"/>
          <w:b/>
          <w:bCs/>
          <w:color w:val="auto"/>
          <w:kern w:val="2"/>
          <w:sz w:val="21"/>
          <w:lang w:eastAsia="zh-CN"/>
        </w:rPr>
        <w:t>（一）编制园区信用制度和标准体系</w:t>
      </w:r>
    </w:p>
    <w:p w14:paraId="008D9E5D">
      <w:pPr>
        <w:pStyle w:val="51"/>
        <w:spacing w:line="400" w:lineRule="exact"/>
        <w:ind w:firstLine="420" w:firstLineChars="200"/>
        <w:jc w:val="both"/>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第三方信用服务机构需根据省、市关于社会信用体系建设工作要求，围绕园区产业特色，聚焦园区信用信息目录、信用信息归集、绘制企业信用画像、应用场景建设、信用监管、数据互联共享、守信激励、失信惩戒、诚信文化培训及宣传等方面，并结合政务审批、项目建设、招投标、信贷、劳动用工、生产经营、人才服务、履约践诺、联合奖惩等维度，深化“审管法信”全流程监管，编制完成《海口江东新区信用园区建设总体方案》《海口江东新区信用园区建设三年行动计划（2024－2026）》《海口江东新区公共信用信息目录》，按年度完成每年的建设信用园区行动方案，建立园区多维度顶层信用制度体系。</w:t>
      </w:r>
    </w:p>
    <w:p w14:paraId="06DC5DB6">
      <w:pPr>
        <w:pStyle w:val="51"/>
        <w:spacing w:line="400" w:lineRule="exact"/>
        <w:ind w:firstLine="422" w:firstLineChars="200"/>
        <w:jc w:val="both"/>
        <w:rPr>
          <w:rFonts w:hint="eastAsia" w:ascii="Times New Roman" w:hAnsi="Times New Roman" w:eastAsia="宋体" w:cs="Times New Roman"/>
          <w:b/>
          <w:bCs/>
          <w:color w:val="auto"/>
          <w:kern w:val="2"/>
          <w:sz w:val="21"/>
          <w:lang w:val="en-US" w:eastAsia="zh-CN"/>
        </w:rPr>
      </w:pPr>
      <w:r>
        <w:rPr>
          <w:rFonts w:hint="eastAsia" w:ascii="Times New Roman" w:hAnsi="Times New Roman" w:eastAsia="宋体" w:cs="Times New Roman"/>
          <w:b/>
          <w:bCs/>
          <w:color w:val="auto"/>
          <w:kern w:val="2"/>
          <w:sz w:val="21"/>
          <w:lang w:val="en-US" w:eastAsia="zh-CN"/>
        </w:rPr>
        <w:t>（二）绘制园区存量、增量企业信用初画像</w:t>
      </w:r>
    </w:p>
    <w:p w14:paraId="0E965053">
      <w:pPr>
        <w:pStyle w:val="51"/>
        <w:spacing w:line="400" w:lineRule="exact"/>
        <w:ind w:firstLine="420" w:firstLineChars="200"/>
        <w:jc w:val="both"/>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第三方信用服务机构结合企业工商注册信息、企业生产经营情况信息、税收信息、信贷信息、合同履约情况信息、诉讼信息、行政许可和行政处罚“双公示”等行政管理信息，绘制完成园区现有存量企业、2024年－2026年各年度新增企业及在园区内为项目建设提供勘察、设计、咨询、监理和施工服务的参建各方信用初画像，为日后分级分类精准监管和惠企便民服务奠定基础。</w:t>
      </w:r>
    </w:p>
    <w:p w14:paraId="26C9B3AB">
      <w:pPr>
        <w:pStyle w:val="51"/>
        <w:spacing w:line="400" w:lineRule="exact"/>
        <w:ind w:firstLine="422" w:firstLineChars="200"/>
        <w:jc w:val="both"/>
        <w:rPr>
          <w:rFonts w:hint="eastAsia" w:ascii="Times New Roman" w:hAnsi="Times New Roman" w:cs="Times New Roman"/>
          <w:b/>
          <w:bCs/>
          <w:color w:val="auto"/>
          <w:kern w:val="2"/>
          <w:sz w:val="21"/>
          <w:lang w:eastAsia="zh-CN"/>
        </w:rPr>
      </w:pPr>
      <w:r>
        <w:rPr>
          <w:rFonts w:hint="eastAsia" w:ascii="Times New Roman" w:hAnsi="Times New Roman" w:cs="Times New Roman"/>
          <w:b/>
          <w:bCs/>
          <w:color w:val="auto"/>
          <w:kern w:val="2"/>
          <w:sz w:val="21"/>
          <w:lang w:eastAsia="zh-CN"/>
        </w:rPr>
        <w:t>（三）提供园区信用管理平台服务功能</w:t>
      </w:r>
    </w:p>
    <w:p w14:paraId="4BA3A58A">
      <w:pPr>
        <w:pStyle w:val="51"/>
        <w:spacing w:line="400" w:lineRule="exact"/>
        <w:ind w:firstLine="420" w:firstLineChars="200"/>
        <w:jc w:val="both"/>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第三方信用服务机构需根据园区信用建设规划方向及工作要求，利用自身资源或平台优势，提供成熟、可靠的信用应用数字化支撑服务，具体包括信用数据归集服务、信用数据治理服务、信用信息公示服务、信用档案建设服务、信用评价建设服务、信用预警建设服务等服务，相关技术服务需在合同签订后三个月内达到上线试运行标准。</w:t>
      </w:r>
    </w:p>
    <w:p w14:paraId="158FAAFC">
      <w:pPr>
        <w:pStyle w:val="51"/>
        <w:spacing w:line="400" w:lineRule="exact"/>
        <w:ind w:firstLine="422" w:firstLineChars="200"/>
        <w:jc w:val="both"/>
        <w:rPr>
          <w:rFonts w:hint="eastAsia" w:ascii="Times New Roman" w:hAnsi="Times New Roman" w:cs="Times New Roman"/>
          <w:b/>
          <w:bCs/>
          <w:color w:val="auto"/>
          <w:kern w:val="2"/>
          <w:sz w:val="21"/>
          <w:lang w:eastAsia="zh-CN"/>
        </w:rPr>
      </w:pPr>
      <w:r>
        <w:rPr>
          <w:rFonts w:hint="eastAsia" w:ascii="Times New Roman" w:hAnsi="Times New Roman" w:cs="Times New Roman"/>
          <w:b/>
          <w:bCs/>
          <w:color w:val="auto"/>
          <w:kern w:val="2"/>
          <w:sz w:val="21"/>
          <w:lang w:eastAsia="zh-CN"/>
        </w:rPr>
        <w:t>（四）园区信用应用场景建设</w:t>
      </w:r>
    </w:p>
    <w:p w14:paraId="74D94D7B">
      <w:pPr>
        <w:pStyle w:val="51"/>
        <w:spacing w:line="400" w:lineRule="exact"/>
        <w:ind w:firstLine="420" w:firstLineChars="200"/>
        <w:jc w:val="both"/>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第三方信用服务机构围绕园区行政审批、产业发展、项目建设、金融信贷、招商引资、企业服务、人才服务、招投标、政策兑现等领域，构建园区信用激励应用场景体系，编制完成《海口江东新区“信用+”场景建设实施方案》，推动完成2024年－2026年服务期内开发不少于10个场景，2024年度不少于3个场景建设，2025年度不少于3个场景建设，2026年不少于4个场景建设，赋能审批、监管、执法高效协同。编制完成《海口江东新区个人诚信积分应用管理办法》，推动“信用+租购房补贴”“信用+安居房申购”等信用+惠民工程，增强园区守信企业及人才的获得感。</w:t>
      </w:r>
    </w:p>
    <w:p w14:paraId="1C42B19F">
      <w:pPr>
        <w:pStyle w:val="51"/>
        <w:spacing w:line="400" w:lineRule="exact"/>
        <w:ind w:firstLine="422" w:firstLineChars="200"/>
        <w:jc w:val="both"/>
        <w:rPr>
          <w:rFonts w:hint="eastAsia" w:ascii="Times New Roman" w:hAnsi="Times New Roman" w:cs="Times New Roman"/>
          <w:b/>
          <w:bCs/>
          <w:color w:val="auto"/>
          <w:kern w:val="2"/>
          <w:sz w:val="21"/>
          <w:lang w:eastAsia="zh-CN"/>
        </w:rPr>
      </w:pPr>
      <w:r>
        <w:rPr>
          <w:rFonts w:hint="eastAsia" w:ascii="Times New Roman" w:hAnsi="Times New Roman" w:cs="Times New Roman"/>
          <w:b/>
          <w:bCs/>
          <w:color w:val="auto"/>
          <w:kern w:val="2"/>
          <w:sz w:val="21"/>
          <w:lang w:eastAsia="zh-CN"/>
        </w:rPr>
        <w:t>（五）信用经验总结、案例提炼和学习机制建立服务</w:t>
      </w:r>
    </w:p>
    <w:p w14:paraId="6F0B6A91">
      <w:pPr>
        <w:pStyle w:val="51"/>
        <w:spacing w:line="400" w:lineRule="exact"/>
        <w:ind w:firstLine="420" w:firstLineChars="200"/>
        <w:jc w:val="both"/>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kern w:val="2"/>
          <w:sz w:val="21"/>
          <w:szCs w:val="21"/>
          <w:lang w:val="en-US" w:eastAsia="zh-CN" w:bidi="ar-SA"/>
        </w:rPr>
        <w:t>为促进园区信用建设的持续提升与丰富创新，第三方信用服务机构需充分掌握和深入研究国内外园区信用体系建设发展动向和先进做法，推进江东新区信用园区的持续发展与创新，每半年编制形成一份《国内外先进信用园区经验案例报告》，全面、客观地搜集并分析国内外信用园区建设与管理方面的成功案例，该汇编需结合每一经验案例做法，提出具有科学性和可操作性的意见建议。汇编成册（共5期）。</w:t>
      </w:r>
    </w:p>
    <w:p w14:paraId="635CF585">
      <w:pPr>
        <w:pStyle w:val="51"/>
        <w:spacing w:line="400" w:lineRule="exact"/>
        <w:ind w:firstLine="422" w:firstLineChars="200"/>
        <w:jc w:val="both"/>
        <w:rPr>
          <w:rFonts w:ascii="Times New Roman" w:hAnsi="Times New Roman" w:cs="Times New Roman"/>
          <w:b/>
          <w:bCs/>
          <w:color w:val="auto"/>
          <w:kern w:val="2"/>
          <w:sz w:val="21"/>
          <w:lang w:eastAsia="zh-CN"/>
        </w:rPr>
      </w:pPr>
      <w:r>
        <w:rPr>
          <w:rFonts w:hint="eastAsia" w:ascii="Times New Roman" w:hAnsi="Times New Roman" w:cs="Times New Roman"/>
          <w:b/>
          <w:bCs/>
          <w:color w:val="auto"/>
          <w:kern w:val="2"/>
          <w:sz w:val="21"/>
          <w:lang w:eastAsia="zh-CN"/>
        </w:rPr>
        <w:t>三、其他要求</w:t>
      </w:r>
    </w:p>
    <w:p w14:paraId="3BA9A4DC">
      <w:pPr>
        <w:pStyle w:val="51"/>
        <w:spacing w:line="400" w:lineRule="exact"/>
        <w:ind w:firstLine="420" w:firstLineChars="200"/>
        <w:jc w:val="both"/>
        <w:rPr>
          <w:rFonts w:ascii="Times New Roman" w:hAnsi="Times New Roman" w:cs="Times New Roman"/>
          <w:color w:val="auto"/>
          <w:kern w:val="2"/>
          <w:sz w:val="21"/>
          <w:lang w:eastAsia="zh-CN"/>
        </w:rPr>
      </w:pPr>
      <w:r>
        <w:rPr>
          <w:rFonts w:hint="eastAsia" w:ascii="Times New Roman" w:hAnsi="Times New Roman" w:cs="Times New Roman"/>
          <w:color w:val="auto"/>
          <w:kern w:val="2"/>
          <w:sz w:val="21"/>
          <w:lang w:eastAsia="zh-CN"/>
        </w:rPr>
        <w:t>1.如项目实施过程中出现成交供应商不按响应文件或合同内容要求执行，无法满足于项目实施标准要求、偷工减料、降低质量标准、超过服务期等行为，采购人有权终止合同，没收履约保证金，并报政府采购管理部门严肃处理。</w:t>
      </w:r>
    </w:p>
    <w:p w14:paraId="64230633">
      <w:pPr>
        <w:pStyle w:val="51"/>
        <w:spacing w:line="400" w:lineRule="exact"/>
        <w:ind w:firstLine="420" w:firstLineChars="200"/>
        <w:jc w:val="both"/>
        <w:rPr>
          <w:rFonts w:ascii="Times New Roman" w:hAnsi="Times New Roman" w:cs="Times New Roman"/>
          <w:color w:val="auto"/>
          <w:kern w:val="2"/>
          <w:sz w:val="21"/>
          <w:lang w:eastAsia="zh-CN"/>
        </w:rPr>
      </w:pPr>
      <w:r>
        <w:rPr>
          <w:rFonts w:hint="eastAsia" w:ascii="Times New Roman" w:hAnsi="Times New Roman" w:cs="Times New Roman"/>
          <w:color w:val="auto"/>
          <w:kern w:val="2"/>
          <w:sz w:val="21"/>
          <w:lang w:eastAsia="zh-CN"/>
        </w:rPr>
        <w:t>2.供应商必须根据所投服务的技术参数、资质资料编写响应文件。在成交结果公示期间，采购人有权对成交人所投服务的技术指标、资质证书资料等进行任何形式的核查，如发现与其响应文件中的描述不一或所提供的材料为虚假材料，采购人有权将此情况报政府采购主管部门，并由其对此情况进行严肃处理。</w:t>
      </w:r>
    </w:p>
    <w:p w14:paraId="23050AD4">
      <w:pPr>
        <w:pStyle w:val="7"/>
        <w:spacing w:after="0" w:line="560" w:lineRule="exact"/>
        <w:ind w:firstLine="420" w:firstLineChars="200"/>
        <w:rPr>
          <w:i/>
          <w:iCs/>
          <w:color w:val="auto"/>
          <w:u w:val="single"/>
        </w:rPr>
        <w:sectPr>
          <w:footerReference r:id="rId10" w:type="default"/>
          <w:pgSz w:w="11906" w:h="16838"/>
          <w:pgMar w:top="1440" w:right="1800" w:bottom="1440" w:left="1800" w:header="794" w:footer="992" w:gutter="0"/>
          <w:cols w:space="425" w:num="1"/>
          <w:docGrid w:type="lines" w:linePitch="312" w:charSpace="0"/>
        </w:sectPr>
      </w:pPr>
      <w:r>
        <w:rPr>
          <w:rFonts w:hint="eastAsia"/>
          <w:color w:val="auto"/>
        </w:rPr>
        <w:t>3.供应商需针对本项目提供对采购项目的执行工作方案。</w:t>
      </w:r>
    </w:p>
    <w:p w14:paraId="7DA51D71">
      <w:pPr>
        <w:rPr>
          <w:color w:val="auto"/>
        </w:rPr>
      </w:pPr>
    </w:p>
    <w:p w14:paraId="2E47E023">
      <w:pPr>
        <w:pStyle w:val="15"/>
        <w:ind w:left="0" w:leftChars="0" w:firstLine="0" w:firstLineChars="0"/>
        <w:rPr>
          <w:rFonts w:asciiTheme="minorEastAsia" w:hAnsiTheme="minorEastAsia" w:eastAsiaTheme="minorEastAsia" w:cstheme="minorEastAsia"/>
          <w:b/>
          <w:color w:val="auto"/>
        </w:rPr>
      </w:pPr>
    </w:p>
    <w:p w14:paraId="340127FD">
      <w:pPr>
        <w:adjustRightInd w:val="0"/>
        <w:snapToGrid w:val="0"/>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第三章  供应商须知</w:t>
      </w:r>
    </w:p>
    <w:p w14:paraId="7C0ED20F">
      <w:pPr>
        <w:adjustRightInd w:val="0"/>
        <w:snapToGrid w:val="0"/>
        <w:spacing w:before="120" w:after="240"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供应商须知前附表</w:t>
      </w:r>
    </w:p>
    <w:tbl>
      <w:tblPr>
        <w:tblStyle w:val="16"/>
        <w:tblW w:w="8295"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0"/>
        <w:gridCol w:w="2435"/>
        <w:gridCol w:w="5220"/>
      </w:tblGrid>
      <w:tr w14:paraId="1BEC7AF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0" w:hRule="atLeast"/>
          <w:tblHeader/>
        </w:trPr>
        <w:tc>
          <w:tcPr>
            <w:tcW w:w="640" w:type="dxa"/>
            <w:tcBorders>
              <w:top w:val="single" w:color="auto" w:sz="18" w:space="0"/>
              <w:left w:val="single" w:color="auto" w:sz="18" w:space="0"/>
              <w:bottom w:val="single" w:color="auto" w:sz="8" w:space="0"/>
              <w:right w:val="single" w:color="auto" w:sz="8" w:space="0"/>
            </w:tcBorders>
            <w:vAlign w:val="center"/>
          </w:tcPr>
          <w:p w14:paraId="3BFF6D4B">
            <w:pPr>
              <w:pStyle w:val="30"/>
              <w:snapToGrid w:val="0"/>
              <w:spacing w:line="360" w:lineRule="auto"/>
              <w:ind w:left="9"/>
              <w:jc w:val="center"/>
              <w:rPr>
                <w:rFonts w:asciiTheme="minorEastAsia" w:hAnsiTheme="minorEastAsia" w:eastAsiaTheme="minorEastAsia" w:cstheme="minorEastAsia"/>
                <w:b/>
                <w:color w:val="auto"/>
                <w:sz w:val="21"/>
                <w:szCs w:val="21"/>
                <w:lang w:val="zh-CN"/>
              </w:rPr>
            </w:pPr>
            <w:bookmarkStart w:id="24" w:name="_Toc246826106"/>
            <w:r>
              <w:rPr>
                <w:rFonts w:hint="eastAsia" w:asciiTheme="minorEastAsia" w:hAnsiTheme="minorEastAsia" w:eastAsiaTheme="minorEastAsia" w:cstheme="minorEastAsia"/>
                <w:b/>
                <w:color w:val="auto"/>
                <w:sz w:val="21"/>
                <w:szCs w:val="21"/>
                <w:lang w:val="zh-CN"/>
              </w:rPr>
              <w:t xml:space="preserve">序号 </w:t>
            </w:r>
          </w:p>
        </w:tc>
        <w:tc>
          <w:tcPr>
            <w:tcW w:w="2435" w:type="dxa"/>
            <w:tcBorders>
              <w:top w:val="single" w:color="auto" w:sz="18" w:space="0"/>
              <w:left w:val="single" w:color="auto" w:sz="4" w:space="0"/>
              <w:bottom w:val="single" w:color="auto" w:sz="8" w:space="0"/>
              <w:right w:val="single" w:color="auto" w:sz="8" w:space="0"/>
            </w:tcBorders>
            <w:vAlign w:val="center"/>
          </w:tcPr>
          <w:p w14:paraId="688002F5">
            <w:pPr>
              <w:pStyle w:val="30"/>
              <w:snapToGrid w:val="0"/>
              <w:spacing w:line="360" w:lineRule="auto"/>
              <w:jc w:val="center"/>
              <w:rPr>
                <w:rFonts w:asciiTheme="minorEastAsia" w:hAnsiTheme="minorEastAsia" w:eastAsiaTheme="minorEastAsia" w:cstheme="minorEastAsia"/>
                <w:b/>
                <w:color w:val="auto"/>
                <w:sz w:val="21"/>
                <w:szCs w:val="21"/>
                <w:lang w:val="zh-CN"/>
              </w:rPr>
            </w:pPr>
            <w:r>
              <w:rPr>
                <w:rFonts w:hint="eastAsia" w:asciiTheme="minorEastAsia" w:hAnsiTheme="minorEastAsia" w:eastAsiaTheme="minorEastAsia" w:cstheme="minorEastAsia"/>
                <w:b/>
                <w:color w:val="auto"/>
                <w:sz w:val="21"/>
                <w:szCs w:val="21"/>
                <w:lang w:val="zh-CN"/>
              </w:rPr>
              <w:t xml:space="preserve">条款名称 </w:t>
            </w:r>
          </w:p>
        </w:tc>
        <w:tc>
          <w:tcPr>
            <w:tcW w:w="5220" w:type="dxa"/>
            <w:tcBorders>
              <w:top w:val="single" w:color="auto" w:sz="18" w:space="0"/>
              <w:left w:val="single" w:color="auto" w:sz="8" w:space="0"/>
              <w:bottom w:val="single" w:color="auto" w:sz="8" w:space="0"/>
              <w:right w:val="single" w:color="auto" w:sz="18" w:space="0"/>
            </w:tcBorders>
            <w:vAlign w:val="center"/>
          </w:tcPr>
          <w:p w14:paraId="44CF0A17">
            <w:pPr>
              <w:pStyle w:val="30"/>
              <w:snapToGrid w:val="0"/>
              <w:spacing w:line="360" w:lineRule="auto"/>
              <w:jc w:val="center"/>
              <w:rPr>
                <w:rFonts w:asciiTheme="minorEastAsia" w:hAnsiTheme="minorEastAsia" w:eastAsiaTheme="minorEastAsia" w:cstheme="minorEastAsia"/>
                <w:b/>
                <w:color w:val="auto"/>
                <w:sz w:val="21"/>
                <w:szCs w:val="21"/>
                <w:lang w:val="zh-CN"/>
              </w:rPr>
            </w:pPr>
            <w:r>
              <w:rPr>
                <w:rFonts w:hint="eastAsia" w:asciiTheme="minorEastAsia" w:hAnsiTheme="minorEastAsia" w:eastAsiaTheme="minorEastAsia" w:cstheme="minorEastAsia"/>
                <w:b/>
                <w:color w:val="auto"/>
                <w:sz w:val="21"/>
                <w:szCs w:val="21"/>
                <w:lang w:val="zh-CN"/>
              </w:rPr>
              <w:t>说明和要求</w:t>
            </w:r>
          </w:p>
        </w:tc>
      </w:tr>
      <w:tr w14:paraId="6B6456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640" w:type="dxa"/>
            <w:tcBorders>
              <w:top w:val="single" w:color="auto" w:sz="8" w:space="0"/>
              <w:left w:val="single" w:color="auto" w:sz="18" w:space="0"/>
              <w:bottom w:val="single" w:color="auto" w:sz="8" w:space="0"/>
              <w:right w:val="single" w:color="auto" w:sz="8" w:space="0"/>
            </w:tcBorders>
            <w:vAlign w:val="center"/>
          </w:tcPr>
          <w:p w14:paraId="24140E3C">
            <w:pPr>
              <w:pStyle w:val="30"/>
              <w:snapToGrid w:val="0"/>
              <w:spacing w:line="360" w:lineRule="auto"/>
              <w:ind w:left="9"/>
              <w:jc w:val="center"/>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1</w:t>
            </w:r>
          </w:p>
        </w:tc>
        <w:tc>
          <w:tcPr>
            <w:tcW w:w="2435" w:type="dxa"/>
            <w:tcBorders>
              <w:top w:val="single" w:color="auto" w:sz="8" w:space="0"/>
              <w:left w:val="single" w:color="auto" w:sz="4" w:space="0"/>
              <w:bottom w:val="single" w:color="auto" w:sz="8" w:space="0"/>
              <w:right w:val="single" w:color="auto" w:sz="8" w:space="0"/>
            </w:tcBorders>
            <w:vAlign w:val="center"/>
          </w:tcPr>
          <w:p w14:paraId="1B5DA545">
            <w:pPr>
              <w:adjustRightInd w:val="0"/>
              <w:snapToGrid w:val="0"/>
              <w:spacing w:line="360" w:lineRule="auto"/>
              <w:ind w:left="105" w:leftChars="5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标前现场考察或/和标前答疑会</w:t>
            </w:r>
          </w:p>
        </w:tc>
        <w:tc>
          <w:tcPr>
            <w:tcW w:w="5220" w:type="dxa"/>
            <w:tcBorders>
              <w:top w:val="single" w:color="auto" w:sz="8" w:space="0"/>
              <w:left w:val="single" w:color="auto" w:sz="8" w:space="0"/>
              <w:bottom w:val="single" w:color="auto" w:sz="8" w:space="0"/>
              <w:right w:val="single" w:color="auto" w:sz="18" w:space="0"/>
            </w:tcBorders>
            <w:vAlign w:val="center"/>
          </w:tcPr>
          <w:p w14:paraId="57939C96">
            <w:pPr>
              <w:adjustRightInd w:val="0"/>
              <w:snapToGrid w:val="0"/>
              <w:spacing w:line="360" w:lineRule="auto"/>
              <w:ind w:left="105" w:leftChars="50"/>
              <w:rPr>
                <w:rFonts w:asciiTheme="minorEastAsia" w:hAnsiTheme="minorEastAsia" w:eastAsiaTheme="minorEastAsia" w:cstheme="minorEastAsia"/>
                <w:bCs/>
                <w:color w:val="auto"/>
                <w:szCs w:val="21"/>
                <w:lang w:val="zh-CN"/>
              </w:rPr>
            </w:pPr>
            <w:r>
              <w:rPr>
                <w:rFonts w:hint="eastAsia" w:asciiTheme="minorEastAsia" w:hAnsiTheme="minorEastAsia" w:eastAsiaTheme="minorEastAsia" w:cstheme="minorEastAsia"/>
                <w:bCs/>
                <w:color w:val="auto"/>
                <w:szCs w:val="21"/>
                <w:lang w:val="zh-CN"/>
              </w:rPr>
              <w:t>不组织</w:t>
            </w:r>
          </w:p>
        </w:tc>
      </w:tr>
      <w:tr w14:paraId="15205B5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640" w:type="dxa"/>
            <w:tcBorders>
              <w:top w:val="single" w:color="auto" w:sz="8" w:space="0"/>
              <w:left w:val="single" w:color="auto" w:sz="18" w:space="0"/>
              <w:bottom w:val="single" w:color="auto" w:sz="8" w:space="0"/>
              <w:right w:val="single" w:color="auto" w:sz="8" w:space="0"/>
            </w:tcBorders>
            <w:vAlign w:val="center"/>
          </w:tcPr>
          <w:p w14:paraId="37FCDD50">
            <w:pPr>
              <w:pStyle w:val="30"/>
              <w:snapToGrid w:val="0"/>
              <w:spacing w:line="360" w:lineRule="auto"/>
              <w:ind w:left="9"/>
              <w:jc w:val="center"/>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4</w:t>
            </w:r>
          </w:p>
        </w:tc>
        <w:tc>
          <w:tcPr>
            <w:tcW w:w="2435" w:type="dxa"/>
            <w:tcBorders>
              <w:top w:val="single" w:color="auto" w:sz="8" w:space="0"/>
              <w:left w:val="single" w:color="auto" w:sz="4" w:space="0"/>
              <w:bottom w:val="single" w:color="auto" w:sz="8" w:space="0"/>
              <w:right w:val="single" w:color="auto" w:sz="8" w:space="0"/>
            </w:tcBorders>
            <w:vAlign w:val="center"/>
          </w:tcPr>
          <w:p w14:paraId="22907EAB">
            <w:pPr>
              <w:pStyle w:val="30"/>
              <w:snapToGrid w:val="0"/>
              <w:spacing w:line="360" w:lineRule="auto"/>
              <w:ind w:left="105" w:leftChars="50"/>
              <w:jc w:val="both"/>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述标和/或演示</w:t>
            </w:r>
          </w:p>
        </w:tc>
        <w:tc>
          <w:tcPr>
            <w:tcW w:w="5220" w:type="dxa"/>
            <w:tcBorders>
              <w:top w:val="single" w:color="auto" w:sz="8" w:space="0"/>
              <w:left w:val="single" w:color="auto" w:sz="8" w:space="0"/>
              <w:bottom w:val="single" w:color="auto" w:sz="8" w:space="0"/>
              <w:right w:val="single" w:color="auto" w:sz="18" w:space="0"/>
            </w:tcBorders>
            <w:vAlign w:val="center"/>
          </w:tcPr>
          <w:p w14:paraId="30DB14E6">
            <w:pPr>
              <w:adjustRightInd w:val="0"/>
              <w:snapToGrid w:val="0"/>
              <w:spacing w:line="360" w:lineRule="auto"/>
              <w:ind w:left="105" w:leftChars="5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无</w:t>
            </w:r>
          </w:p>
        </w:tc>
      </w:tr>
      <w:tr w14:paraId="61CEABE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14:paraId="5A96EC69">
            <w:pPr>
              <w:pStyle w:val="30"/>
              <w:snapToGrid w:val="0"/>
              <w:spacing w:line="360" w:lineRule="auto"/>
              <w:ind w:left="9"/>
              <w:jc w:val="center"/>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5</w:t>
            </w:r>
          </w:p>
        </w:tc>
        <w:tc>
          <w:tcPr>
            <w:tcW w:w="2435" w:type="dxa"/>
            <w:tcBorders>
              <w:top w:val="single" w:color="auto" w:sz="8" w:space="0"/>
              <w:left w:val="single" w:color="auto" w:sz="4" w:space="0"/>
              <w:bottom w:val="single" w:color="auto" w:sz="8" w:space="0"/>
              <w:right w:val="single" w:color="auto" w:sz="8" w:space="0"/>
            </w:tcBorders>
            <w:vAlign w:val="center"/>
          </w:tcPr>
          <w:p w14:paraId="1E45C391">
            <w:pPr>
              <w:pStyle w:val="30"/>
              <w:snapToGrid w:val="0"/>
              <w:spacing w:line="360" w:lineRule="auto"/>
              <w:ind w:left="105" w:leftChars="50"/>
              <w:jc w:val="both"/>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本项目是否接受备选响应方案</w:t>
            </w:r>
          </w:p>
        </w:tc>
        <w:tc>
          <w:tcPr>
            <w:tcW w:w="5220" w:type="dxa"/>
            <w:tcBorders>
              <w:top w:val="single" w:color="auto" w:sz="8" w:space="0"/>
              <w:left w:val="single" w:color="auto" w:sz="8" w:space="0"/>
              <w:bottom w:val="single" w:color="auto" w:sz="8" w:space="0"/>
              <w:right w:val="single" w:color="auto" w:sz="18" w:space="0"/>
            </w:tcBorders>
            <w:vAlign w:val="center"/>
          </w:tcPr>
          <w:p w14:paraId="66731AB4">
            <w:pPr>
              <w:widowControl/>
              <w:tabs>
                <w:tab w:val="left" w:pos="425"/>
              </w:tabs>
              <w:spacing w:line="360" w:lineRule="auto"/>
              <w:ind w:left="210" w:leftChars="100"/>
              <w:jc w:val="left"/>
              <w:rPr>
                <w:rFonts w:asciiTheme="minorEastAsia" w:hAnsiTheme="minorEastAsia" w:eastAsiaTheme="minorEastAsia" w:cstheme="minorEastAsia"/>
                <w:bCs/>
                <w:color w:val="auto"/>
                <w:szCs w:val="21"/>
              </w:rPr>
            </w:pPr>
            <w:r>
              <w:rPr>
                <w:rFonts w:hint="eastAsia" w:ascii="宋体" w:hAnsi="宋体" w:cs="宋体"/>
                <w:bCs/>
                <w:color w:val="auto"/>
                <w:kern w:val="0"/>
                <w:szCs w:val="21"/>
                <w:lang w:val="zh-CN"/>
              </w:rPr>
              <w:t>接受</w:t>
            </w:r>
          </w:p>
        </w:tc>
      </w:tr>
      <w:tr w14:paraId="75B8A06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640" w:type="dxa"/>
            <w:tcBorders>
              <w:top w:val="single" w:color="auto" w:sz="8" w:space="0"/>
              <w:left w:val="single" w:color="auto" w:sz="18" w:space="0"/>
              <w:bottom w:val="single" w:color="auto" w:sz="8" w:space="0"/>
              <w:right w:val="single" w:color="auto" w:sz="8" w:space="0"/>
            </w:tcBorders>
            <w:vAlign w:val="center"/>
          </w:tcPr>
          <w:p w14:paraId="33999728">
            <w:pPr>
              <w:pStyle w:val="30"/>
              <w:snapToGrid w:val="0"/>
              <w:spacing w:line="360" w:lineRule="auto"/>
              <w:ind w:left="9"/>
              <w:jc w:val="center"/>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6</w:t>
            </w:r>
          </w:p>
        </w:tc>
        <w:tc>
          <w:tcPr>
            <w:tcW w:w="2435" w:type="dxa"/>
            <w:tcBorders>
              <w:top w:val="single" w:color="auto" w:sz="8" w:space="0"/>
              <w:left w:val="single" w:color="auto" w:sz="4" w:space="0"/>
              <w:bottom w:val="single" w:color="auto" w:sz="8" w:space="0"/>
              <w:right w:val="single" w:color="auto" w:sz="8" w:space="0"/>
            </w:tcBorders>
            <w:vAlign w:val="center"/>
          </w:tcPr>
          <w:p w14:paraId="0ED68BDE">
            <w:pPr>
              <w:pStyle w:val="30"/>
              <w:snapToGrid w:val="0"/>
              <w:spacing w:line="360" w:lineRule="auto"/>
              <w:ind w:left="105" w:leftChars="50"/>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本项目要求</w:t>
            </w:r>
            <w:r>
              <w:rPr>
                <w:rFonts w:hint="eastAsia" w:asciiTheme="minorEastAsia" w:hAnsiTheme="minorEastAsia" w:eastAsiaTheme="minorEastAsia" w:cstheme="minorEastAsia"/>
                <w:bCs/>
                <w:color w:val="auto"/>
                <w:sz w:val="21"/>
                <w:szCs w:val="21"/>
              </w:rPr>
              <w:t>供应商</w:t>
            </w:r>
            <w:r>
              <w:rPr>
                <w:rFonts w:hint="eastAsia" w:asciiTheme="minorEastAsia" w:hAnsiTheme="minorEastAsia" w:eastAsiaTheme="minorEastAsia" w:cstheme="minorEastAsia"/>
                <w:bCs/>
                <w:color w:val="auto"/>
                <w:sz w:val="21"/>
                <w:szCs w:val="21"/>
                <w:lang w:val="zh-CN"/>
              </w:rPr>
              <w:t>提供的技术和商务说明文件</w:t>
            </w:r>
          </w:p>
        </w:tc>
        <w:tc>
          <w:tcPr>
            <w:tcW w:w="5220" w:type="dxa"/>
            <w:tcBorders>
              <w:top w:val="single" w:color="auto" w:sz="8" w:space="0"/>
              <w:left w:val="single" w:color="auto" w:sz="8" w:space="0"/>
              <w:bottom w:val="single" w:color="auto" w:sz="8" w:space="0"/>
              <w:right w:val="single" w:color="auto" w:sz="18" w:space="0"/>
            </w:tcBorders>
            <w:vAlign w:val="center"/>
          </w:tcPr>
          <w:p w14:paraId="29859626">
            <w:pPr>
              <w:widowControl/>
              <w:tabs>
                <w:tab w:val="left" w:pos="425"/>
              </w:tabs>
              <w:spacing w:line="360" w:lineRule="auto"/>
              <w:ind w:left="210" w:leftChars="100"/>
              <w:jc w:val="left"/>
              <w:rPr>
                <w:rFonts w:ascii="宋体" w:hAnsi="宋体" w:cs="宋体"/>
                <w:bCs/>
                <w:color w:val="auto"/>
                <w:kern w:val="0"/>
                <w:szCs w:val="21"/>
                <w:lang w:val="zh-CN"/>
              </w:rPr>
            </w:pPr>
            <w:r>
              <w:rPr>
                <w:rFonts w:hint="eastAsia" w:ascii="宋体" w:hAnsi="宋体" w:cs="宋体"/>
                <w:bCs/>
                <w:color w:val="auto"/>
                <w:kern w:val="0"/>
                <w:szCs w:val="21"/>
              </w:rPr>
              <w:t>1</w:t>
            </w:r>
            <w:r>
              <w:rPr>
                <w:rFonts w:hint="eastAsia" w:ascii="宋体" w:hAnsi="宋体" w:cs="宋体"/>
                <w:bCs/>
                <w:color w:val="auto"/>
                <w:kern w:val="0"/>
                <w:szCs w:val="21"/>
                <w:lang w:val="zh-CN"/>
              </w:rPr>
              <w:t>、</w:t>
            </w:r>
            <w:r>
              <w:rPr>
                <w:rFonts w:hint="eastAsia" w:ascii="宋体" w:hAnsi="宋体" w:cs="宋体"/>
                <w:bCs/>
                <w:color w:val="auto"/>
                <w:kern w:val="0"/>
                <w:szCs w:val="21"/>
              </w:rPr>
              <w:t>响应</w:t>
            </w:r>
            <w:r>
              <w:rPr>
                <w:rFonts w:hint="eastAsia" w:ascii="宋体" w:hAnsi="宋体" w:cs="宋体"/>
                <w:bCs/>
                <w:color w:val="auto"/>
                <w:kern w:val="0"/>
                <w:szCs w:val="21"/>
                <w:lang w:val="zh-CN"/>
              </w:rPr>
              <w:t>声明函；</w:t>
            </w:r>
          </w:p>
          <w:p w14:paraId="4798BEF7">
            <w:pPr>
              <w:widowControl/>
              <w:tabs>
                <w:tab w:val="left" w:pos="425"/>
              </w:tabs>
              <w:spacing w:line="360" w:lineRule="auto"/>
              <w:ind w:left="210" w:leftChars="100"/>
              <w:jc w:val="left"/>
              <w:rPr>
                <w:rFonts w:ascii="宋体" w:hAnsi="宋体" w:cs="宋体"/>
                <w:bCs/>
                <w:color w:val="auto"/>
                <w:kern w:val="0"/>
                <w:szCs w:val="21"/>
                <w:lang w:val="zh-CN"/>
              </w:rPr>
            </w:pPr>
            <w:r>
              <w:rPr>
                <w:rFonts w:hint="eastAsia" w:ascii="宋体" w:hAnsi="宋体" w:cs="宋体"/>
                <w:bCs/>
                <w:color w:val="auto"/>
                <w:kern w:val="0"/>
                <w:szCs w:val="21"/>
                <w:lang w:val="zh-CN"/>
              </w:rPr>
              <w:t>2、法定代表人授权委托书（提供委托代理人的身份证复印件，非中国国籍的则提供护照复印件）（非法定代表人签署响应文件适用）；</w:t>
            </w:r>
          </w:p>
          <w:p w14:paraId="13643F6F">
            <w:pPr>
              <w:widowControl/>
              <w:tabs>
                <w:tab w:val="left" w:pos="425"/>
              </w:tabs>
              <w:spacing w:line="360" w:lineRule="auto"/>
              <w:ind w:left="210" w:leftChars="100"/>
              <w:jc w:val="left"/>
              <w:rPr>
                <w:rFonts w:ascii="宋体" w:hAnsi="宋体" w:cs="宋体"/>
                <w:bCs/>
                <w:color w:val="auto"/>
                <w:kern w:val="0"/>
                <w:szCs w:val="21"/>
                <w:lang w:val="zh-CN"/>
              </w:rPr>
            </w:pPr>
            <w:r>
              <w:rPr>
                <w:rFonts w:hint="eastAsia" w:ascii="宋体" w:hAnsi="宋体" w:cs="宋体"/>
                <w:bCs/>
                <w:color w:val="auto"/>
                <w:kern w:val="0"/>
                <w:szCs w:val="21"/>
                <w:lang w:val="zh-CN"/>
              </w:rPr>
              <w:t>3、法定代表人身份证明书（提供法定代表人身份证复印件，非中国国籍的则提供护照复印件）；</w:t>
            </w:r>
          </w:p>
          <w:p w14:paraId="44E36B84">
            <w:pPr>
              <w:widowControl/>
              <w:tabs>
                <w:tab w:val="left" w:pos="425"/>
              </w:tabs>
              <w:snapToGrid w:val="0"/>
              <w:spacing w:line="360" w:lineRule="auto"/>
              <w:ind w:left="210" w:leftChars="100"/>
              <w:rPr>
                <w:rFonts w:ascii="宋体" w:hAnsi="宋体" w:cs="宋体"/>
                <w:bCs/>
                <w:color w:val="auto"/>
                <w:kern w:val="0"/>
                <w:szCs w:val="21"/>
                <w:lang w:val="zh-CN"/>
              </w:rPr>
            </w:pPr>
            <w:r>
              <w:rPr>
                <w:rFonts w:hint="eastAsia" w:ascii="宋体" w:hAnsi="宋体" w:cs="宋体"/>
                <w:bCs/>
                <w:color w:val="auto"/>
                <w:kern w:val="0"/>
                <w:szCs w:val="21"/>
                <w:lang w:val="zh-CN"/>
              </w:rPr>
              <w:t>4、提供营业执照副本、或事业单位法人证书（事业单位）、或执业许可证（非企业专业服务机构）的复印件；</w:t>
            </w:r>
          </w:p>
          <w:p w14:paraId="14EC0B2E">
            <w:pPr>
              <w:widowControl/>
              <w:tabs>
                <w:tab w:val="left" w:pos="425"/>
              </w:tabs>
              <w:snapToGrid w:val="0"/>
              <w:spacing w:line="360" w:lineRule="auto"/>
              <w:ind w:left="210" w:leftChars="100"/>
              <w:rPr>
                <w:rFonts w:ascii="宋体" w:hAnsi="宋体" w:cs="宋体"/>
                <w:bCs/>
                <w:color w:val="auto"/>
                <w:kern w:val="0"/>
                <w:szCs w:val="21"/>
                <w:lang w:val="zh-CN"/>
              </w:rPr>
            </w:pPr>
            <w:r>
              <w:rPr>
                <w:rFonts w:hint="eastAsia" w:ascii="宋体" w:hAnsi="宋体" w:cs="宋体"/>
                <w:bCs/>
                <w:color w:val="auto"/>
                <w:kern w:val="0"/>
                <w:szCs w:val="21"/>
                <w:lang w:val="zh-CN"/>
              </w:rPr>
              <w:t>5、</w:t>
            </w:r>
            <w:r>
              <w:rPr>
                <w:rFonts w:hint="eastAsia" w:asciiTheme="minorEastAsia" w:hAnsiTheme="minorEastAsia" w:eastAsiaTheme="minorEastAsia" w:cstheme="minorEastAsia"/>
                <w:bCs/>
                <w:color w:val="auto"/>
                <w:kern w:val="0"/>
                <w:szCs w:val="21"/>
              </w:rPr>
              <w:t>具有良好的商业信誉和健全的财务会计制度、具有履行合同所必需的设备和专业技术能力、有依法缴纳税收和社会保障资金的良好记录及参加政府采购活动前三年内，在经营活动中没有重大违法记录的资格承诺函（详见格式6）；</w:t>
            </w:r>
          </w:p>
          <w:p w14:paraId="262570C0">
            <w:pPr>
              <w:widowControl/>
              <w:tabs>
                <w:tab w:val="left" w:pos="425"/>
              </w:tabs>
              <w:snapToGrid w:val="0"/>
              <w:spacing w:line="360" w:lineRule="auto"/>
              <w:ind w:left="210" w:leftChars="100"/>
              <w:rPr>
                <w:rFonts w:ascii="宋体" w:hAnsi="宋体" w:cs="宋体"/>
                <w:bCs/>
                <w:color w:val="auto"/>
                <w:kern w:val="0"/>
                <w:szCs w:val="21"/>
                <w:lang w:val="zh-CN"/>
              </w:rPr>
            </w:pPr>
            <w:r>
              <w:rPr>
                <w:rFonts w:hint="eastAsia" w:ascii="宋体" w:hAnsi="宋体" w:cs="宋体"/>
                <w:bCs/>
                <w:color w:val="auto"/>
                <w:kern w:val="0"/>
                <w:szCs w:val="21"/>
              </w:rPr>
              <w:t>6</w:t>
            </w:r>
            <w:r>
              <w:rPr>
                <w:rFonts w:hint="eastAsia" w:ascii="宋体" w:hAnsi="宋体" w:cs="宋体"/>
                <w:bCs/>
                <w:color w:val="auto"/>
                <w:kern w:val="0"/>
                <w:szCs w:val="21"/>
                <w:lang w:val="zh-CN"/>
              </w:rPr>
              <w:t>、资格审查及符合性审查要求提供的其他资料（详见资格审查表及符合性审查表要求）；</w:t>
            </w:r>
          </w:p>
          <w:p w14:paraId="43918A4F">
            <w:pPr>
              <w:widowControl/>
              <w:tabs>
                <w:tab w:val="left" w:pos="425"/>
              </w:tabs>
              <w:snapToGrid w:val="0"/>
              <w:spacing w:line="360" w:lineRule="auto"/>
              <w:ind w:left="210" w:leftChars="100"/>
              <w:rPr>
                <w:rFonts w:ascii="宋体" w:hAnsi="宋体" w:cs="宋体"/>
                <w:bCs/>
                <w:color w:val="auto"/>
                <w:kern w:val="0"/>
                <w:szCs w:val="21"/>
                <w:lang w:val="zh-CN"/>
              </w:rPr>
            </w:pPr>
            <w:r>
              <w:rPr>
                <w:rFonts w:hint="eastAsia" w:ascii="宋体" w:hAnsi="宋体" w:cs="宋体"/>
                <w:bCs/>
                <w:color w:val="auto"/>
                <w:kern w:val="0"/>
                <w:szCs w:val="21"/>
              </w:rPr>
              <w:t>7</w:t>
            </w:r>
            <w:r>
              <w:rPr>
                <w:rFonts w:hint="eastAsia" w:ascii="宋体" w:hAnsi="宋体" w:cs="宋体"/>
                <w:bCs/>
                <w:color w:val="auto"/>
                <w:kern w:val="0"/>
                <w:szCs w:val="21"/>
                <w:lang w:val="zh-CN"/>
              </w:rPr>
              <w:t>、评审标准要求提供的其他资料（详见评审细则要求）；</w:t>
            </w:r>
          </w:p>
          <w:p w14:paraId="78392334">
            <w:pPr>
              <w:adjustRightInd w:val="0"/>
              <w:snapToGrid w:val="0"/>
              <w:spacing w:line="360" w:lineRule="auto"/>
              <w:ind w:left="210" w:leftChars="100"/>
              <w:jc w:val="left"/>
              <w:rPr>
                <w:rFonts w:asciiTheme="minorEastAsia" w:hAnsiTheme="minorEastAsia" w:eastAsiaTheme="minorEastAsia" w:cstheme="minorEastAsia"/>
                <w:bCs/>
                <w:color w:val="auto"/>
                <w:kern w:val="0"/>
                <w:szCs w:val="21"/>
                <w:lang w:val="zh-CN"/>
              </w:rPr>
            </w:pPr>
            <w:r>
              <w:rPr>
                <w:rFonts w:hint="eastAsia" w:ascii="宋体" w:hAnsi="宋体" w:cs="宋体"/>
                <w:bCs/>
                <w:color w:val="auto"/>
                <w:kern w:val="0"/>
                <w:szCs w:val="21"/>
              </w:rPr>
              <w:t>8</w:t>
            </w:r>
            <w:r>
              <w:rPr>
                <w:rFonts w:hint="eastAsia" w:ascii="宋体" w:hAnsi="宋体" w:cs="宋体"/>
                <w:bCs/>
                <w:color w:val="auto"/>
                <w:kern w:val="0"/>
                <w:szCs w:val="21"/>
                <w:lang w:val="zh-CN"/>
              </w:rPr>
              <w:t>、</w:t>
            </w:r>
            <w:r>
              <w:rPr>
                <w:rFonts w:hint="eastAsia" w:ascii="宋体" w:hAnsi="宋体" w:cs="宋体"/>
                <w:bCs/>
                <w:color w:val="auto"/>
                <w:kern w:val="0"/>
                <w:szCs w:val="21"/>
              </w:rPr>
              <w:t>供应商</w:t>
            </w:r>
            <w:r>
              <w:rPr>
                <w:rFonts w:hint="eastAsia" w:ascii="宋体" w:hAnsi="宋体" w:cs="宋体"/>
                <w:bCs/>
                <w:color w:val="auto"/>
                <w:kern w:val="0"/>
                <w:szCs w:val="21"/>
                <w:lang w:val="zh-CN"/>
              </w:rPr>
              <w:t>认为需要提供的其他资格证明文件和商务资料。</w:t>
            </w:r>
          </w:p>
        </w:tc>
      </w:tr>
      <w:tr w14:paraId="3D11599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3" w:hRule="atLeast"/>
        </w:trPr>
        <w:tc>
          <w:tcPr>
            <w:tcW w:w="640" w:type="dxa"/>
            <w:tcBorders>
              <w:top w:val="single" w:color="auto" w:sz="8" w:space="0"/>
              <w:left w:val="single" w:color="auto" w:sz="18" w:space="0"/>
              <w:bottom w:val="single" w:color="auto" w:sz="8" w:space="0"/>
              <w:right w:val="single" w:color="auto" w:sz="8" w:space="0"/>
            </w:tcBorders>
            <w:vAlign w:val="center"/>
          </w:tcPr>
          <w:p w14:paraId="590C552E">
            <w:pPr>
              <w:pStyle w:val="30"/>
              <w:snapToGrid w:val="0"/>
              <w:spacing w:line="360" w:lineRule="auto"/>
              <w:ind w:left="9"/>
              <w:jc w:val="center"/>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7</w:t>
            </w:r>
          </w:p>
        </w:tc>
        <w:tc>
          <w:tcPr>
            <w:tcW w:w="2435" w:type="dxa"/>
            <w:tcBorders>
              <w:top w:val="single" w:color="auto" w:sz="8" w:space="0"/>
              <w:left w:val="single" w:color="auto" w:sz="4" w:space="0"/>
              <w:bottom w:val="single" w:color="auto" w:sz="8" w:space="0"/>
              <w:right w:val="single" w:color="auto" w:sz="8" w:space="0"/>
            </w:tcBorders>
            <w:vAlign w:val="center"/>
          </w:tcPr>
          <w:p w14:paraId="77D1D77F">
            <w:pPr>
              <w:adjustRightInd w:val="0"/>
              <w:snapToGrid w:val="0"/>
              <w:spacing w:line="360" w:lineRule="auto"/>
              <w:ind w:left="105" w:leftChars="5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zh-CN"/>
              </w:rPr>
              <w:t>本项目要求</w:t>
            </w:r>
            <w:r>
              <w:rPr>
                <w:rFonts w:hint="eastAsia" w:asciiTheme="minorEastAsia" w:hAnsiTheme="minorEastAsia" w:eastAsiaTheme="minorEastAsia" w:cstheme="minorEastAsia"/>
                <w:bCs/>
                <w:color w:val="auto"/>
                <w:szCs w:val="21"/>
              </w:rPr>
              <w:t>供应商</w:t>
            </w:r>
            <w:r>
              <w:rPr>
                <w:rFonts w:hint="eastAsia" w:asciiTheme="minorEastAsia" w:hAnsiTheme="minorEastAsia" w:eastAsiaTheme="minorEastAsia" w:cstheme="minorEastAsia"/>
                <w:bCs/>
                <w:color w:val="auto"/>
                <w:kern w:val="0"/>
                <w:szCs w:val="21"/>
                <w:lang w:val="zh-CN"/>
              </w:rPr>
              <w:t>提供的</w:t>
            </w:r>
            <w:r>
              <w:rPr>
                <w:rFonts w:hint="eastAsia" w:asciiTheme="minorEastAsia" w:hAnsiTheme="minorEastAsia" w:eastAsiaTheme="minorEastAsia" w:cstheme="minorEastAsia"/>
                <w:bCs/>
                <w:color w:val="auto"/>
                <w:kern w:val="0"/>
                <w:szCs w:val="21"/>
              </w:rPr>
              <w:t>响应</w:t>
            </w:r>
            <w:r>
              <w:rPr>
                <w:rFonts w:hint="eastAsia" w:asciiTheme="minorEastAsia" w:hAnsiTheme="minorEastAsia" w:eastAsiaTheme="minorEastAsia" w:cstheme="minorEastAsia"/>
                <w:bCs/>
                <w:color w:val="auto"/>
                <w:szCs w:val="21"/>
                <w:lang w:val="zh-CN"/>
              </w:rPr>
              <w:t>报价文件</w:t>
            </w:r>
          </w:p>
        </w:tc>
        <w:tc>
          <w:tcPr>
            <w:tcW w:w="5220" w:type="dxa"/>
            <w:tcBorders>
              <w:top w:val="single" w:color="auto" w:sz="8" w:space="0"/>
              <w:left w:val="single" w:color="auto" w:sz="8" w:space="0"/>
              <w:bottom w:val="single" w:color="auto" w:sz="8" w:space="0"/>
              <w:right w:val="single" w:color="auto" w:sz="18" w:space="0"/>
            </w:tcBorders>
            <w:vAlign w:val="center"/>
          </w:tcPr>
          <w:p w14:paraId="0E0B48F8">
            <w:pPr>
              <w:adjustRightInd w:val="0"/>
              <w:snapToGrid w:val="0"/>
              <w:spacing w:line="360" w:lineRule="auto"/>
              <w:ind w:left="105" w:leftChars="50"/>
              <w:rPr>
                <w:rFonts w:asciiTheme="minorEastAsia" w:hAnsiTheme="minorEastAsia" w:eastAsiaTheme="minorEastAsia" w:cstheme="minorEastAsia"/>
                <w:bCs/>
                <w:color w:val="auto"/>
                <w:kern w:val="0"/>
                <w:szCs w:val="21"/>
                <w:lang w:val="zh-CN"/>
              </w:rPr>
            </w:pPr>
            <w:r>
              <w:rPr>
                <w:rFonts w:hint="eastAsia" w:asciiTheme="minorEastAsia" w:hAnsiTheme="minorEastAsia" w:eastAsiaTheme="minorEastAsia" w:cstheme="minorEastAsia"/>
                <w:bCs/>
                <w:color w:val="auto"/>
                <w:kern w:val="0"/>
                <w:szCs w:val="21"/>
              </w:rPr>
              <w:t>1、</w:t>
            </w:r>
            <w:r>
              <w:rPr>
                <w:rFonts w:hint="eastAsia" w:asciiTheme="minorEastAsia" w:hAnsiTheme="minorEastAsia" w:eastAsiaTheme="minorEastAsia" w:cstheme="minorEastAsia"/>
                <w:bCs/>
                <w:color w:val="auto"/>
                <w:kern w:val="0"/>
                <w:szCs w:val="21"/>
                <w:lang w:val="zh-CN"/>
              </w:rPr>
              <w:t>开标一览表</w:t>
            </w:r>
          </w:p>
          <w:p w14:paraId="1D63D258">
            <w:pPr>
              <w:adjustRightInd w:val="0"/>
              <w:snapToGrid w:val="0"/>
              <w:spacing w:line="360" w:lineRule="auto"/>
              <w:ind w:left="105" w:leftChars="50"/>
              <w:rPr>
                <w:rFonts w:asciiTheme="minorEastAsia" w:hAnsiTheme="minorEastAsia" w:eastAsiaTheme="minorEastAsia" w:cstheme="minorEastAsia"/>
                <w:bCs/>
                <w:color w:val="auto"/>
                <w:szCs w:val="21"/>
                <w:lang w:val="zh-CN"/>
              </w:rPr>
            </w:pPr>
            <w:r>
              <w:rPr>
                <w:rFonts w:hint="eastAsia" w:asciiTheme="minorEastAsia" w:hAnsiTheme="minorEastAsia" w:eastAsiaTheme="minorEastAsia" w:cstheme="minorEastAsia"/>
                <w:bCs/>
                <w:color w:val="auto"/>
                <w:kern w:val="0"/>
                <w:szCs w:val="21"/>
              </w:rPr>
              <w:t>2、</w:t>
            </w:r>
            <w:r>
              <w:rPr>
                <w:rFonts w:hint="eastAsia" w:asciiTheme="minorEastAsia" w:hAnsiTheme="minorEastAsia" w:eastAsiaTheme="minorEastAsia" w:cstheme="minorEastAsia"/>
                <w:bCs/>
                <w:color w:val="auto"/>
                <w:kern w:val="0"/>
                <w:szCs w:val="21"/>
                <w:lang w:val="zh-CN"/>
              </w:rPr>
              <w:t>报价明细表</w:t>
            </w:r>
          </w:p>
        </w:tc>
      </w:tr>
      <w:tr w14:paraId="617E630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trPr>
        <w:tc>
          <w:tcPr>
            <w:tcW w:w="640" w:type="dxa"/>
            <w:tcBorders>
              <w:top w:val="single" w:color="auto" w:sz="8" w:space="0"/>
              <w:left w:val="single" w:color="auto" w:sz="18" w:space="0"/>
              <w:bottom w:val="single" w:color="auto" w:sz="8" w:space="0"/>
              <w:right w:val="single" w:color="auto" w:sz="8" w:space="0"/>
            </w:tcBorders>
            <w:vAlign w:val="center"/>
          </w:tcPr>
          <w:p w14:paraId="3842AB39">
            <w:pPr>
              <w:pStyle w:val="30"/>
              <w:snapToGrid w:val="0"/>
              <w:spacing w:line="360" w:lineRule="auto"/>
              <w:ind w:left="9"/>
              <w:jc w:val="center"/>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8</w:t>
            </w:r>
          </w:p>
        </w:tc>
        <w:tc>
          <w:tcPr>
            <w:tcW w:w="2435" w:type="dxa"/>
            <w:tcBorders>
              <w:top w:val="single" w:color="auto" w:sz="8" w:space="0"/>
              <w:left w:val="single" w:color="auto" w:sz="4" w:space="0"/>
              <w:bottom w:val="single" w:color="auto" w:sz="8" w:space="0"/>
              <w:right w:val="single" w:color="auto" w:sz="8" w:space="0"/>
            </w:tcBorders>
            <w:vAlign w:val="center"/>
          </w:tcPr>
          <w:p w14:paraId="74B4A155">
            <w:pPr>
              <w:pStyle w:val="30"/>
              <w:snapToGrid w:val="0"/>
              <w:spacing w:line="360" w:lineRule="auto"/>
              <w:ind w:left="105" w:leftChars="50"/>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响应</w:t>
            </w:r>
            <w:r>
              <w:rPr>
                <w:rFonts w:hint="eastAsia" w:asciiTheme="minorEastAsia" w:hAnsiTheme="minorEastAsia" w:eastAsiaTheme="minorEastAsia" w:cstheme="minorEastAsia"/>
                <w:bCs/>
                <w:color w:val="auto"/>
                <w:sz w:val="21"/>
                <w:szCs w:val="21"/>
                <w:lang w:val="zh-CN"/>
              </w:rPr>
              <w:t>有效期</w:t>
            </w:r>
          </w:p>
        </w:tc>
        <w:tc>
          <w:tcPr>
            <w:tcW w:w="5220" w:type="dxa"/>
            <w:tcBorders>
              <w:top w:val="single" w:color="auto" w:sz="8" w:space="0"/>
              <w:left w:val="single" w:color="auto" w:sz="8" w:space="0"/>
              <w:bottom w:val="single" w:color="auto" w:sz="8" w:space="0"/>
              <w:right w:val="single" w:color="auto" w:sz="18" w:space="0"/>
            </w:tcBorders>
            <w:vAlign w:val="center"/>
          </w:tcPr>
          <w:p w14:paraId="0A9DCC74">
            <w:pPr>
              <w:pStyle w:val="30"/>
              <w:snapToGrid w:val="0"/>
              <w:spacing w:line="360" w:lineRule="auto"/>
              <w:ind w:left="105" w:leftChars="50"/>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自响应文件递交截止之日起90天。</w:t>
            </w:r>
          </w:p>
        </w:tc>
      </w:tr>
      <w:tr w14:paraId="30E4E5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14:paraId="12CCB01D">
            <w:pPr>
              <w:pStyle w:val="30"/>
              <w:snapToGrid w:val="0"/>
              <w:spacing w:line="360" w:lineRule="auto"/>
              <w:ind w:left="9"/>
              <w:jc w:val="center"/>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9</w:t>
            </w:r>
          </w:p>
        </w:tc>
        <w:tc>
          <w:tcPr>
            <w:tcW w:w="2435" w:type="dxa"/>
            <w:tcBorders>
              <w:top w:val="single" w:color="auto" w:sz="8" w:space="0"/>
              <w:left w:val="single" w:color="auto" w:sz="4" w:space="0"/>
              <w:bottom w:val="single" w:color="auto" w:sz="8" w:space="0"/>
              <w:right w:val="single" w:color="auto" w:sz="8" w:space="0"/>
            </w:tcBorders>
            <w:vAlign w:val="center"/>
          </w:tcPr>
          <w:p w14:paraId="42E83A5F">
            <w:pPr>
              <w:pStyle w:val="30"/>
              <w:snapToGrid w:val="0"/>
              <w:spacing w:line="360" w:lineRule="auto"/>
              <w:ind w:left="105" w:leftChars="50"/>
              <w:rPr>
                <w:bCs/>
                <w:color w:val="auto"/>
                <w:kern w:val="2"/>
                <w:sz w:val="21"/>
                <w:szCs w:val="21"/>
              </w:rPr>
            </w:pPr>
            <w:r>
              <w:rPr>
                <w:rFonts w:hint="eastAsia"/>
                <w:bCs/>
                <w:color w:val="auto"/>
                <w:kern w:val="2"/>
                <w:sz w:val="21"/>
                <w:szCs w:val="21"/>
              </w:rPr>
              <w:t>响应</w:t>
            </w:r>
            <w:r>
              <w:rPr>
                <w:rFonts w:hint="eastAsia"/>
                <w:bCs/>
                <w:color w:val="auto"/>
                <w:kern w:val="2"/>
                <w:sz w:val="21"/>
                <w:szCs w:val="21"/>
                <w:lang w:val="zh-CN"/>
              </w:rPr>
              <w:t>保证金</w:t>
            </w:r>
            <w:r>
              <w:rPr>
                <w:rFonts w:hint="eastAsia"/>
                <w:bCs/>
                <w:color w:val="auto"/>
                <w:kern w:val="2"/>
                <w:sz w:val="21"/>
                <w:szCs w:val="21"/>
              </w:rPr>
              <w:t>要求</w:t>
            </w:r>
          </w:p>
        </w:tc>
        <w:tc>
          <w:tcPr>
            <w:tcW w:w="5220" w:type="dxa"/>
            <w:tcBorders>
              <w:top w:val="single" w:color="auto" w:sz="8" w:space="0"/>
              <w:left w:val="single" w:color="auto" w:sz="8" w:space="0"/>
              <w:bottom w:val="single" w:color="auto" w:sz="8" w:space="0"/>
              <w:right w:val="single" w:color="auto" w:sz="18" w:space="0"/>
            </w:tcBorders>
            <w:vAlign w:val="center"/>
          </w:tcPr>
          <w:p w14:paraId="1033CDCB">
            <w:pPr>
              <w:pStyle w:val="6"/>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本项目不收取响应保证金。</w:t>
            </w:r>
          </w:p>
        </w:tc>
      </w:tr>
      <w:tr w14:paraId="54C4B10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14:paraId="4E40F45B">
            <w:pPr>
              <w:pStyle w:val="30"/>
              <w:snapToGrid w:val="0"/>
              <w:spacing w:line="360" w:lineRule="auto"/>
              <w:ind w:left="9"/>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w:t>
            </w:r>
          </w:p>
        </w:tc>
        <w:tc>
          <w:tcPr>
            <w:tcW w:w="2435" w:type="dxa"/>
            <w:tcBorders>
              <w:top w:val="single" w:color="auto" w:sz="8" w:space="0"/>
              <w:left w:val="single" w:color="auto" w:sz="4" w:space="0"/>
              <w:bottom w:val="single" w:color="auto" w:sz="8" w:space="0"/>
              <w:right w:val="single" w:color="auto" w:sz="8" w:space="0"/>
            </w:tcBorders>
            <w:vAlign w:val="center"/>
          </w:tcPr>
          <w:p w14:paraId="7B0B2ECC">
            <w:pPr>
              <w:pStyle w:val="30"/>
              <w:snapToGrid w:val="0"/>
              <w:spacing w:line="360" w:lineRule="auto"/>
              <w:ind w:left="105" w:leftChars="50"/>
              <w:jc w:val="both"/>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响应</w:t>
            </w:r>
            <w:r>
              <w:rPr>
                <w:rFonts w:hint="eastAsia" w:asciiTheme="minorEastAsia" w:hAnsiTheme="minorEastAsia" w:eastAsiaTheme="minorEastAsia" w:cstheme="minorEastAsia"/>
                <w:bCs/>
                <w:color w:val="auto"/>
                <w:sz w:val="21"/>
                <w:szCs w:val="21"/>
                <w:lang w:val="zh-CN"/>
              </w:rPr>
              <w:t>文件份数要求</w:t>
            </w:r>
          </w:p>
        </w:tc>
        <w:tc>
          <w:tcPr>
            <w:tcW w:w="5220" w:type="dxa"/>
            <w:tcBorders>
              <w:top w:val="single" w:color="auto" w:sz="8" w:space="0"/>
              <w:left w:val="single" w:color="auto" w:sz="8" w:space="0"/>
              <w:bottom w:val="single" w:color="auto" w:sz="8" w:space="0"/>
              <w:right w:val="single" w:color="auto" w:sz="18" w:space="0"/>
            </w:tcBorders>
            <w:vAlign w:val="center"/>
          </w:tcPr>
          <w:p w14:paraId="0E4EA2D2">
            <w:pPr>
              <w:pStyle w:val="6"/>
              <w:adjustRightInd w:val="0"/>
              <w:snapToGrid w:val="0"/>
              <w:spacing w:line="360" w:lineRule="auto"/>
              <w:ind w:left="105" w:leftChars="50"/>
              <w:rPr>
                <w:rFonts w:asciiTheme="minorEastAsia" w:hAnsiTheme="minorEastAsia" w:eastAsiaTheme="minorEastAsia" w:cstheme="minorEastAsia"/>
                <w:bCs/>
                <w:color w:val="auto"/>
                <w:szCs w:val="21"/>
                <w:lang w:val="zh-CN"/>
              </w:rPr>
            </w:pPr>
            <w:r>
              <w:rPr>
                <w:rFonts w:hint="eastAsia" w:asciiTheme="minorEastAsia" w:hAnsiTheme="minorEastAsia" w:eastAsiaTheme="minorEastAsia" w:cstheme="minorEastAsia"/>
                <w:bCs/>
                <w:color w:val="auto"/>
                <w:szCs w:val="21"/>
                <w:lang w:val="zh-CN"/>
              </w:rPr>
              <w:fldChar w:fldCharType="begin"/>
            </w:r>
            <w:r>
              <w:rPr>
                <w:rFonts w:hint="eastAsia" w:asciiTheme="minorEastAsia" w:hAnsiTheme="minorEastAsia" w:eastAsiaTheme="minorEastAsia" w:cstheme="minorEastAsia"/>
                <w:bCs/>
                <w:color w:val="auto"/>
                <w:szCs w:val="21"/>
                <w:lang w:val="zh-CN"/>
              </w:rPr>
              <w:instrText xml:space="preserve"> = 1 \* GB3 \* MERGEFORMAT </w:instrText>
            </w:r>
            <w:r>
              <w:rPr>
                <w:rFonts w:hint="eastAsia" w:asciiTheme="minorEastAsia" w:hAnsiTheme="minorEastAsia" w:eastAsiaTheme="minorEastAsia" w:cstheme="minorEastAsia"/>
                <w:bCs/>
                <w:color w:val="auto"/>
                <w:szCs w:val="21"/>
                <w:lang w:val="zh-CN"/>
              </w:rPr>
              <w:fldChar w:fldCharType="separate"/>
            </w:r>
            <w:r>
              <w:rPr>
                <w:rFonts w:hint="eastAsia" w:asciiTheme="minorEastAsia" w:hAnsiTheme="minorEastAsia" w:eastAsiaTheme="minorEastAsia" w:cstheme="minorEastAsia"/>
                <w:bCs/>
                <w:color w:val="auto"/>
                <w:szCs w:val="21"/>
              </w:rPr>
              <w:t>①</w:t>
            </w:r>
            <w:r>
              <w:rPr>
                <w:rFonts w:hint="eastAsia" w:asciiTheme="minorEastAsia" w:hAnsiTheme="minorEastAsia" w:eastAsiaTheme="minorEastAsia" w:cstheme="minorEastAsia"/>
                <w:bCs/>
                <w:color w:val="auto"/>
                <w:szCs w:val="21"/>
                <w:lang w:val="zh-CN"/>
              </w:rPr>
              <w:fldChar w:fldCharType="end"/>
            </w:r>
            <w:r>
              <w:rPr>
                <w:rFonts w:hint="eastAsia" w:asciiTheme="minorEastAsia" w:hAnsiTheme="minorEastAsia" w:eastAsiaTheme="minorEastAsia" w:cstheme="minorEastAsia"/>
                <w:bCs/>
                <w:color w:val="auto"/>
                <w:szCs w:val="21"/>
                <w:lang w:val="zh-CN"/>
              </w:rPr>
              <w:t xml:space="preserve">正本壹份  </w:t>
            </w:r>
            <w:r>
              <w:rPr>
                <w:rFonts w:hint="eastAsia" w:asciiTheme="minorEastAsia" w:hAnsiTheme="minorEastAsia" w:eastAsiaTheme="minorEastAsia" w:cstheme="minorEastAsia"/>
                <w:bCs/>
                <w:color w:val="auto"/>
                <w:szCs w:val="21"/>
                <w:lang w:val="zh-CN"/>
              </w:rPr>
              <w:fldChar w:fldCharType="begin"/>
            </w:r>
            <w:r>
              <w:rPr>
                <w:rFonts w:hint="eastAsia" w:asciiTheme="minorEastAsia" w:hAnsiTheme="minorEastAsia" w:eastAsiaTheme="minorEastAsia" w:cstheme="minorEastAsia"/>
                <w:bCs/>
                <w:color w:val="auto"/>
                <w:szCs w:val="21"/>
                <w:lang w:val="zh-CN"/>
              </w:rPr>
              <w:instrText xml:space="preserve"> = 2 \* GB3 \* MERGEFORMAT </w:instrText>
            </w:r>
            <w:r>
              <w:rPr>
                <w:rFonts w:hint="eastAsia" w:asciiTheme="minorEastAsia" w:hAnsiTheme="minorEastAsia" w:eastAsiaTheme="minorEastAsia" w:cstheme="minorEastAsia"/>
                <w:bCs/>
                <w:color w:val="auto"/>
                <w:szCs w:val="21"/>
                <w:lang w:val="zh-CN"/>
              </w:rPr>
              <w:fldChar w:fldCharType="separate"/>
            </w:r>
            <w:r>
              <w:rPr>
                <w:rFonts w:hint="eastAsia" w:asciiTheme="minorEastAsia" w:hAnsiTheme="minorEastAsia" w:eastAsiaTheme="minorEastAsia" w:cstheme="minorEastAsia"/>
                <w:bCs/>
                <w:color w:val="auto"/>
                <w:szCs w:val="21"/>
              </w:rPr>
              <w:t>②</w:t>
            </w:r>
            <w:r>
              <w:rPr>
                <w:rFonts w:hint="eastAsia" w:asciiTheme="minorEastAsia" w:hAnsiTheme="minorEastAsia" w:eastAsiaTheme="minorEastAsia" w:cstheme="minorEastAsia"/>
                <w:bCs/>
                <w:color w:val="auto"/>
                <w:szCs w:val="21"/>
                <w:lang w:val="zh-CN"/>
              </w:rPr>
              <w:fldChar w:fldCharType="end"/>
            </w:r>
            <w:r>
              <w:rPr>
                <w:rFonts w:hint="eastAsia" w:asciiTheme="minorEastAsia" w:hAnsiTheme="minorEastAsia" w:eastAsiaTheme="minorEastAsia" w:cstheme="minorEastAsia"/>
                <w:bCs/>
                <w:color w:val="auto"/>
                <w:szCs w:val="21"/>
                <w:lang w:val="zh-CN"/>
              </w:rPr>
              <w:t>副本</w:t>
            </w:r>
            <w:r>
              <w:rPr>
                <w:rFonts w:hint="eastAsia" w:asciiTheme="minorEastAsia" w:hAnsiTheme="minorEastAsia" w:eastAsiaTheme="minorEastAsia" w:cstheme="minorEastAsia"/>
                <w:bCs/>
                <w:color w:val="auto"/>
                <w:szCs w:val="21"/>
              </w:rPr>
              <w:t>贰</w:t>
            </w:r>
            <w:r>
              <w:rPr>
                <w:rFonts w:hint="eastAsia" w:asciiTheme="minorEastAsia" w:hAnsiTheme="minorEastAsia" w:eastAsiaTheme="minorEastAsia" w:cstheme="minorEastAsia"/>
                <w:bCs/>
                <w:color w:val="auto"/>
                <w:szCs w:val="21"/>
                <w:lang w:val="zh-CN"/>
              </w:rPr>
              <w:t>份</w:t>
            </w:r>
            <w:r>
              <w:rPr>
                <w:rFonts w:hint="eastAsia" w:asciiTheme="minorEastAsia" w:hAnsiTheme="minorEastAsia" w:eastAsiaTheme="minorEastAsia" w:cstheme="minorEastAsia"/>
                <w:bCs/>
                <w:color w:val="auto"/>
                <w:szCs w:val="21"/>
              </w:rPr>
              <w:t>。</w:t>
            </w:r>
          </w:p>
          <w:p w14:paraId="58755872">
            <w:pPr>
              <w:tabs>
                <w:tab w:val="left" w:pos="420"/>
              </w:tabs>
              <w:adjustRightInd w:val="0"/>
              <w:snapToGrid w:val="0"/>
              <w:spacing w:line="360" w:lineRule="auto"/>
              <w:ind w:left="105" w:leftChars="50"/>
              <w:rPr>
                <w:rFonts w:asciiTheme="minorEastAsia" w:hAnsiTheme="minorEastAsia" w:eastAsiaTheme="minorEastAsia" w:cstheme="minorEastAsia"/>
                <w:bCs/>
                <w:color w:val="auto"/>
                <w:szCs w:val="21"/>
                <w:lang w:val="zh-CN"/>
              </w:rPr>
            </w:pPr>
            <w:r>
              <w:rPr>
                <w:rFonts w:hint="eastAsia" w:asciiTheme="minorEastAsia" w:hAnsiTheme="minorEastAsia" w:eastAsiaTheme="minorEastAsia" w:cstheme="minorEastAsia"/>
                <w:bCs/>
                <w:color w:val="auto"/>
                <w:szCs w:val="21"/>
              </w:rPr>
              <w:t>要求：少于数量要求的响应文件视为无效响应文件。</w:t>
            </w:r>
          </w:p>
        </w:tc>
      </w:tr>
      <w:tr w14:paraId="65EDBB6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14:paraId="63505960">
            <w:pPr>
              <w:pStyle w:val="30"/>
              <w:snapToGrid w:val="0"/>
              <w:spacing w:line="360" w:lineRule="auto"/>
              <w:ind w:left="9"/>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w:t>
            </w:r>
          </w:p>
        </w:tc>
        <w:tc>
          <w:tcPr>
            <w:tcW w:w="2435" w:type="dxa"/>
            <w:tcBorders>
              <w:top w:val="single" w:color="auto" w:sz="8" w:space="0"/>
              <w:left w:val="single" w:color="auto" w:sz="4" w:space="0"/>
              <w:bottom w:val="single" w:color="auto" w:sz="8" w:space="0"/>
              <w:right w:val="single" w:color="auto" w:sz="8" w:space="0"/>
            </w:tcBorders>
            <w:vAlign w:val="center"/>
          </w:tcPr>
          <w:p w14:paraId="37B074BD">
            <w:pPr>
              <w:pStyle w:val="30"/>
              <w:snapToGrid w:val="0"/>
              <w:spacing w:line="360" w:lineRule="auto"/>
              <w:ind w:left="105" w:leftChars="50"/>
              <w:jc w:val="both"/>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响应</w:t>
            </w:r>
            <w:r>
              <w:rPr>
                <w:rFonts w:hint="eastAsia" w:asciiTheme="minorEastAsia" w:hAnsiTheme="minorEastAsia" w:eastAsiaTheme="minorEastAsia" w:cstheme="minorEastAsia"/>
                <w:bCs/>
                <w:color w:val="auto"/>
                <w:sz w:val="21"/>
                <w:szCs w:val="21"/>
                <w:lang w:val="zh-CN"/>
              </w:rPr>
              <w:t>文件密封要求</w:t>
            </w:r>
          </w:p>
        </w:tc>
        <w:tc>
          <w:tcPr>
            <w:tcW w:w="5220" w:type="dxa"/>
            <w:tcBorders>
              <w:top w:val="single" w:color="auto" w:sz="8" w:space="0"/>
              <w:left w:val="single" w:color="auto" w:sz="8" w:space="0"/>
              <w:bottom w:val="single" w:color="auto" w:sz="8" w:space="0"/>
              <w:right w:val="single" w:color="auto" w:sz="18" w:space="0"/>
            </w:tcBorders>
            <w:vAlign w:val="center"/>
          </w:tcPr>
          <w:p w14:paraId="473FB355">
            <w:pPr>
              <w:pStyle w:val="30"/>
              <w:snapToGrid w:val="0"/>
              <w:spacing w:line="360" w:lineRule="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响应文件正本和副本须密封，并在密封处加盖单位公章或法定代表人或其授权代表签名；</w:t>
            </w:r>
          </w:p>
          <w:p w14:paraId="2D2C9E27">
            <w:pPr>
              <w:pStyle w:val="30"/>
              <w:snapToGrid w:val="0"/>
              <w:spacing w:line="360" w:lineRule="auto"/>
              <w:ind w:left="105" w:leftChars="50"/>
              <w:rPr>
                <w:rFonts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rPr>
              <w:t>要求：不符合上述密封签章要求的响应文件存在视为无效响应文件风险。</w:t>
            </w:r>
          </w:p>
        </w:tc>
      </w:tr>
      <w:tr w14:paraId="7FAD82D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77" w:hRule="atLeast"/>
        </w:trPr>
        <w:tc>
          <w:tcPr>
            <w:tcW w:w="640" w:type="dxa"/>
            <w:tcBorders>
              <w:top w:val="single" w:color="auto" w:sz="8" w:space="0"/>
              <w:left w:val="single" w:color="auto" w:sz="18" w:space="0"/>
              <w:bottom w:val="single" w:color="auto" w:sz="8" w:space="0"/>
              <w:right w:val="single" w:color="auto" w:sz="8" w:space="0"/>
            </w:tcBorders>
            <w:vAlign w:val="center"/>
          </w:tcPr>
          <w:p w14:paraId="7CA3D9AD">
            <w:pPr>
              <w:pStyle w:val="5"/>
              <w:adjustRightInd w:val="0"/>
              <w:snapToGrid w:val="0"/>
              <w:spacing w:line="360" w:lineRule="auto"/>
              <w:ind w:left="9" w:firstLine="0"/>
              <w:jc w:val="center"/>
              <w:rPr>
                <w:rFonts w:asciiTheme="minorEastAsia" w:hAnsiTheme="minorEastAsia" w:eastAsiaTheme="minorEastAsia" w:cstheme="minorEastAsia"/>
                <w:bCs/>
                <w:color w:val="auto"/>
                <w:szCs w:val="21"/>
                <w:lang w:val="zh-CN"/>
              </w:rPr>
            </w:pPr>
            <w:r>
              <w:rPr>
                <w:rFonts w:hint="eastAsia" w:asciiTheme="minorEastAsia" w:hAnsiTheme="minorEastAsia" w:eastAsiaTheme="minorEastAsia" w:cstheme="minorEastAsia"/>
                <w:bCs/>
                <w:color w:val="auto"/>
                <w:szCs w:val="21"/>
                <w:lang w:val="zh-CN"/>
              </w:rPr>
              <w:t>1</w:t>
            </w:r>
            <w:r>
              <w:rPr>
                <w:rFonts w:hint="eastAsia" w:asciiTheme="minorEastAsia" w:hAnsiTheme="minorEastAsia" w:eastAsiaTheme="minorEastAsia" w:cstheme="minorEastAsia"/>
                <w:bCs/>
                <w:color w:val="auto"/>
                <w:szCs w:val="21"/>
              </w:rPr>
              <w:t>2</w:t>
            </w:r>
          </w:p>
        </w:tc>
        <w:tc>
          <w:tcPr>
            <w:tcW w:w="2435" w:type="dxa"/>
            <w:tcBorders>
              <w:top w:val="single" w:color="auto" w:sz="8" w:space="0"/>
              <w:left w:val="single" w:color="auto" w:sz="4" w:space="0"/>
              <w:bottom w:val="single" w:color="auto" w:sz="8" w:space="0"/>
              <w:right w:val="single" w:color="auto" w:sz="8" w:space="0"/>
            </w:tcBorders>
            <w:vAlign w:val="center"/>
          </w:tcPr>
          <w:p w14:paraId="799ED838">
            <w:pPr>
              <w:adjustRightInd w:val="0"/>
              <w:snapToGrid w:val="0"/>
              <w:spacing w:line="360" w:lineRule="auto"/>
              <w:ind w:left="105" w:leftChars="5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响应文件封套上标示</w:t>
            </w:r>
          </w:p>
        </w:tc>
        <w:tc>
          <w:tcPr>
            <w:tcW w:w="5220" w:type="dxa"/>
            <w:tcBorders>
              <w:top w:val="single" w:color="auto" w:sz="8" w:space="0"/>
              <w:left w:val="single" w:color="auto" w:sz="8" w:space="0"/>
              <w:bottom w:val="single" w:color="auto" w:sz="8" w:space="0"/>
              <w:right w:val="single" w:color="auto" w:sz="18" w:space="0"/>
            </w:tcBorders>
            <w:vAlign w:val="center"/>
          </w:tcPr>
          <w:p w14:paraId="1D376DC7">
            <w:pPr>
              <w:adjustRightInd w:val="0"/>
              <w:snapToGrid w:val="0"/>
              <w:spacing w:line="360" w:lineRule="auto"/>
              <w:ind w:left="105" w:leftChars="5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响应文件    正本（副本）</w:t>
            </w:r>
          </w:p>
          <w:p w14:paraId="1FD1E1D1">
            <w:pPr>
              <w:adjustRightInd w:val="0"/>
              <w:snapToGrid w:val="0"/>
              <w:spacing w:line="360" w:lineRule="auto"/>
              <w:ind w:left="105" w:leftChars="50"/>
              <w:rPr>
                <w:rFonts w:asciiTheme="minorEastAsia" w:hAnsiTheme="minorEastAsia" w:eastAsiaTheme="minorEastAsia" w:cstheme="minorEastAsia"/>
                <w:bCs/>
                <w:color w:val="auto"/>
                <w:szCs w:val="21"/>
                <w:u w:val="single"/>
              </w:rPr>
            </w:pPr>
            <w:r>
              <w:rPr>
                <w:rFonts w:hint="eastAsia" w:asciiTheme="minorEastAsia" w:hAnsiTheme="minorEastAsia" w:eastAsiaTheme="minorEastAsia" w:cstheme="minorEastAsia"/>
                <w:bCs/>
                <w:color w:val="auto"/>
                <w:szCs w:val="21"/>
              </w:rPr>
              <w:t>项目名称:</w:t>
            </w:r>
          </w:p>
          <w:p w14:paraId="4881C950">
            <w:pPr>
              <w:adjustRightInd w:val="0"/>
              <w:snapToGrid w:val="0"/>
              <w:spacing w:line="360" w:lineRule="auto"/>
              <w:ind w:left="105" w:leftChars="5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项目编号：</w:t>
            </w:r>
          </w:p>
          <w:p w14:paraId="70622289">
            <w:pPr>
              <w:adjustRightInd w:val="0"/>
              <w:snapToGrid w:val="0"/>
              <w:spacing w:line="360" w:lineRule="auto"/>
              <w:ind w:left="105" w:leftChars="5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供应商的名称（加盖公章）：</w:t>
            </w:r>
          </w:p>
          <w:p w14:paraId="08537CE3">
            <w:pPr>
              <w:adjustRightInd w:val="0"/>
              <w:snapToGrid w:val="0"/>
              <w:spacing w:line="360" w:lineRule="auto"/>
              <w:ind w:left="105" w:leftChars="5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供应商联系人姓名、联系电话：</w:t>
            </w:r>
          </w:p>
          <w:p w14:paraId="06E4EB9E">
            <w:pPr>
              <w:adjustRightInd w:val="0"/>
              <w:snapToGrid w:val="0"/>
              <w:spacing w:line="360" w:lineRule="auto"/>
              <w:ind w:left="105" w:leftChars="5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于</w:t>
            </w:r>
            <w:r>
              <w:rPr>
                <w:rFonts w:hint="eastAsia" w:asciiTheme="minorEastAsia" w:hAnsiTheme="minorEastAsia" w:eastAsiaTheme="minorEastAsia" w:cstheme="minorEastAsia"/>
                <w:bCs/>
                <w:color w:val="auto"/>
                <w:kern w:val="0"/>
                <w:szCs w:val="21"/>
              </w:rPr>
              <w:t>在2024</w:t>
            </w:r>
            <w:r>
              <w:rPr>
                <w:rFonts w:hint="eastAsia" w:asciiTheme="minorEastAsia" w:hAnsiTheme="minorEastAsia" w:eastAsiaTheme="minorEastAsia" w:cstheme="minorEastAsia"/>
                <w:bCs/>
                <w:color w:val="auto"/>
                <w:kern w:val="0"/>
                <w:szCs w:val="21"/>
                <w:lang w:val="zh-CN"/>
              </w:rPr>
              <w:t>年</w:t>
            </w:r>
            <w:r>
              <w:rPr>
                <w:rFonts w:hint="eastAsia" w:asciiTheme="minorEastAsia" w:hAnsiTheme="minorEastAsia" w:eastAsiaTheme="minorEastAsia" w:cstheme="minorEastAsia"/>
                <w:bCs/>
                <w:color w:val="auto"/>
                <w:kern w:val="0"/>
                <w:szCs w:val="21"/>
                <w:lang w:val="en-US" w:eastAsia="zh-CN"/>
              </w:rPr>
              <w:t>9</w:t>
            </w:r>
            <w:r>
              <w:rPr>
                <w:rFonts w:hint="eastAsia" w:asciiTheme="minorEastAsia" w:hAnsiTheme="minorEastAsia" w:eastAsiaTheme="minorEastAsia" w:cstheme="minorEastAsia"/>
                <w:bCs/>
                <w:color w:val="auto"/>
                <w:kern w:val="0"/>
                <w:szCs w:val="21"/>
                <w:lang w:val="zh-CN"/>
              </w:rPr>
              <w:t>月</w:t>
            </w:r>
            <w:r>
              <w:rPr>
                <w:rFonts w:hint="eastAsia" w:asciiTheme="minorEastAsia" w:hAnsiTheme="minorEastAsia" w:eastAsiaTheme="minorEastAsia" w:cstheme="minorEastAsia"/>
                <w:bCs/>
                <w:color w:val="auto"/>
                <w:kern w:val="0"/>
                <w:szCs w:val="21"/>
                <w:lang w:val="en-US" w:eastAsia="zh-CN"/>
              </w:rPr>
              <w:t>10</w:t>
            </w:r>
            <w:r>
              <w:rPr>
                <w:rFonts w:hint="eastAsia" w:asciiTheme="minorEastAsia" w:hAnsiTheme="minorEastAsia" w:eastAsiaTheme="minorEastAsia" w:cstheme="minorEastAsia"/>
                <w:bCs/>
                <w:color w:val="auto"/>
                <w:kern w:val="0"/>
                <w:szCs w:val="21"/>
                <w:lang w:val="zh-CN"/>
              </w:rPr>
              <w:t>日</w:t>
            </w:r>
            <w:r>
              <w:rPr>
                <w:rFonts w:hint="eastAsia" w:asciiTheme="minorEastAsia" w:hAnsiTheme="minorEastAsia" w:eastAsiaTheme="minorEastAsia" w:cstheme="minorEastAsia"/>
                <w:bCs/>
                <w:color w:val="auto"/>
                <w:kern w:val="0"/>
                <w:szCs w:val="21"/>
              </w:rPr>
              <w:t>15</w:t>
            </w:r>
            <w:r>
              <w:rPr>
                <w:rFonts w:hint="eastAsia" w:asciiTheme="minorEastAsia" w:hAnsiTheme="minorEastAsia" w:eastAsiaTheme="minorEastAsia" w:cstheme="minorEastAsia"/>
                <w:bCs/>
                <w:color w:val="auto"/>
                <w:kern w:val="0"/>
                <w:szCs w:val="21"/>
                <w:lang w:val="zh-CN"/>
              </w:rPr>
              <w:t>时</w:t>
            </w:r>
            <w:r>
              <w:rPr>
                <w:rFonts w:hint="eastAsia" w:asciiTheme="minorEastAsia" w:hAnsiTheme="minorEastAsia" w:eastAsiaTheme="minorEastAsia" w:cstheme="minorEastAsia"/>
                <w:bCs/>
                <w:color w:val="auto"/>
                <w:kern w:val="0"/>
                <w:szCs w:val="21"/>
              </w:rPr>
              <w:t>00</w:t>
            </w:r>
            <w:r>
              <w:rPr>
                <w:rFonts w:hint="eastAsia" w:asciiTheme="minorEastAsia" w:hAnsiTheme="minorEastAsia" w:eastAsiaTheme="minorEastAsia" w:cstheme="minorEastAsia"/>
                <w:bCs/>
                <w:color w:val="auto"/>
                <w:kern w:val="0"/>
                <w:szCs w:val="21"/>
                <w:lang w:val="zh-CN"/>
              </w:rPr>
              <w:t>分前</w:t>
            </w:r>
            <w:r>
              <w:rPr>
                <w:rFonts w:hint="eastAsia" w:asciiTheme="minorEastAsia" w:hAnsiTheme="minorEastAsia" w:eastAsiaTheme="minorEastAsia" w:cstheme="minorEastAsia"/>
                <w:bCs/>
                <w:color w:val="auto"/>
                <w:kern w:val="0"/>
                <w:szCs w:val="21"/>
              </w:rPr>
              <w:t>（开标时间</w:t>
            </w:r>
            <w:r>
              <w:rPr>
                <w:rFonts w:hint="eastAsia" w:asciiTheme="minorEastAsia" w:hAnsiTheme="minorEastAsia" w:eastAsiaTheme="minorEastAsia" w:cstheme="minorEastAsia"/>
                <w:bCs/>
                <w:color w:val="auto"/>
                <w:szCs w:val="21"/>
              </w:rPr>
              <w:t>）不得开启</w:t>
            </w:r>
          </w:p>
        </w:tc>
      </w:tr>
      <w:tr w14:paraId="395BB2B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vAlign w:val="center"/>
          </w:tcPr>
          <w:p w14:paraId="11C0833D">
            <w:pPr>
              <w:pStyle w:val="5"/>
              <w:adjustRightInd w:val="0"/>
              <w:snapToGrid w:val="0"/>
              <w:spacing w:line="360" w:lineRule="auto"/>
              <w:ind w:left="9" w:firstLine="0"/>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13</w:t>
            </w:r>
          </w:p>
        </w:tc>
        <w:tc>
          <w:tcPr>
            <w:tcW w:w="2435" w:type="dxa"/>
            <w:vAlign w:val="center"/>
          </w:tcPr>
          <w:p w14:paraId="30F39C55">
            <w:pPr>
              <w:pStyle w:val="30"/>
              <w:snapToGrid w:val="0"/>
              <w:spacing w:line="360" w:lineRule="auto"/>
              <w:ind w:left="105" w:leftChars="50"/>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参加开标供应商代表身份证明文件</w:t>
            </w:r>
          </w:p>
        </w:tc>
        <w:tc>
          <w:tcPr>
            <w:tcW w:w="5220" w:type="dxa"/>
            <w:vAlign w:val="center"/>
          </w:tcPr>
          <w:p w14:paraId="0DCFC8DC">
            <w:pPr>
              <w:pStyle w:val="30"/>
              <w:snapToGrid w:val="0"/>
              <w:spacing w:line="360" w:lineRule="auto"/>
              <w:ind w:left="105" w:leftChars="50"/>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个人身份证（或其他有效证件）复印件</w:t>
            </w:r>
          </w:p>
        </w:tc>
      </w:tr>
      <w:tr w14:paraId="126D21A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14:paraId="5A3559EF">
            <w:pPr>
              <w:pStyle w:val="5"/>
              <w:adjustRightInd w:val="0"/>
              <w:snapToGrid w:val="0"/>
              <w:spacing w:line="360" w:lineRule="auto"/>
              <w:ind w:left="9" w:firstLine="0"/>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14</w:t>
            </w:r>
          </w:p>
        </w:tc>
        <w:tc>
          <w:tcPr>
            <w:tcW w:w="2435" w:type="dxa"/>
            <w:vAlign w:val="center"/>
          </w:tcPr>
          <w:p w14:paraId="1C70742B">
            <w:pPr>
              <w:adjustRightInd w:val="0"/>
              <w:snapToGrid w:val="0"/>
              <w:spacing w:line="360" w:lineRule="auto"/>
              <w:ind w:left="105" w:leftChars="5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开标程序</w:t>
            </w:r>
          </w:p>
        </w:tc>
        <w:tc>
          <w:tcPr>
            <w:tcW w:w="5220" w:type="dxa"/>
            <w:vAlign w:val="center"/>
          </w:tcPr>
          <w:p w14:paraId="649630D0">
            <w:pPr>
              <w:adjustRightInd w:val="0"/>
              <w:snapToGrid w:val="0"/>
              <w:spacing w:line="360" w:lineRule="auto"/>
              <w:ind w:left="105" w:leftChars="50"/>
              <w:outlineLvl w:val="1"/>
              <w:rPr>
                <w:color w:val="auto"/>
              </w:rPr>
            </w:pPr>
            <w:r>
              <w:rPr>
                <w:rFonts w:hint="eastAsia"/>
                <w:color w:val="auto"/>
              </w:rPr>
              <w:t>1、主持人宣布开标会议开始；</w:t>
            </w:r>
          </w:p>
          <w:p w14:paraId="724189A2">
            <w:pPr>
              <w:adjustRightInd w:val="0"/>
              <w:snapToGrid w:val="0"/>
              <w:spacing w:line="360" w:lineRule="auto"/>
              <w:ind w:left="105" w:leftChars="50"/>
              <w:outlineLvl w:val="1"/>
              <w:rPr>
                <w:color w:val="auto"/>
              </w:rPr>
            </w:pPr>
            <w:r>
              <w:rPr>
                <w:rFonts w:hint="eastAsia"/>
                <w:color w:val="auto"/>
              </w:rPr>
              <w:t>2、介绍参加开标会议的人员；</w:t>
            </w:r>
          </w:p>
          <w:p w14:paraId="39422B81">
            <w:pPr>
              <w:adjustRightInd w:val="0"/>
              <w:snapToGrid w:val="0"/>
              <w:spacing w:line="360" w:lineRule="auto"/>
              <w:ind w:left="105" w:leftChars="50"/>
              <w:outlineLvl w:val="1"/>
              <w:rPr>
                <w:color w:val="auto"/>
              </w:rPr>
            </w:pPr>
            <w:r>
              <w:rPr>
                <w:rFonts w:hint="eastAsia"/>
                <w:color w:val="auto"/>
              </w:rPr>
              <w:t>3、宣读开标纪律；</w:t>
            </w:r>
          </w:p>
          <w:p w14:paraId="225B690B">
            <w:pPr>
              <w:adjustRightInd w:val="0"/>
              <w:snapToGrid w:val="0"/>
              <w:spacing w:line="360" w:lineRule="auto"/>
              <w:ind w:left="105" w:leftChars="50"/>
              <w:outlineLvl w:val="1"/>
              <w:rPr>
                <w:color w:val="auto"/>
              </w:rPr>
            </w:pPr>
            <w:r>
              <w:rPr>
                <w:rFonts w:hint="eastAsia"/>
                <w:color w:val="auto"/>
              </w:rPr>
              <w:t>4、查验各响应文件的密封性并予以确认；</w:t>
            </w:r>
          </w:p>
          <w:p w14:paraId="53FD597C">
            <w:pPr>
              <w:adjustRightInd w:val="0"/>
              <w:snapToGrid w:val="0"/>
              <w:spacing w:line="360" w:lineRule="auto"/>
              <w:ind w:left="105" w:leftChars="50"/>
              <w:outlineLvl w:val="1"/>
              <w:rPr>
                <w:color w:val="auto"/>
              </w:rPr>
            </w:pPr>
            <w:r>
              <w:rPr>
                <w:rFonts w:hint="eastAsia"/>
                <w:color w:val="auto"/>
              </w:rPr>
              <w:t>5、拆封响应文件；</w:t>
            </w:r>
          </w:p>
          <w:p w14:paraId="71486D6D">
            <w:pPr>
              <w:adjustRightInd w:val="0"/>
              <w:snapToGrid w:val="0"/>
              <w:spacing w:line="360" w:lineRule="auto"/>
              <w:ind w:left="105" w:leftChars="50"/>
              <w:outlineLvl w:val="1"/>
              <w:rPr>
                <w:color w:val="auto"/>
              </w:rPr>
            </w:pPr>
            <w:r>
              <w:rPr>
                <w:rFonts w:hint="eastAsia"/>
                <w:color w:val="auto"/>
              </w:rPr>
              <w:t>6、唱标，唱标内容为“开标一览表”所载明的内容；</w:t>
            </w:r>
          </w:p>
          <w:p w14:paraId="5A522906">
            <w:pPr>
              <w:adjustRightInd w:val="0"/>
              <w:snapToGrid w:val="0"/>
              <w:spacing w:line="360" w:lineRule="auto"/>
              <w:ind w:left="105" w:leftChars="50"/>
              <w:outlineLvl w:val="1"/>
              <w:rPr>
                <w:color w:val="auto"/>
              </w:rPr>
            </w:pPr>
            <w:r>
              <w:rPr>
                <w:rFonts w:hint="eastAsia"/>
                <w:color w:val="auto"/>
              </w:rPr>
              <w:t>7、记录唱标结果及开标过程；</w:t>
            </w:r>
          </w:p>
          <w:p w14:paraId="0CEEAC41">
            <w:pPr>
              <w:adjustRightInd w:val="0"/>
              <w:snapToGrid w:val="0"/>
              <w:spacing w:line="360" w:lineRule="auto"/>
              <w:ind w:left="105" w:leftChars="50"/>
              <w:rPr>
                <w:color w:val="auto"/>
              </w:rPr>
            </w:pPr>
            <w:r>
              <w:rPr>
                <w:rFonts w:hint="eastAsia"/>
                <w:color w:val="auto"/>
              </w:rPr>
              <w:t>8、主持人宣布开标会议结束。</w:t>
            </w:r>
          </w:p>
          <w:p w14:paraId="5ACD9A34">
            <w:pPr>
              <w:pStyle w:val="15"/>
              <w:ind w:left="0" w:leftChars="0" w:firstLine="0" w:firstLineChars="0"/>
              <w:rPr>
                <w:rFonts w:eastAsiaTheme="minorEastAsia"/>
                <w:color w:val="auto"/>
              </w:rPr>
            </w:pPr>
            <w:r>
              <w:rPr>
                <w:rFonts w:hint="eastAsia" w:asciiTheme="minorEastAsia" w:hAnsiTheme="minorEastAsia" w:eastAsiaTheme="minorEastAsia" w:cstheme="minorEastAsia"/>
                <w:color w:val="auto"/>
              </w:rPr>
              <w:t>备注：本项目不要求供应商授权代表参与开标会议。</w:t>
            </w:r>
          </w:p>
        </w:tc>
      </w:tr>
      <w:tr w14:paraId="36E1665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14:paraId="0C5E024D">
            <w:pPr>
              <w:pStyle w:val="5"/>
              <w:adjustRightInd w:val="0"/>
              <w:snapToGrid w:val="0"/>
              <w:spacing w:line="360" w:lineRule="auto"/>
              <w:ind w:left="9" w:firstLine="0"/>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15</w:t>
            </w:r>
          </w:p>
        </w:tc>
        <w:tc>
          <w:tcPr>
            <w:tcW w:w="2435" w:type="dxa"/>
            <w:vAlign w:val="center"/>
          </w:tcPr>
          <w:p w14:paraId="2E0B4764">
            <w:pPr>
              <w:adjustRightInd w:val="0"/>
              <w:snapToGrid w:val="0"/>
              <w:spacing w:line="360" w:lineRule="auto"/>
              <w:ind w:left="105" w:leftChars="5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唱标内容</w:t>
            </w:r>
          </w:p>
        </w:tc>
        <w:tc>
          <w:tcPr>
            <w:tcW w:w="5220" w:type="dxa"/>
            <w:vAlign w:val="center"/>
          </w:tcPr>
          <w:p w14:paraId="315F1100">
            <w:pPr>
              <w:adjustRightInd w:val="0"/>
              <w:snapToGrid w:val="0"/>
              <w:spacing w:line="360" w:lineRule="auto"/>
              <w:ind w:left="105" w:leftChars="5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1、“开标一览表”所载明的内容</w:t>
            </w:r>
          </w:p>
          <w:p w14:paraId="2BB16CFD">
            <w:pPr>
              <w:adjustRightInd w:val="0"/>
              <w:snapToGrid w:val="0"/>
              <w:spacing w:line="360" w:lineRule="auto"/>
              <w:ind w:left="105" w:leftChars="5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供应商对响应报价若有说明应在开标一览表显著处予以注明，只有开标时唱出的响应价格、价格折扣等内容才会被考虑。供应商若有响应报价、价格折扣等未被唱出的，应在唱标时及时提出。否则，采购人对此不承担任何责任。</w:t>
            </w:r>
          </w:p>
        </w:tc>
      </w:tr>
      <w:tr w14:paraId="113523B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3" w:hRule="atLeast"/>
        </w:trPr>
        <w:tc>
          <w:tcPr>
            <w:tcW w:w="640" w:type="dxa"/>
            <w:vAlign w:val="center"/>
          </w:tcPr>
          <w:p w14:paraId="2DE0C9AB">
            <w:pPr>
              <w:pStyle w:val="5"/>
              <w:adjustRightInd w:val="0"/>
              <w:snapToGrid w:val="0"/>
              <w:spacing w:line="360" w:lineRule="auto"/>
              <w:ind w:left="9" w:firstLine="0"/>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16</w:t>
            </w:r>
          </w:p>
        </w:tc>
        <w:tc>
          <w:tcPr>
            <w:tcW w:w="2435" w:type="dxa"/>
            <w:vAlign w:val="center"/>
          </w:tcPr>
          <w:p w14:paraId="2F5AF129">
            <w:pPr>
              <w:adjustRightInd w:val="0"/>
              <w:snapToGrid w:val="0"/>
              <w:spacing w:line="360" w:lineRule="auto"/>
              <w:ind w:left="105" w:leftChars="5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资格审查</w:t>
            </w:r>
          </w:p>
        </w:tc>
        <w:tc>
          <w:tcPr>
            <w:tcW w:w="5220" w:type="dxa"/>
            <w:vAlign w:val="center"/>
          </w:tcPr>
          <w:p w14:paraId="04EE5C33">
            <w:pPr>
              <w:adjustRightInd w:val="0"/>
              <w:snapToGrid w:val="0"/>
              <w:spacing w:line="360" w:lineRule="auto"/>
              <w:ind w:left="105" w:leftChars="5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开标结束后，先对供应商的资格进行审查。</w:t>
            </w:r>
          </w:p>
        </w:tc>
      </w:tr>
      <w:tr w14:paraId="5B7369A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 w:hRule="atLeast"/>
        </w:trPr>
        <w:tc>
          <w:tcPr>
            <w:tcW w:w="640" w:type="dxa"/>
            <w:vAlign w:val="center"/>
          </w:tcPr>
          <w:p w14:paraId="00D56BF2">
            <w:pPr>
              <w:pStyle w:val="5"/>
              <w:adjustRightInd w:val="0"/>
              <w:snapToGrid w:val="0"/>
              <w:spacing w:line="360" w:lineRule="auto"/>
              <w:ind w:left="9" w:firstLine="0"/>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17</w:t>
            </w:r>
          </w:p>
        </w:tc>
        <w:tc>
          <w:tcPr>
            <w:tcW w:w="2435" w:type="dxa"/>
            <w:vAlign w:val="center"/>
          </w:tcPr>
          <w:p w14:paraId="63D5AFF8">
            <w:pPr>
              <w:adjustRightInd w:val="0"/>
              <w:snapToGrid w:val="0"/>
              <w:spacing w:line="360" w:lineRule="auto"/>
              <w:ind w:left="105" w:leftChars="5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修正内容</w:t>
            </w:r>
          </w:p>
        </w:tc>
        <w:tc>
          <w:tcPr>
            <w:tcW w:w="5220" w:type="dxa"/>
            <w:vAlign w:val="center"/>
          </w:tcPr>
          <w:p w14:paraId="3E0BF13A">
            <w:pPr>
              <w:adjustRightInd w:val="0"/>
              <w:snapToGrid w:val="0"/>
              <w:spacing w:line="360" w:lineRule="auto"/>
              <w:ind w:left="105" w:leftChars="5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响应文件中开标一览表（报价表）内容与响应文件中相应内容不一致的，以开标一览表（报价表）为准,但价格评审时则以最不利于评审结果的标准取值。</w:t>
            </w:r>
          </w:p>
        </w:tc>
      </w:tr>
      <w:tr w14:paraId="0BC792B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 w:hRule="atLeast"/>
        </w:trPr>
        <w:tc>
          <w:tcPr>
            <w:tcW w:w="640" w:type="dxa"/>
            <w:vAlign w:val="center"/>
          </w:tcPr>
          <w:p w14:paraId="1D911459">
            <w:pPr>
              <w:pStyle w:val="5"/>
              <w:adjustRightInd w:val="0"/>
              <w:snapToGrid w:val="0"/>
              <w:spacing w:line="360" w:lineRule="auto"/>
              <w:ind w:left="9" w:firstLine="0"/>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18</w:t>
            </w:r>
          </w:p>
        </w:tc>
        <w:tc>
          <w:tcPr>
            <w:tcW w:w="2435" w:type="dxa"/>
            <w:vAlign w:val="center"/>
          </w:tcPr>
          <w:p w14:paraId="326F1CF4">
            <w:pPr>
              <w:pStyle w:val="30"/>
              <w:snapToGrid w:val="0"/>
              <w:spacing w:line="360" w:lineRule="auto"/>
              <w:ind w:left="105" w:leftChars="50"/>
              <w:jc w:val="both"/>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评审方法</w:t>
            </w:r>
          </w:p>
        </w:tc>
        <w:tc>
          <w:tcPr>
            <w:tcW w:w="5220" w:type="dxa"/>
            <w:vAlign w:val="center"/>
          </w:tcPr>
          <w:p w14:paraId="718C8C0B">
            <w:pPr>
              <w:pStyle w:val="30"/>
              <w:snapToGrid w:val="0"/>
              <w:spacing w:line="360" w:lineRule="auto"/>
              <w:ind w:left="105" w:leftChars="50"/>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综合评分法</w:t>
            </w:r>
          </w:p>
        </w:tc>
      </w:tr>
      <w:tr w14:paraId="46E40D3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0" w:hRule="atLeast"/>
        </w:trPr>
        <w:tc>
          <w:tcPr>
            <w:tcW w:w="640" w:type="dxa"/>
            <w:vAlign w:val="center"/>
          </w:tcPr>
          <w:p w14:paraId="066625D6">
            <w:pPr>
              <w:pStyle w:val="5"/>
              <w:adjustRightInd w:val="0"/>
              <w:snapToGrid w:val="0"/>
              <w:spacing w:line="360" w:lineRule="auto"/>
              <w:ind w:left="9" w:firstLine="0"/>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19</w:t>
            </w:r>
          </w:p>
        </w:tc>
        <w:tc>
          <w:tcPr>
            <w:tcW w:w="7655" w:type="dxa"/>
            <w:gridSpan w:val="2"/>
            <w:vAlign w:val="center"/>
          </w:tcPr>
          <w:p w14:paraId="2CB70FFB">
            <w:pPr>
              <w:pStyle w:val="30"/>
              <w:snapToGrid w:val="0"/>
              <w:spacing w:line="360" w:lineRule="auto"/>
              <w:ind w:left="105" w:leftChars="50"/>
              <w:rPr>
                <w:rFonts w:asciiTheme="minorEastAsia" w:hAnsi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本项目</w:t>
            </w:r>
            <w:r>
              <w:rPr>
                <w:rFonts w:hint="eastAsia"/>
                <w:color w:val="auto"/>
                <w:sz w:val="21"/>
                <w:szCs w:val="21"/>
              </w:rPr>
              <w:t>对应的中小企业划分标准所属行业：租赁和商业服务业</w:t>
            </w:r>
          </w:p>
        </w:tc>
      </w:tr>
      <w:bookmarkEnd w:id="24"/>
    </w:tbl>
    <w:p w14:paraId="08BD9CEE">
      <w:pPr>
        <w:adjustRightInd w:val="0"/>
        <w:snapToGrid w:val="0"/>
        <w:spacing w:line="360" w:lineRule="auto"/>
        <w:ind w:firstLine="420" w:firstLineChars="200"/>
        <w:outlineLvl w:val="1"/>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一、总则</w:t>
      </w:r>
    </w:p>
    <w:p w14:paraId="08934576">
      <w:pPr>
        <w:adjustRightInd w:val="0"/>
        <w:snapToGrid w:val="0"/>
        <w:spacing w:line="360" w:lineRule="auto"/>
        <w:ind w:firstLine="420" w:firstLineChars="200"/>
        <w:rPr>
          <w:rFonts w:asciiTheme="minorEastAsia" w:hAnsiTheme="minorEastAsia" w:eastAsiaTheme="minorEastAsia" w:cstheme="minorEastAsia"/>
          <w:bCs/>
          <w:color w:val="auto"/>
          <w:kern w:val="0"/>
          <w:szCs w:val="21"/>
        </w:rPr>
      </w:pPr>
      <w:bookmarkStart w:id="25" w:name="_Toc246826115"/>
      <w:r>
        <w:rPr>
          <w:rFonts w:hint="eastAsia" w:asciiTheme="minorEastAsia" w:hAnsiTheme="minorEastAsia" w:eastAsiaTheme="minorEastAsia" w:cstheme="minorEastAsia"/>
          <w:bCs/>
          <w:color w:val="auto"/>
          <w:kern w:val="0"/>
          <w:szCs w:val="21"/>
        </w:rPr>
        <w:t>1、适用范围</w:t>
      </w:r>
    </w:p>
    <w:p w14:paraId="08DAE0C9">
      <w:pPr>
        <w:adjustRightInd w:val="0"/>
        <w:snapToGrid w:val="0"/>
        <w:spacing w:line="360" w:lineRule="auto"/>
        <w:ind w:firstLine="420" w:firstLineChars="20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本采购比选文件仅适用于本次比选公告中所述项目的采购。</w:t>
      </w:r>
    </w:p>
    <w:p w14:paraId="2993D26B">
      <w:pPr>
        <w:adjustRightInd w:val="0"/>
        <w:snapToGrid w:val="0"/>
        <w:spacing w:line="360" w:lineRule="auto"/>
        <w:ind w:firstLine="420" w:firstLineChars="20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2、定义</w:t>
      </w:r>
    </w:p>
    <w:p w14:paraId="64DEA178">
      <w:pPr>
        <w:adjustRightInd w:val="0"/>
        <w:snapToGrid w:val="0"/>
        <w:spacing w:line="360" w:lineRule="auto"/>
        <w:ind w:firstLine="420" w:firstLineChars="20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本采购比选文件中的下列术语应解释为：</w:t>
      </w:r>
    </w:p>
    <w:p w14:paraId="62247631">
      <w:pPr>
        <w:adjustRightInd w:val="0"/>
        <w:snapToGrid w:val="0"/>
        <w:spacing w:line="360" w:lineRule="auto"/>
        <w:ind w:firstLine="420" w:firstLineChars="20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2.1“采购人”系指本项目的采购人，是依法开展政府采购活动的国家机关、事业单位和团体组织。在履行合同阶段称为甲方或买方。</w:t>
      </w:r>
    </w:p>
    <w:p w14:paraId="3B2D960C">
      <w:pPr>
        <w:adjustRightInd w:val="0"/>
        <w:snapToGrid w:val="0"/>
        <w:spacing w:line="360" w:lineRule="auto"/>
        <w:ind w:firstLine="420" w:firstLineChars="200"/>
        <w:rPr>
          <w:rFonts w:asciiTheme="minorEastAsia" w:hAnsiTheme="minorEastAsia" w:eastAsiaTheme="minorEastAsia" w:cstheme="minorEastAsia"/>
          <w:bCs/>
          <w:color w:val="auto"/>
          <w:kern w:val="0"/>
          <w:szCs w:val="21"/>
        </w:rPr>
      </w:pPr>
      <w:bookmarkStart w:id="26" w:name="_Toc267320062"/>
      <w:r>
        <w:rPr>
          <w:rFonts w:hint="eastAsia" w:asciiTheme="minorEastAsia" w:hAnsiTheme="minorEastAsia" w:eastAsiaTheme="minorEastAsia" w:cstheme="minorEastAsia"/>
          <w:bCs/>
          <w:color w:val="auto"/>
          <w:kern w:val="0"/>
          <w:szCs w:val="21"/>
        </w:rPr>
        <w:t>2.2“供应商”系指向采购人提供货物、工程或者服务的法人、其他组织或者自然人。法人的分支机构不得参加政府采购活动，但银行、保险、石油石化、电力、电信等特殊行业除外</w:t>
      </w:r>
      <w:r>
        <w:rPr>
          <w:rFonts w:hint="eastAsia" w:asciiTheme="minorEastAsia" w:hAnsiTheme="minorEastAsia" w:eastAsiaTheme="minorEastAsia" w:cstheme="minorEastAsia"/>
          <w:bCs/>
          <w:color w:val="auto"/>
          <w:szCs w:val="21"/>
          <w:lang w:val="zh-CN"/>
        </w:rPr>
        <w:t>。</w:t>
      </w:r>
      <w:r>
        <w:rPr>
          <w:rFonts w:hint="eastAsia" w:asciiTheme="minorEastAsia" w:hAnsiTheme="minorEastAsia" w:eastAsiaTheme="minorEastAsia" w:cstheme="minorEastAsia"/>
          <w:bCs/>
          <w:color w:val="auto"/>
          <w:kern w:val="0"/>
          <w:szCs w:val="21"/>
        </w:rPr>
        <w:t>在响应阶段称为供应商、供应商，在签订和履行合同阶段称为乙方、卖方或成交供应商。</w:t>
      </w:r>
    </w:p>
    <w:bookmarkEnd w:id="26"/>
    <w:p w14:paraId="6DDF4914">
      <w:pPr>
        <w:adjustRightInd w:val="0"/>
        <w:snapToGrid w:val="0"/>
        <w:spacing w:line="360" w:lineRule="auto"/>
        <w:ind w:firstLine="420" w:firstLineChars="20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3、供应商</w:t>
      </w:r>
    </w:p>
    <w:p w14:paraId="3096E55F">
      <w:pPr>
        <w:adjustRightInd w:val="0"/>
        <w:snapToGrid w:val="0"/>
        <w:spacing w:line="360" w:lineRule="auto"/>
        <w:ind w:firstLine="420" w:firstLineChars="20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3.1合格供应商条件</w:t>
      </w:r>
    </w:p>
    <w:p w14:paraId="3852A69F">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3.1.1在中华人民共和国境内注册，能够独立承担民事责任，有生产或供应能力的本国供应商，包括法人、其他组织</w:t>
      </w:r>
      <w:r>
        <w:rPr>
          <w:rFonts w:hint="eastAsia" w:asciiTheme="minorEastAsia" w:hAnsiTheme="minorEastAsia" w:eastAsiaTheme="minorEastAsia" w:cstheme="minorEastAsia"/>
          <w:bCs/>
          <w:color w:val="auto"/>
          <w:szCs w:val="21"/>
          <w:lang w:val="zh-CN"/>
        </w:rPr>
        <w:t>或者</w:t>
      </w:r>
      <w:r>
        <w:rPr>
          <w:rFonts w:hint="eastAsia" w:asciiTheme="minorEastAsia" w:hAnsiTheme="minorEastAsia" w:eastAsiaTheme="minorEastAsia" w:cstheme="minorEastAsia"/>
          <w:bCs/>
          <w:color w:val="auto"/>
          <w:szCs w:val="21"/>
        </w:rPr>
        <w:t>自然人；</w:t>
      </w:r>
    </w:p>
    <w:p w14:paraId="6BB2B8D0">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3.1.2符合《政府采购法》第二十二条规定的条件：</w:t>
      </w:r>
    </w:p>
    <w:p w14:paraId="38A7B8B5">
      <w:pPr>
        <w:adjustRightInd w:val="0"/>
        <w:snapToGrid w:val="0"/>
        <w:spacing w:line="360" w:lineRule="auto"/>
        <w:ind w:firstLine="420" w:firstLineChars="20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3.1.2.1具有独立承担民事责任的能力；</w:t>
      </w:r>
    </w:p>
    <w:p w14:paraId="30E40427">
      <w:pPr>
        <w:adjustRightInd w:val="0"/>
        <w:snapToGrid w:val="0"/>
        <w:spacing w:line="360" w:lineRule="auto"/>
        <w:ind w:firstLine="420" w:firstLineChars="200"/>
        <w:rPr>
          <w:rFonts w:asciiTheme="minorEastAsia" w:hAnsiTheme="minorEastAsia" w:eastAsiaTheme="minorEastAsia" w:cstheme="minorEastAsia"/>
          <w:bCs/>
          <w:color w:val="auto"/>
          <w:kern w:val="0"/>
          <w:szCs w:val="21"/>
        </w:rPr>
      </w:pPr>
      <w:r>
        <w:rPr>
          <w:color w:val="auto"/>
        </w:rPr>
        <w:tab/>
      </w:r>
      <w:r>
        <w:rPr>
          <w:rFonts w:hint="eastAsia" w:asciiTheme="minorEastAsia" w:hAnsiTheme="minorEastAsia" w:eastAsiaTheme="minorEastAsia" w:cstheme="minorEastAsia"/>
          <w:bCs/>
          <w:color w:val="auto"/>
          <w:kern w:val="0"/>
          <w:szCs w:val="21"/>
        </w:rPr>
        <w:t>3.1.2.1具有良好的商业信誉和健全的财务会计制度；</w:t>
      </w:r>
    </w:p>
    <w:p w14:paraId="2A648BF3">
      <w:pPr>
        <w:adjustRightInd w:val="0"/>
        <w:snapToGrid w:val="0"/>
        <w:spacing w:line="360" w:lineRule="auto"/>
        <w:ind w:firstLine="420" w:firstLineChars="200"/>
        <w:rPr>
          <w:rFonts w:asciiTheme="minorEastAsia" w:hAnsiTheme="minorEastAsia" w:eastAsiaTheme="minorEastAsia" w:cstheme="minorEastAsia"/>
          <w:bCs/>
          <w:color w:val="auto"/>
          <w:kern w:val="0"/>
          <w:szCs w:val="21"/>
        </w:rPr>
      </w:pPr>
      <w:r>
        <w:rPr>
          <w:color w:val="auto"/>
        </w:rPr>
        <w:tab/>
      </w:r>
      <w:r>
        <w:rPr>
          <w:rFonts w:hint="eastAsia" w:asciiTheme="minorEastAsia" w:hAnsiTheme="minorEastAsia" w:eastAsiaTheme="minorEastAsia" w:cstheme="minorEastAsia"/>
          <w:bCs/>
          <w:color w:val="auto"/>
          <w:kern w:val="0"/>
          <w:szCs w:val="21"/>
        </w:rPr>
        <w:t>3.1.2.1具有履行合同所必需的设备和专业技术能力；</w:t>
      </w:r>
    </w:p>
    <w:p w14:paraId="53D8EEB7">
      <w:pPr>
        <w:adjustRightInd w:val="0"/>
        <w:snapToGrid w:val="0"/>
        <w:spacing w:line="360" w:lineRule="auto"/>
        <w:ind w:firstLine="420" w:firstLineChars="200"/>
        <w:rPr>
          <w:rFonts w:asciiTheme="minorEastAsia" w:hAnsiTheme="minorEastAsia" w:eastAsiaTheme="minorEastAsia" w:cstheme="minorEastAsia"/>
          <w:bCs/>
          <w:color w:val="auto"/>
          <w:kern w:val="0"/>
          <w:szCs w:val="21"/>
        </w:rPr>
      </w:pPr>
      <w:r>
        <w:rPr>
          <w:color w:val="auto"/>
        </w:rPr>
        <w:tab/>
      </w:r>
      <w:r>
        <w:rPr>
          <w:rFonts w:hint="eastAsia" w:asciiTheme="minorEastAsia" w:hAnsiTheme="minorEastAsia" w:eastAsiaTheme="minorEastAsia" w:cstheme="minorEastAsia"/>
          <w:bCs/>
          <w:color w:val="auto"/>
          <w:kern w:val="0"/>
          <w:szCs w:val="21"/>
        </w:rPr>
        <w:t>3.1.2.1有依法缴纳税收和社会保障资金的良好记录；</w:t>
      </w:r>
    </w:p>
    <w:p w14:paraId="24A08095">
      <w:pPr>
        <w:adjustRightInd w:val="0"/>
        <w:snapToGrid w:val="0"/>
        <w:spacing w:line="360" w:lineRule="auto"/>
        <w:ind w:firstLine="420" w:firstLineChars="200"/>
        <w:rPr>
          <w:rFonts w:asciiTheme="minorEastAsia" w:hAnsiTheme="minorEastAsia" w:eastAsiaTheme="minorEastAsia" w:cstheme="minorEastAsia"/>
          <w:bCs/>
          <w:color w:val="auto"/>
          <w:kern w:val="0"/>
          <w:szCs w:val="21"/>
        </w:rPr>
      </w:pPr>
      <w:r>
        <w:rPr>
          <w:color w:val="auto"/>
        </w:rPr>
        <w:tab/>
      </w:r>
      <w:r>
        <w:rPr>
          <w:rFonts w:hint="eastAsia" w:asciiTheme="minorEastAsia" w:hAnsiTheme="minorEastAsia" w:eastAsiaTheme="minorEastAsia" w:cstheme="minorEastAsia"/>
          <w:bCs/>
          <w:color w:val="auto"/>
          <w:kern w:val="0"/>
          <w:szCs w:val="21"/>
        </w:rPr>
        <w:t>3.1.2.1参加政府采购活动前三年内，在经营活动中没有重大违法记录；</w:t>
      </w:r>
    </w:p>
    <w:p w14:paraId="52DFC8A4">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color w:val="auto"/>
        </w:rPr>
        <w:tab/>
      </w:r>
      <w:r>
        <w:rPr>
          <w:rFonts w:hint="eastAsia" w:asciiTheme="minorEastAsia" w:hAnsiTheme="minorEastAsia" w:eastAsiaTheme="minorEastAsia" w:cstheme="minorEastAsia"/>
          <w:bCs/>
          <w:color w:val="auto"/>
          <w:kern w:val="0"/>
          <w:szCs w:val="21"/>
        </w:rPr>
        <w:t>3.1.2.1法律、行政法规规定的其他条件。</w:t>
      </w:r>
    </w:p>
    <w:p w14:paraId="25AD1E83">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3.1.3满足采购比选文件报价、商务和技术等实质性要求的；</w:t>
      </w:r>
    </w:p>
    <w:p w14:paraId="0206B9EB">
      <w:pPr>
        <w:adjustRightInd w:val="0"/>
        <w:snapToGrid w:val="0"/>
        <w:spacing w:line="360" w:lineRule="auto"/>
        <w:ind w:firstLine="420" w:firstLineChars="20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3.2供应商的风险</w:t>
      </w:r>
    </w:p>
    <w:p w14:paraId="2AB7CFEB">
      <w:pPr>
        <w:adjustRightInd w:val="0"/>
        <w:snapToGrid w:val="0"/>
        <w:spacing w:line="360" w:lineRule="auto"/>
        <w:ind w:firstLine="420" w:firstLineChars="20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3.2.1供应商没有按照采购比选文件的要求编制、签署、密封、标记、递交及修正响应文件的，或者响应文件没有对采购比选文件在各方面都做出实质性响应的，将导致响应无效。</w:t>
      </w:r>
    </w:p>
    <w:p w14:paraId="2D1D33DD">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3.2.2供应商提交的响应文件内容有下列情形之一的，一经发现，视为无效响应，并依法上报政府采购监督管理部门处理</w:t>
      </w:r>
      <w:r>
        <w:rPr>
          <w:rFonts w:hint="eastAsia" w:asciiTheme="minorEastAsia" w:hAnsiTheme="minorEastAsia" w:eastAsiaTheme="minorEastAsia" w:cstheme="minorEastAsia"/>
          <w:bCs/>
          <w:color w:val="auto"/>
          <w:kern w:val="0"/>
          <w:szCs w:val="21"/>
        </w:rPr>
        <w:t>：</w:t>
      </w:r>
    </w:p>
    <w:p w14:paraId="421808E0">
      <w:pPr>
        <w:adjustRightInd w:val="0"/>
        <w:snapToGrid w:val="0"/>
        <w:spacing w:line="360" w:lineRule="auto"/>
        <w:ind w:firstLine="420" w:firstLineChars="20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（1）提供虚假的资料；</w:t>
      </w:r>
    </w:p>
    <w:p w14:paraId="4226AFE4">
      <w:pPr>
        <w:adjustRightInd w:val="0"/>
        <w:snapToGrid w:val="0"/>
        <w:spacing w:line="360" w:lineRule="auto"/>
        <w:ind w:firstLine="420" w:firstLineChars="200"/>
        <w:rPr>
          <w:rFonts w:asciiTheme="minorEastAsia" w:hAnsiTheme="minorEastAsia" w:eastAsiaTheme="minorEastAsia" w:cstheme="minorEastAsia"/>
          <w:bCs/>
          <w:color w:val="auto"/>
          <w:kern w:val="0"/>
          <w:szCs w:val="21"/>
        </w:rPr>
      </w:pPr>
      <w:r>
        <w:rPr>
          <w:rFonts w:hint="eastAsia" w:asciiTheme="minorEastAsia" w:hAnsiTheme="minorEastAsia" w:eastAsiaTheme="minorEastAsia" w:cstheme="minorEastAsia"/>
          <w:bCs/>
          <w:color w:val="auto"/>
          <w:kern w:val="0"/>
          <w:szCs w:val="21"/>
        </w:rPr>
        <w:t>（2）在实质性方面失实；</w:t>
      </w:r>
    </w:p>
    <w:p w14:paraId="5E8965DC">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kern w:val="0"/>
          <w:szCs w:val="21"/>
        </w:rPr>
        <w:t>3.2.3</w:t>
      </w:r>
      <w:r>
        <w:rPr>
          <w:rFonts w:hint="eastAsia" w:asciiTheme="minorEastAsia" w:hAnsiTheme="minorEastAsia" w:eastAsiaTheme="minorEastAsia" w:cstheme="minorEastAsia"/>
          <w:bCs/>
          <w:color w:val="auto"/>
          <w:szCs w:val="21"/>
        </w:rPr>
        <w:t>供应商享受政策优惠条件但提供的证明（说明）文件或</w:t>
      </w:r>
      <w:r>
        <w:rPr>
          <w:rFonts w:hint="eastAsia"/>
          <w:color w:val="auto"/>
          <w:szCs w:val="21"/>
        </w:rPr>
        <w:t>承诺文件失实的，</w:t>
      </w:r>
      <w:r>
        <w:rPr>
          <w:rFonts w:hint="eastAsia" w:asciiTheme="minorEastAsia" w:hAnsiTheme="minorEastAsia" w:eastAsiaTheme="minorEastAsia" w:cstheme="minorEastAsia"/>
          <w:bCs/>
          <w:color w:val="auto"/>
          <w:szCs w:val="21"/>
        </w:rPr>
        <w:t>视同响应文件提供虚假资料论处。</w:t>
      </w:r>
    </w:p>
    <w:p w14:paraId="501AE955">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4、参与采购活动费用</w:t>
      </w:r>
    </w:p>
    <w:p w14:paraId="56F04D76">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4.1无论参与本项目采购活动过程中的做法和结果如何，供应商自行承担所有与参加采购活动有关的全部费用；</w:t>
      </w:r>
    </w:p>
    <w:p w14:paraId="51F9DEEA">
      <w:pPr>
        <w:adjustRightInd w:val="0"/>
        <w:snapToGrid w:val="0"/>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政策优惠条件及要求:根据财政部、工业和信息化部关于《政府采购促进中小企业发展管理办法》（财库〔2020〕46号）、《财政部、司法部关于政府采购支持监狱企业发展有关问题的通知》（财库〔2014〕68号）和《财政部、民政部、中国残疾人联合会关于促进残疾人就业政府采购政策的通知》（财库〔2017〕141号）的文件精神，以及政府关于强制采购节能产品、信息安全产品和优先采购环境标志产品的实施意见，相应的政府采购政策优惠条件及要求如下：</w:t>
      </w:r>
    </w:p>
    <w:p w14:paraId="6E9147A1">
      <w:pPr>
        <w:adjustRightInd w:val="0"/>
        <w:snapToGrid w:val="0"/>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5.1关于符合上述规定的小微企业（供应商）参与响应</w:t>
      </w:r>
    </w:p>
    <w:p w14:paraId="45B0A537">
      <w:pPr>
        <w:adjustRightInd w:val="0"/>
        <w:snapToGrid w:val="0"/>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5.1.1监狱企业、残疾人福利性单位视同小型、微型企业；以联合体形式参加政府采购活动，联合体各方均为小微企业的，联合体视同为小微企业。</w:t>
      </w:r>
    </w:p>
    <w:p w14:paraId="6F40ABE2">
      <w:pPr>
        <w:adjustRightInd w:val="0"/>
        <w:snapToGrid w:val="0"/>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5.1.2供应商为符合规定的小型或微型企业时，报价给予20%的价格扣除，用扣除后的价格参与评审；</w:t>
      </w:r>
    </w:p>
    <w:p w14:paraId="6B65D196">
      <w:pPr>
        <w:adjustRightInd w:val="0"/>
        <w:snapToGrid w:val="0"/>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5.1.3供应商为大中型企业和其他自然人、法人或者其他组织与小微企业组成联合体或者大中型企业向小微企业分包的，对联合体报价给予6%（的价格扣除，用扣除后的价格参与评审；</w:t>
      </w:r>
    </w:p>
    <w:p w14:paraId="1B591E7F">
      <w:pPr>
        <w:adjustRightInd w:val="0"/>
        <w:snapToGrid w:val="0"/>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5.1.4本条款中两种价格扣除优惠原则不同时使用。</w:t>
      </w:r>
    </w:p>
    <w:p w14:paraId="7308DBE1">
      <w:pPr>
        <w:adjustRightInd w:val="0"/>
        <w:snapToGrid w:val="0"/>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5.1.5组成联合体或者接受分包的小微企业与联合体内其他企业、分包企业之间存在直接控股、管理关系的，不享受价格扣除优惠政策；</w:t>
      </w:r>
    </w:p>
    <w:p w14:paraId="14865466">
      <w:pPr>
        <w:adjustRightInd w:val="0"/>
        <w:snapToGrid w:val="0"/>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5.1.6供应商认为其为小型或微型企业的应提供合法有效的“中小企业声明函”（附件2），并明确企业类型；供应商认为其为监狱企业须提供由省级以上监狱管理局、戒毒管理局（含新疆生产建设兵团）出具的属于监狱企业的证明文件(附件3)；供应商认为其为符合条件的残疾人福利性单位在参加政府采购活动时，应当提供《残疾人福利性单位声明函》（附件4），并对声明的真实性负责，否则评审时不能享受相应的价格扣除。</w:t>
      </w:r>
    </w:p>
    <w:p w14:paraId="51584D9F">
      <w:pPr>
        <w:adjustRightInd w:val="0"/>
        <w:snapToGrid w:val="0"/>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5.1.7在货物采购项目中，供应商提供的货物既有小微企业制造货物，也有大中型企业制造货物的，不享受本办法规定的小微企业扶持政策。</w:t>
      </w:r>
    </w:p>
    <w:p w14:paraId="502D2140">
      <w:pPr>
        <w:adjustRightInd w:val="0"/>
        <w:snapToGrid w:val="0"/>
        <w:spacing w:line="360" w:lineRule="auto"/>
        <w:ind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5.1.8享受扶持政策获得政府采购合同的，小微企业不得将合同分包给大中型企业，中型企业不得将合同分包给大型企业。</w:t>
      </w:r>
    </w:p>
    <w:p w14:paraId="71F42402">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6、注意事项</w:t>
      </w:r>
    </w:p>
    <w:p w14:paraId="75F66DF3">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6.1如果没有特别声明或要求，供应商被视为充分熟悉本采购项目所在地与履行合同有关的各种情况，包括自然环境、气候条件、劳动力及公用设施等，本采购比选文件不再对上述情况进行描述。</w:t>
      </w:r>
    </w:p>
    <w:p w14:paraId="639A2C5E">
      <w:pPr>
        <w:adjustRightInd w:val="0"/>
        <w:snapToGrid w:val="0"/>
        <w:spacing w:line="360" w:lineRule="auto"/>
        <w:ind w:firstLine="420" w:firstLineChars="200"/>
        <w:rPr>
          <w:rFonts w:asciiTheme="minorEastAsia" w:hAnsiTheme="minorEastAsia" w:eastAsiaTheme="minorEastAsia" w:cstheme="minorEastAsia"/>
          <w:bCs/>
          <w:color w:val="auto"/>
          <w:szCs w:val="21"/>
        </w:rPr>
      </w:pPr>
      <w:bookmarkStart w:id="27" w:name="_Toc246826107"/>
      <w:bookmarkEnd w:id="27"/>
      <w:r>
        <w:rPr>
          <w:rFonts w:hint="eastAsia" w:asciiTheme="minorEastAsia" w:hAnsiTheme="minorEastAsia" w:eastAsiaTheme="minorEastAsia" w:cstheme="minorEastAsia"/>
          <w:bCs/>
          <w:color w:val="auto"/>
          <w:szCs w:val="21"/>
        </w:rPr>
        <w:t>二、采购比选文件</w:t>
      </w:r>
    </w:p>
    <w:p w14:paraId="31CFB49F">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7、采购比选文件的组成</w:t>
      </w:r>
    </w:p>
    <w:p w14:paraId="360D2470">
      <w:pPr>
        <w:pStyle w:val="5"/>
        <w:adjustRightInd w:val="0"/>
        <w:snapToGrid w:val="0"/>
        <w:spacing w:line="360" w:lineRule="auto"/>
        <w:ind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采购比选文件用以阐明供应商准备响应文件所必须的信息，以及开标、评审和签订合同等有关规定。采购比选文件以电子版形式下载，采购比选文件由下述章节组成：</w:t>
      </w:r>
    </w:p>
    <w:p w14:paraId="7EECF854">
      <w:pPr>
        <w:pStyle w:val="5"/>
        <w:adjustRightInd w:val="0"/>
        <w:snapToGrid w:val="0"/>
        <w:spacing w:line="360" w:lineRule="auto"/>
        <w:ind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（1）比选公告</w:t>
      </w:r>
    </w:p>
    <w:p w14:paraId="4DCDF319">
      <w:pPr>
        <w:pStyle w:val="5"/>
        <w:adjustRightInd w:val="0"/>
        <w:snapToGrid w:val="0"/>
        <w:spacing w:line="360" w:lineRule="auto"/>
        <w:ind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（2）采购需求</w:t>
      </w:r>
    </w:p>
    <w:p w14:paraId="62887E57">
      <w:pPr>
        <w:pStyle w:val="5"/>
        <w:adjustRightInd w:val="0"/>
        <w:snapToGrid w:val="0"/>
        <w:spacing w:line="360" w:lineRule="auto"/>
        <w:ind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（3）供应商须知</w:t>
      </w:r>
    </w:p>
    <w:p w14:paraId="7764C942">
      <w:pPr>
        <w:pStyle w:val="5"/>
        <w:adjustRightInd w:val="0"/>
        <w:snapToGrid w:val="0"/>
        <w:spacing w:line="360" w:lineRule="auto"/>
        <w:ind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（4）评审标准</w:t>
      </w:r>
    </w:p>
    <w:p w14:paraId="5C22A33D">
      <w:pPr>
        <w:pStyle w:val="5"/>
        <w:adjustRightInd w:val="0"/>
        <w:snapToGrid w:val="0"/>
        <w:spacing w:line="360" w:lineRule="auto"/>
        <w:ind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（5）采购合同格式</w:t>
      </w:r>
    </w:p>
    <w:p w14:paraId="10E46D27">
      <w:pPr>
        <w:pStyle w:val="5"/>
        <w:adjustRightInd w:val="0"/>
        <w:snapToGrid w:val="0"/>
        <w:spacing w:line="360" w:lineRule="auto"/>
        <w:ind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（6）响应文件格式及附件</w:t>
      </w:r>
    </w:p>
    <w:p w14:paraId="62056420">
      <w:pPr>
        <w:tabs>
          <w:tab w:val="left" w:pos="720"/>
        </w:tabs>
        <w:adjustRightInd w:val="0"/>
        <w:snapToGrid w:val="0"/>
        <w:spacing w:line="360" w:lineRule="auto"/>
        <w:ind w:firstLine="420" w:firstLineChars="200"/>
        <w:rPr>
          <w:rFonts w:asciiTheme="minorEastAsia" w:hAnsiTheme="minorEastAsia" w:eastAsiaTheme="minorEastAsia" w:cstheme="minorEastAsia"/>
          <w:bCs/>
          <w:color w:val="auto"/>
          <w:szCs w:val="21"/>
        </w:rPr>
      </w:pPr>
      <w:bookmarkStart w:id="28" w:name="_Toc217446040"/>
      <w:bookmarkEnd w:id="28"/>
      <w:bookmarkStart w:id="29" w:name="_Toc183682348"/>
      <w:bookmarkEnd w:id="29"/>
      <w:bookmarkStart w:id="30" w:name="_Toc183582211"/>
      <w:bookmarkEnd w:id="30"/>
      <w:r>
        <w:rPr>
          <w:rFonts w:hint="eastAsia" w:asciiTheme="minorEastAsia" w:hAnsiTheme="minorEastAsia" w:eastAsiaTheme="minorEastAsia" w:cstheme="minorEastAsia"/>
          <w:bCs/>
          <w:color w:val="auto"/>
          <w:szCs w:val="21"/>
        </w:rPr>
        <w:t>8、采购比选文件的澄清和修改</w:t>
      </w:r>
    </w:p>
    <w:p w14:paraId="0F4E7192">
      <w:pPr>
        <w:tabs>
          <w:tab w:val="left" w:pos="720"/>
        </w:tabs>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8.1 在响应文件递交截止时间前，采购人无论出于何种原因，可以对采购比选文件进行澄清或者修改。</w:t>
      </w:r>
    </w:p>
    <w:p w14:paraId="0F2260CB">
      <w:pPr>
        <w:adjustRightInd w:val="0"/>
        <w:snapToGrid w:val="0"/>
        <w:spacing w:line="360" w:lineRule="auto"/>
        <w:ind w:firstLine="420" w:firstLineChars="200"/>
        <w:rPr>
          <w:rFonts w:asciiTheme="minorEastAsia" w:hAnsiTheme="minorEastAsia" w:eastAsiaTheme="minorEastAsia" w:cstheme="minorEastAsia"/>
          <w:bCs/>
          <w:color w:val="auto"/>
          <w:szCs w:val="21"/>
        </w:rPr>
      </w:pPr>
      <w:bookmarkStart w:id="31" w:name="_Toc430488645"/>
      <w:bookmarkEnd w:id="31"/>
      <w:bookmarkStart w:id="32" w:name="_Toc430492127"/>
      <w:bookmarkEnd w:id="32"/>
      <w:bookmarkStart w:id="33" w:name="_Toc430422414"/>
      <w:bookmarkEnd w:id="33"/>
      <w:bookmarkStart w:id="34" w:name="_Toc430489120"/>
      <w:bookmarkEnd w:id="34"/>
      <w:bookmarkStart w:id="35" w:name="_Toc430488852"/>
      <w:bookmarkEnd w:id="35"/>
      <w:bookmarkStart w:id="36" w:name="_Toc430490613"/>
      <w:bookmarkEnd w:id="36"/>
      <w:bookmarkStart w:id="37" w:name="_Toc415567498"/>
      <w:bookmarkEnd w:id="37"/>
      <w:r>
        <w:rPr>
          <w:rFonts w:hint="eastAsia" w:asciiTheme="minorEastAsia" w:hAnsiTheme="minorEastAsia" w:eastAsiaTheme="minorEastAsia" w:cstheme="minorEastAsia"/>
          <w:bCs/>
          <w:color w:val="auto"/>
          <w:szCs w:val="21"/>
        </w:rPr>
        <w:t>8.2 采购比选文件的修改</w:t>
      </w:r>
    </w:p>
    <w:p w14:paraId="61844BB0">
      <w:pPr>
        <w:pStyle w:val="9"/>
        <w:adjustRightInd w:val="0"/>
        <w:snapToGrid w:val="0"/>
        <w:spacing w:line="360" w:lineRule="auto"/>
        <w:ind w:firstLine="420" w:firstLineChars="200"/>
        <w:rPr>
          <w:rFonts w:asciiTheme="minorEastAsia" w:hAnsiTheme="minorEastAsia" w:eastAsiaTheme="minorEastAsia" w:cstheme="minorEastAsia"/>
          <w:bCs/>
          <w:color w:val="auto"/>
          <w:szCs w:val="21"/>
        </w:rPr>
      </w:pPr>
      <w:bookmarkStart w:id="38" w:name="_Toc245888275"/>
      <w:bookmarkEnd w:id="38"/>
      <w:bookmarkStart w:id="39" w:name="_Toc246825804"/>
      <w:bookmarkEnd w:id="39"/>
      <w:bookmarkStart w:id="40" w:name="_Toc246826109"/>
      <w:bookmarkEnd w:id="40"/>
      <w:bookmarkStart w:id="41" w:name="_Toc245887536"/>
      <w:bookmarkEnd w:id="41"/>
      <w:bookmarkStart w:id="42" w:name="_Toc208848971"/>
      <w:bookmarkStart w:id="43" w:name="_Toc217446041"/>
      <w:r>
        <w:rPr>
          <w:rFonts w:hint="eastAsia" w:asciiTheme="minorEastAsia" w:hAnsiTheme="minorEastAsia" w:eastAsiaTheme="minorEastAsia" w:cstheme="minorEastAsia"/>
          <w:bCs/>
          <w:color w:val="auto"/>
          <w:szCs w:val="21"/>
        </w:rPr>
        <w:t>（1）在响应文件递交截止时间以前，采购人可主动或依供应商要求澄清或质疑的问题对采购比选文件进行必要的补遗、澄清或修改；</w:t>
      </w:r>
    </w:p>
    <w:p w14:paraId="69FC77C3">
      <w:pPr>
        <w:pStyle w:val="9"/>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（2）补遗、澄清或修改内容可能影响响应文件编制的，采购人适当延长响应文件递交截止时间（以公告为准），在此情况下，采购当事人受响应文件递交截止期制约的所有权利和义务均应延长至新的截止日期；</w:t>
      </w:r>
    </w:p>
    <w:p w14:paraId="1ADA4283">
      <w:pPr>
        <w:pStyle w:val="9"/>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（3）补遗、澄清或修改后的内容是采购比选文件的组成部分，并对潜在供应商具有约束力。有关</w:t>
      </w:r>
      <w:r>
        <w:rPr>
          <w:rFonts w:hint="eastAsia" w:asciiTheme="minorEastAsia" w:hAnsiTheme="minorEastAsia" w:eastAsiaTheme="minorEastAsia" w:cstheme="minorEastAsia"/>
          <w:bCs/>
          <w:color w:val="auto"/>
          <w:spacing w:val="-8"/>
          <w:szCs w:val="21"/>
        </w:rPr>
        <w:t>本项目采购比选文件的补遗、澄清及变更信息以第一章指定网站公告及下载内容为准，</w:t>
      </w:r>
      <w:r>
        <w:rPr>
          <w:rFonts w:hint="eastAsia" w:asciiTheme="minorEastAsia" w:hAnsiTheme="minorEastAsia" w:eastAsiaTheme="minorEastAsia" w:cstheme="minorEastAsia"/>
          <w:bCs/>
          <w:color w:val="auto"/>
          <w:szCs w:val="21"/>
        </w:rPr>
        <w:t>采购人不再另行通知，潜在供应商须及时关注关于本项目采购信息的更新事项，否则自行承担由此产生的风险。采购比选文件与更正公告的内容相互矛盾时，以最后发出的更正公告为准。</w:t>
      </w:r>
    </w:p>
    <w:p w14:paraId="6F9DEB84">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9、其他</w:t>
      </w:r>
    </w:p>
    <w:bookmarkEnd w:id="42"/>
    <w:bookmarkEnd w:id="43"/>
    <w:p w14:paraId="16FDE4B8">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9.1标前答疑会和现场考察</w:t>
      </w:r>
    </w:p>
    <w:p w14:paraId="716FD9F4">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9.1.1供应商须知前附表规定组织答疑会或/和现场考察的，采购人按供应商须知前附表规定的时间、地点组织答疑会或/和供应商考察项目现场，供应商如不参加的，其风险由供应商自行承担，采购人不承担任何责任。采购人不组织现场考察的，供应商可以自行决定是否考察现场。</w:t>
      </w:r>
    </w:p>
    <w:p w14:paraId="61D65A4C">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9.1.2答疑会上，采购人将解答供应商的疑问。会上所有的解答与说明仅供供应商编制响应文件时参考，采购人不对供应商据此作出的判断和决策负责。</w:t>
      </w:r>
    </w:p>
    <w:p w14:paraId="02A6D4E2">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9.1.3采购人在考察现场中口头介绍的情况（如有），供供应商在编制响应文件时参考，采购人不对供应商据此作出的判断和决策负责。</w:t>
      </w:r>
    </w:p>
    <w:p w14:paraId="46D7E85E">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9.1.4采购人不单独或者分别组织只有1个供应商参加的现场考察及标前答疑会。</w:t>
      </w:r>
    </w:p>
    <w:p w14:paraId="2DCBC5F5">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9.1.5供应商自行承担参加答疑或现场考察所发生的一切费用。</w:t>
      </w:r>
    </w:p>
    <w:p w14:paraId="3D4CAB2A">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9.2述标和/或演示</w:t>
      </w:r>
    </w:p>
    <w:p w14:paraId="0A850CB8">
      <w:pPr>
        <w:pStyle w:val="5"/>
        <w:adjustRightInd w:val="0"/>
        <w:snapToGrid w:val="0"/>
        <w:spacing w:line="360" w:lineRule="auto"/>
        <w:ind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具体要求详见第二章“采购需求”和/或“供应商须知前附表”有关规定。</w:t>
      </w:r>
    </w:p>
    <w:p w14:paraId="07CE4D38">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bookmarkStart w:id="44" w:name="_Toc246826110"/>
      <w:bookmarkEnd w:id="44"/>
      <w:r>
        <w:rPr>
          <w:rFonts w:hint="eastAsia" w:asciiTheme="minorEastAsia" w:hAnsiTheme="minorEastAsia" w:eastAsiaTheme="minorEastAsia" w:cstheme="minorEastAsia"/>
          <w:bCs/>
          <w:color w:val="auto"/>
          <w:szCs w:val="21"/>
        </w:rPr>
        <w:t>三、响应文件的编写</w:t>
      </w:r>
    </w:p>
    <w:p w14:paraId="10FEBF5E">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10. 响应文件的编制要求：供应商应当根据采购比选文件的要求编制响应文件（包括签名和盖章），否则自行承担由此产生的风险。</w:t>
      </w:r>
    </w:p>
    <w:p w14:paraId="3DD75BD8">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10.1供应商应当根据自己的商务能力、技术水平对采购比选文件提出的要求和条件逐条标明响应与否。如果因为响应文件填报的内容不详，或没有提供采购比选文件中所要求的全部资料及数据，则供应商自行承担由此产生的风险。</w:t>
      </w:r>
    </w:p>
    <w:p w14:paraId="5AF1F632">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10.2供应商提供的文件必须真实、充分、全面，并对响应文件所提供全部资料的真实性和合法性承担法律责任。</w:t>
      </w:r>
    </w:p>
    <w:p w14:paraId="56AAD3DF">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10.3每一单项服务项目只允许有一个报价，否则将被视为无效响应。</w:t>
      </w:r>
    </w:p>
    <w:p w14:paraId="5A0A2B7C">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10.4只允许供应商有一个响应方案，否则将被视为无效响应（采购比选文件允许有备选方案的除外）。</w:t>
      </w:r>
    </w:p>
    <w:p w14:paraId="2D711966">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10.5 供应商根据采购比选文件载明的采购项目实际情况，拟在成交后将成交项目的非主体、非关键性工作交由他人完成的，应当在响应文件中载明。</w:t>
      </w:r>
    </w:p>
    <w:p w14:paraId="449C7C21">
      <w:pPr>
        <w:pStyle w:val="6"/>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10.6响应文件的正本、副本的数量应当符合采购比选文件的要求。</w:t>
      </w:r>
    </w:p>
    <w:p w14:paraId="1DACEF41">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10.7响应文件必须编页码，页码必须连续。</w:t>
      </w:r>
    </w:p>
    <w:p w14:paraId="09547016">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10.8响应文件应装订牢固不可拆卸（如：胶订），如因装订不牢固导致的任何损失及风险由供应商承担。</w:t>
      </w:r>
    </w:p>
    <w:p w14:paraId="56EAF8F0">
      <w:pPr>
        <w:pStyle w:val="9"/>
        <w:tabs>
          <w:tab w:val="left" w:pos="8360"/>
        </w:tabs>
        <w:adjustRightInd w:val="0"/>
        <w:snapToGrid w:val="0"/>
        <w:spacing w:line="360" w:lineRule="auto"/>
        <w:ind w:firstLine="420" w:firstLineChars="20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11. 响应文件语言、货物及计量单位</w:t>
      </w:r>
    </w:p>
    <w:p w14:paraId="00647D46">
      <w:pPr>
        <w:pStyle w:val="9"/>
        <w:tabs>
          <w:tab w:val="left" w:pos="8360"/>
        </w:tabs>
        <w:adjustRightInd w:val="0"/>
        <w:snapToGrid w:val="0"/>
        <w:spacing w:line="360" w:lineRule="auto"/>
        <w:ind w:firstLine="420" w:firstLineChars="20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11.1除采购比选文件中另有规定外，供应商提交的响应文件及其与采购人所有来往文件均应使用中文，若有不同文本，以中文文本为准。非中文的响应文件内容应翻译成中文。</w:t>
      </w:r>
    </w:p>
    <w:p w14:paraId="291584B9">
      <w:pPr>
        <w:pStyle w:val="9"/>
        <w:tabs>
          <w:tab w:val="left" w:pos="8360"/>
        </w:tabs>
        <w:adjustRightInd w:val="0"/>
        <w:snapToGrid w:val="0"/>
        <w:spacing w:line="360" w:lineRule="auto"/>
        <w:ind w:firstLine="420" w:firstLineChars="20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11.2货币单位：本次采购项目的响应均以人民币报价。</w:t>
      </w:r>
    </w:p>
    <w:p w14:paraId="7F6EDFC0">
      <w:pPr>
        <w:pStyle w:val="9"/>
        <w:tabs>
          <w:tab w:val="left" w:pos="8360"/>
        </w:tabs>
        <w:adjustRightInd w:val="0"/>
        <w:snapToGrid w:val="0"/>
        <w:spacing w:line="360" w:lineRule="auto"/>
        <w:ind w:firstLine="420" w:firstLineChars="20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11.3计量单位：除采购比选文件中另有规定外，供应商在响应文件中及其与采购人所有往来文件中所使用的计量单位均应采用中华人民共和国法定计量单位。</w:t>
      </w:r>
    </w:p>
    <w:p w14:paraId="06D0EC66">
      <w:pPr>
        <w:pStyle w:val="9"/>
        <w:tabs>
          <w:tab w:val="left" w:pos="8360"/>
        </w:tabs>
        <w:adjustRightInd w:val="0"/>
        <w:snapToGrid w:val="0"/>
        <w:spacing w:line="360" w:lineRule="auto"/>
        <w:ind w:firstLine="420" w:firstLineChars="20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12、响应文件的组成：由商务部分、技术部分、价格部分以及其他部分组成。所有证明材料、说明文件、响应要求详见“供应商须知前附表”的具体要求，供应商不提供或不按要求提供的则自行承担由此产生的风险。</w:t>
      </w:r>
    </w:p>
    <w:p w14:paraId="36FE4DF7">
      <w:pPr>
        <w:pStyle w:val="8"/>
        <w:adjustRightInd w:val="0"/>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12.1响应文件的商务部分</w:t>
      </w:r>
    </w:p>
    <w:p w14:paraId="13FEA20C">
      <w:pPr>
        <w:pStyle w:val="8"/>
        <w:adjustRightInd w:val="0"/>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12.1.1 商务部分是证明供应商是合格的，并且在成交后有能力履行合同的证明文件，这些文件可以是但不限于文字资料、证书复印件和数据报表等。</w:t>
      </w:r>
    </w:p>
    <w:p w14:paraId="0A91F6B1">
      <w:pPr>
        <w:autoSpaceDE w:val="0"/>
        <w:autoSpaceDN w:val="0"/>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12.1.2 不满足商务部分实质性要求的将视为无效响应。</w:t>
      </w:r>
    </w:p>
    <w:p w14:paraId="49E0205B">
      <w:pPr>
        <w:autoSpaceDE w:val="0"/>
        <w:autoSpaceDN w:val="0"/>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12.2 响应文件的技术部分</w:t>
      </w:r>
    </w:p>
    <w:p w14:paraId="2AB04754">
      <w:pPr>
        <w:pStyle w:val="8"/>
        <w:adjustRightInd w:val="0"/>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部分是证明响应的技术（服务）标准以及配套/辅助服务标准是符合国家或/和行业的强制标准（包括但不限于经营许可或质量标准等），并符合采购比选文件要求的证明文件，这些文件可以是但不限于文字资料、图片和数据等。</w:t>
      </w:r>
    </w:p>
    <w:p w14:paraId="0667E254">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12.3 响应文件的价格部分 </w:t>
      </w:r>
    </w:p>
    <w:p w14:paraId="06F3EB62">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价格部分是供应商对响应服务以及配套所需设施设备等价格的构成所作的说明。该响应总价是供应商在可独立履行项目合同义务，通过准确核算，可满足预期实施效果、验收标准和符合自身合法利益的前提下所作出的综合性合理报价。对在采购比选文件和合同书中未有明确列述、市场剧变因素、应预见和不可预见的费用等均视为已完全考虑到并包括在响应报价之内；该响应总价不得高于预算金额或最高限价，且须是本项目服务期限内所有服务费用的总和，否则视为无效响应。</w:t>
      </w:r>
    </w:p>
    <w:p w14:paraId="76E69E67">
      <w:pPr>
        <w:autoSpaceDE w:val="0"/>
        <w:autoSpaceDN w:val="0"/>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12.4 响应文件的其他部分</w:t>
      </w:r>
    </w:p>
    <w:p w14:paraId="228D30FA">
      <w:pPr>
        <w:autoSpaceDE w:val="0"/>
        <w:autoSpaceDN w:val="0"/>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其他部分由供应商根据编制响应文件需要提供的其他相关文件组成。</w:t>
      </w:r>
    </w:p>
    <w:p w14:paraId="055CF55F">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13、响应有效期</w:t>
      </w:r>
    </w:p>
    <w:p w14:paraId="2749B369">
      <w:pPr>
        <w:autoSpaceDE w:val="0"/>
        <w:autoSpaceDN w:val="0"/>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13.1 响应文件从“供应商须知前附表”所规定的响应文件递交截止期之后开始生效，在“供应商须知前附表”所规定的响应有效期期限内保持有效。有效期不足将导致其响应无效。</w:t>
      </w:r>
    </w:p>
    <w:p w14:paraId="455BEBC6">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13.2 特殊情况下采购人可于响应有效期满之前书面要求供应商同意延长有效期，供应商应在采购人规定的期限内以书面形式予以答复，供应商答复不明确或者逾期未答复的，均视为拒绝上述要求。供应商拒绝上述要求的，其响应保证金（如有）可按规定予以退还。对于接受该要求的供应商，既不要求也不允许其修改响应文件，但将要求其相应延长响应保证金有效期，有关退还和不予退还响应保证金的规定在响应有效期延长期内继续有效。同意响应有效期延长的，如提交的保证金为保函，应对保函做相应延长，供应商自行承担由此产生的费用；同意响应有效期延长的供应商不足三家的，予以废标。不同意延长响应有效期的，响应有效期满自动失效。</w:t>
      </w:r>
    </w:p>
    <w:p w14:paraId="113AA44D">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14、响应保证金</w:t>
      </w:r>
    </w:p>
    <w:p w14:paraId="0FED92CB">
      <w:pPr>
        <w:pStyle w:val="15"/>
        <w:ind w:left="0" w:leftChars="0" w:firstLineChars="0"/>
        <w:rPr>
          <w:rFonts w:eastAsiaTheme="minorEastAsia"/>
          <w:color w:val="auto"/>
        </w:rPr>
      </w:pPr>
      <w:r>
        <w:rPr>
          <w:rFonts w:hint="eastAsia" w:asciiTheme="minorEastAsia" w:hAnsiTheme="minorEastAsia" w:eastAsiaTheme="minorEastAsia" w:cstheme="minorEastAsia"/>
          <w:color w:val="auto"/>
        </w:rPr>
        <w:t>本项目不要求提交响应保证金。</w:t>
      </w:r>
    </w:p>
    <w:p w14:paraId="20A84122">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15. 响应文件的格式及签署</w:t>
      </w:r>
    </w:p>
    <w:p w14:paraId="6642ED68">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15.1响应文件正本壹份，副本肆份。正本、副本必须打印装订，副本可以用正本的完整复印件，并在封面标明“正本”、“副本”字样。正本与副本如有不一致，则以正本为准。</w:t>
      </w:r>
    </w:p>
    <w:p w14:paraId="48C8C6D2">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15.2响应文件应当由供应商的法定代表人或经其正式授权的代表签字，授权代表须出具书面的法定代表人授权委托书并附载响应文件中，否则视为无效响应文件；</w:t>
      </w:r>
    </w:p>
    <w:p w14:paraId="3A758D3D">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15.3响应文件所使用的印章必须为单位公章，且与供应商单位名称完全一致，不能以其他业务章或附属机构印章代替，否则视为无效响应文件；</w:t>
      </w:r>
    </w:p>
    <w:p w14:paraId="517666A3">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15.4响应文件中的任何行间插字，涂改和增删，须由法定代表人或经其正式授权的代表在旁边签字方可有效；</w:t>
      </w:r>
    </w:p>
    <w:p w14:paraId="451B3B3B">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15.5供应商应按照采购比选文件第六章中提供的“响应文件格式”编制响应文件，如自有格式并按其格式编制的响应文件，其内容必须包含“响应文件格式”中所有的实质性内容并受其约束。</w:t>
      </w:r>
    </w:p>
    <w:p w14:paraId="6EBA9A34">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15.6供应商须将响应文件的商务部分、技术部分和价格部分整合为一份响应文件，并制作详细目录、页码索引。</w:t>
      </w:r>
    </w:p>
    <w:p w14:paraId="26C5B6E7">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15.7响应文件因字迹潦草或表达不清所引起的后果由供应商负责。</w:t>
      </w:r>
    </w:p>
    <w:p w14:paraId="760754F4">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bookmarkStart w:id="45" w:name="_Toc246826111"/>
      <w:bookmarkEnd w:id="45"/>
      <w:r>
        <w:rPr>
          <w:rFonts w:hint="eastAsia" w:asciiTheme="minorEastAsia" w:hAnsiTheme="minorEastAsia" w:eastAsiaTheme="minorEastAsia" w:cstheme="minorEastAsia"/>
          <w:bCs/>
          <w:color w:val="auto"/>
          <w:szCs w:val="21"/>
        </w:rPr>
        <w:t>四、响应文件的提交</w:t>
      </w:r>
    </w:p>
    <w:p w14:paraId="3801898A">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16.响应文件的密封和递交</w:t>
      </w:r>
    </w:p>
    <w:p w14:paraId="70A39C9A">
      <w:pPr>
        <w:pStyle w:val="6"/>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16.1 供应商应将纸质版响应文件密封提交，响应文件密封袋上标示“供应商须知前附表”所规定的内容。</w:t>
      </w:r>
    </w:p>
    <w:p w14:paraId="270E66C6">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16.2供应商应将响应文件按照本须知正文第16.1条的规定进行密封和标记后，按第一章/比选公告注明的递交响应文件地址送至指定地点。</w:t>
      </w:r>
    </w:p>
    <w:p w14:paraId="5DDC8357">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16.3如果未按上述规定进行密封和标记，采购人将不承担由此造成的对响应文件的误投或提前拆封的责任。</w:t>
      </w:r>
    </w:p>
    <w:p w14:paraId="1DBA9798">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16.4响应文件应在第一章比选公告中所规定的响应文件递交截止时间前送达，迟到的响应文件为无效响应文件, 将被拒收；未按照采购比选文件要求密封的响应文件将被拒收。</w:t>
      </w:r>
    </w:p>
    <w:p w14:paraId="75EA4833">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bookmarkStart w:id="46" w:name="_Toc183682365"/>
      <w:bookmarkStart w:id="47" w:name="_Toc217446055"/>
      <w:bookmarkStart w:id="48" w:name="_Toc183582228"/>
      <w:r>
        <w:rPr>
          <w:rFonts w:hint="eastAsia" w:asciiTheme="minorEastAsia" w:hAnsiTheme="minorEastAsia" w:eastAsiaTheme="minorEastAsia" w:cstheme="minorEastAsia"/>
          <w:bCs/>
          <w:color w:val="auto"/>
          <w:szCs w:val="21"/>
        </w:rPr>
        <w:t>16.5 邮寄送达的响应文件应按要求密封完整，否决采购人有权拒收其响应文件。</w:t>
      </w:r>
    </w:p>
    <w:bookmarkEnd w:id="46"/>
    <w:bookmarkEnd w:id="47"/>
    <w:bookmarkEnd w:id="48"/>
    <w:p w14:paraId="049D9808">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17.响应文件的修改和撤回</w:t>
      </w:r>
    </w:p>
    <w:p w14:paraId="0AAFA38E">
      <w:pPr>
        <w:adjustRightInd w:val="0"/>
        <w:snapToGrid w:val="0"/>
        <w:spacing w:line="360" w:lineRule="auto"/>
        <w:ind w:firstLine="420" w:firstLineChars="200"/>
        <w:rPr>
          <w:rFonts w:asciiTheme="minorEastAsia" w:hAnsiTheme="minorEastAsia" w:eastAsiaTheme="minorEastAsia" w:cstheme="minorEastAsia"/>
          <w:bCs/>
          <w:color w:val="auto"/>
          <w:szCs w:val="21"/>
        </w:rPr>
      </w:pPr>
      <w:bookmarkStart w:id="49" w:name="_Toc246826112"/>
      <w:r>
        <w:rPr>
          <w:rFonts w:hint="eastAsia" w:asciiTheme="minorEastAsia" w:hAnsiTheme="minorEastAsia" w:eastAsiaTheme="minorEastAsia" w:cstheme="minorEastAsia"/>
          <w:bCs/>
          <w:color w:val="auto"/>
          <w:szCs w:val="21"/>
        </w:rPr>
        <w:t>17.l 供应商在提交响应文件后可对其进行修改或撤回，但必须使采购人在响应文件递交截止时间前收到该修改的书面内容或撤回的书面通知。</w:t>
      </w:r>
    </w:p>
    <w:p w14:paraId="11B4B5A1">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17.2 响应文件的修改文件应按第15条规定签署，并按第 16.1条规定盖章及标记，还须注明“修改响应文件”和“开标前不得启封”字样。修改文件须在响应文件递交截止时间前送达规定的地点。上述补充或修改若涉及响应报价，必须注明“最终唯一报价”字样，否则将视为有选择的报价。</w:t>
      </w:r>
    </w:p>
    <w:p w14:paraId="603B6AD6">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17.3 供应商不得在响应文件递交截止时间以后修改或/和撤回响应文件。</w:t>
      </w:r>
    </w:p>
    <w:bookmarkEnd w:id="49"/>
    <w:p w14:paraId="7AC8DEA4">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五、开标与评审</w:t>
      </w:r>
    </w:p>
    <w:p w14:paraId="4D94AD6A">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18．开标</w:t>
      </w:r>
    </w:p>
    <w:p w14:paraId="518FEBA4">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18.1 在第一章比选公告所规定的开标时间和地点开标。开标由采购人内部自行召开，供应商可自愿参与参加开标会议。</w:t>
      </w:r>
    </w:p>
    <w:p w14:paraId="1B778F78">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18.2开标时，参加开标会议的供应商法定代表人或法人授权的代表须携带个人身份证（或其他有效证件）复印件和授权委托书原件亲自出席开标会并确认开标情况。如果不参加开标会议的，则视为认可开标情况。</w:t>
      </w:r>
    </w:p>
    <w:p w14:paraId="6EE05034">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18.3 开标时，由采购人检查响应文件的密封情况，对密封等情形予以确认。</w:t>
      </w:r>
    </w:p>
    <w:p w14:paraId="3F972C6F">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18.4开标程序详见“供应商须知前附表”。</w:t>
      </w:r>
    </w:p>
    <w:p w14:paraId="5672830D">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18.5唱标要求详见“供应商须知前附表”。</w:t>
      </w:r>
    </w:p>
    <w:p w14:paraId="0D526605">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18.6资格审查：开标结束后，先对供应商的资格进行审查，以确定其是否具备合格的供应商资格。依据法律法规和采购比选文件的规定，资格审查内容是指采购比选文件对供应商的资格要求等内容，详见《资格审查表》。</w:t>
      </w:r>
    </w:p>
    <w:p w14:paraId="1ECFE17C">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19、评审</w:t>
      </w:r>
    </w:p>
    <w:p w14:paraId="2EE5C74D">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19.1评审委员会</w:t>
      </w:r>
    </w:p>
    <w:p w14:paraId="6AE6FC4F">
      <w:pPr>
        <w:pStyle w:val="6"/>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19.1.1评审委员会由采购人各部门代表3人以上单数。</w:t>
      </w:r>
    </w:p>
    <w:p w14:paraId="2BB533D8">
      <w:pPr>
        <w:snapToGrid w:val="0"/>
        <w:spacing w:line="360" w:lineRule="auto"/>
        <w:ind w:firstLine="420" w:firstLineChars="200"/>
        <w:outlineLvl w:val="1"/>
        <w:rPr>
          <w:rFonts w:ascii="宋体" w:hAnsi="宋体" w:cs="宋体"/>
          <w:bCs/>
          <w:color w:val="auto"/>
          <w:szCs w:val="21"/>
        </w:rPr>
      </w:pPr>
      <w:r>
        <w:rPr>
          <w:rFonts w:hint="eastAsia" w:ascii="宋体" w:hAnsi="宋体" w:cs="宋体"/>
          <w:bCs/>
          <w:color w:val="auto"/>
          <w:szCs w:val="21"/>
        </w:rPr>
        <w:t>19.1.2评审委员会成员与供应商有下列利害关系之一的，应当回避：</w:t>
      </w:r>
    </w:p>
    <w:p w14:paraId="66C6A794">
      <w:pPr>
        <w:snapToGrid w:val="0"/>
        <w:spacing w:line="360" w:lineRule="auto"/>
        <w:ind w:firstLine="420" w:firstLineChars="200"/>
        <w:outlineLvl w:val="1"/>
        <w:rPr>
          <w:rFonts w:ascii="宋体" w:hAnsi="宋体" w:cs="宋体"/>
          <w:bCs/>
          <w:color w:val="auto"/>
          <w:szCs w:val="21"/>
        </w:rPr>
      </w:pPr>
      <w:r>
        <w:rPr>
          <w:rFonts w:hint="eastAsia" w:ascii="宋体" w:hAnsi="宋体" w:cs="宋体"/>
          <w:bCs/>
          <w:color w:val="auto"/>
          <w:szCs w:val="21"/>
        </w:rPr>
        <w:t>（1）参加采购活动前3年内与供应商存在劳动关系；</w:t>
      </w:r>
    </w:p>
    <w:p w14:paraId="3EFBF668">
      <w:pPr>
        <w:snapToGrid w:val="0"/>
        <w:spacing w:line="360" w:lineRule="auto"/>
        <w:ind w:firstLine="420" w:firstLineChars="200"/>
        <w:outlineLvl w:val="1"/>
        <w:rPr>
          <w:rFonts w:ascii="宋体" w:hAnsi="宋体" w:cs="宋体"/>
          <w:bCs/>
          <w:color w:val="auto"/>
          <w:szCs w:val="21"/>
        </w:rPr>
      </w:pPr>
      <w:r>
        <w:rPr>
          <w:rFonts w:hint="eastAsia" w:ascii="宋体" w:hAnsi="宋体" w:cs="宋体"/>
          <w:bCs/>
          <w:color w:val="auto"/>
          <w:szCs w:val="21"/>
        </w:rPr>
        <w:t>（2）参加采购活动前3年内担任供应商的董事、监事；</w:t>
      </w:r>
    </w:p>
    <w:p w14:paraId="5BB9E415">
      <w:pPr>
        <w:snapToGrid w:val="0"/>
        <w:spacing w:line="360" w:lineRule="auto"/>
        <w:ind w:firstLine="420" w:firstLineChars="200"/>
        <w:outlineLvl w:val="1"/>
        <w:rPr>
          <w:rFonts w:ascii="宋体" w:hAnsi="宋体" w:cs="宋体"/>
          <w:bCs/>
          <w:color w:val="auto"/>
          <w:szCs w:val="21"/>
        </w:rPr>
      </w:pPr>
      <w:r>
        <w:rPr>
          <w:rFonts w:hint="eastAsia" w:ascii="宋体" w:hAnsi="宋体" w:cs="宋体"/>
          <w:bCs/>
          <w:color w:val="auto"/>
          <w:szCs w:val="21"/>
        </w:rPr>
        <w:t>（3）参加采购活动前3年内是供应商的控股股东或者实际控制人；</w:t>
      </w:r>
    </w:p>
    <w:p w14:paraId="158CEF89">
      <w:pPr>
        <w:snapToGrid w:val="0"/>
        <w:spacing w:line="360" w:lineRule="auto"/>
        <w:ind w:firstLine="420" w:firstLineChars="200"/>
        <w:outlineLvl w:val="1"/>
        <w:rPr>
          <w:rFonts w:ascii="宋体" w:hAnsi="宋体" w:cs="宋体"/>
          <w:bCs/>
          <w:color w:val="auto"/>
          <w:szCs w:val="21"/>
        </w:rPr>
      </w:pPr>
      <w:r>
        <w:rPr>
          <w:rFonts w:hint="eastAsia" w:ascii="宋体" w:hAnsi="宋体" w:cs="宋体"/>
          <w:bCs/>
          <w:color w:val="auto"/>
          <w:szCs w:val="21"/>
        </w:rPr>
        <w:t>（4）与供应商的法定代表人或者负责人有夫妻、直系血亲、三代以内旁系血亲或者近姻亲关系；</w:t>
      </w:r>
    </w:p>
    <w:p w14:paraId="033D6543">
      <w:pPr>
        <w:snapToGrid w:val="0"/>
        <w:spacing w:line="360" w:lineRule="auto"/>
        <w:ind w:firstLine="420" w:firstLineChars="200"/>
        <w:outlineLvl w:val="1"/>
        <w:rPr>
          <w:rFonts w:ascii="宋体" w:hAnsi="宋体" w:cs="宋体"/>
          <w:bCs/>
          <w:color w:val="auto"/>
          <w:szCs w:val="21"/>
        </w:rPr>
      </w:pPr>
      <w:r>
        <w:rPr>
          <w:rFonts w:hint="eastAsia" w:ascii="宋体" w:hAnsi="宋体" w:cs="宋体"/>
          <w:bCs/>
          <w:color w:val="auto"/>
          <w:szCs w:val="21"/>
        </w:rPr>
        <w:t>（5）与供应商有其他可能影响政府采购活动公平、公正进行的关系。</w:t>
      </w:r>
    </w:p>
    <w:p w14:paraId="58EEAF18">
      <w:pPr>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宋体" w:hAnsi="宋体" w:cs="宋体"/>
          <w:bCs/>
          <w:color w:val="auto"/>
          <w:szCs w:val="21"/>
        </w:rPr>
        <w:t>供应商认为评审委员会成员与其他供应商有利害关系的，可以向采购人书面提出回避申请，并说明理由。采购人应当及时询问被申请回避人员，有利害关系的被申请回避人员应当回避。评审专家发现本人与参加采购活动的供应商有利害关系的，应当主动提出回避。</w:t>
      </w:r>
    </w:p>
    <w:p w14:paraId="3D9909D3">
      <w:pPr>
        <w:pStyle w:val="6"/>
        <w:adjustRightInd w:val="0"/>
        <w:snapToGrid w:val="0"/>
        <w:spacing w:line="360" w:lineRule="auto"/>
        <w:ind w:firstLine="420" w:firstLineChars="200"/>
        <w:rPr>
          <w:rFonts w:ascii="宋体" w:hAnsi="宋体" w:cs="宋体"/>
          <w:bCs/>
          <w:color w:val="auto"/>
          <w:szCs w:val="21"/>
        </w:rPr>
      </w:pPr>
      <w:r>
        <w:rPr>
          <w:rFonts w:hint="eastAsia" w:asciiTheme="minorEastAsia" w:hAnsiTheme="minorEastAsia" w:eastAsiaTheme="minorEastAsia" w:cstheme="minorEastAsia"/>
          <w:bCs/>
          <w:color w:val="auto"/>
          <w:szCs w:val="21"/>
        </w:rPr>
        <w:t>19.1.3</w:t>
      </w:r>
      <w:r>
        <w:rPr>
          <w:rFonts w:hint="eastAsia" w:ascii="宋体" w:hAnsi="宋体" w:cs="宋体"/>
          <w:bCs/>
          <w:color w:val="auto"/>
          <w:szCs w:val="21"/>
        </w:rPr>
        <w:t>评审委员会将严格遵守评审工作纪律，按照客观、公正、审慎的原则，根据采购比选文件规定的评审程序、评审方法和评审标准进行独立评审。</w:t>
      </w:r>
    </w:p>
    <w:p w14:paraId="0E3AB7A1">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19.2 响应文件的评审</w:t>
      </w:r>
    </w:p>
    <w:p w14:paraId="00C92ABA">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19.2.1 要求</w:t>
      </w:r>
    </w:p>
    <w:p w14:paraId="7A0428A4">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评审委员会对所有供应商的评审，都采用相同的程序和标准并严格按照采购比选文件的要求和条件进行。评审委员会决定响应文件实质性响应与否只根据响应文件本身的内容，以及述标和/或演示内容（如果有），而不寻求其他的外部证据。</w:t>
      </w:r>
    </w:p>
    <w:p w14:paraId="24B883B8">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19.2.2 符合性审查：依据采购比选文件的规定，评审委员会将从响应文件的有效性、完整性和对采购比选文件的响应程度进行审查，以确定是否符合对采购比选文件的实质性要求作出响应。</w:t>
      </w:r>
    </w:p>
    <w:p w14:paraId="1D43AC8F">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19.2.3 响应文件的澄清 </w:t>
      </w:r>
    </w:p>
    <w:p w14:paraId="3646BD76">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19.2.3．1对响应文件中含义不明确、同类问题表述不一致或者有明显文字和计算错误的内容，评审委员会应当以书面形式要求供应商作出必要的澄清、说明或者补正。供应商的澄清、说明或者补正应当在评审委员会规定的时间内以书面形式作出，并加盖公章，或者由法定代表人或者其授权代表签字。供应商的澄清、说明或者补正不得超出响应文件的范围或者改变响应文件的实质性内容。</w:t>
      </w:r>
    </w:p>
    <w:p w14:paraId="1DE8A357">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19.2.3.2算术错误将按以下方法更正：</w:t>
      </w:r>
    </w:p>
    <w:p w14:paraId="511E5D4A">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（1）响应文件中开标一览表（报价表）内容与响应文件中相应内容不一致的，以开标一览表（报价表）为准；</w:t>
      </w:r>
    </w:p>
    <w:p w14:paraId="19B971ED">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（2）大写金额和小写金额不一致的，以大写金额为准；</w:t>
      </w:r>
    </w:p>
    <w:p w14:paraId="1B2845EE">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（3）单价金额小数点或者百分比有明显错位的，以开标一览表的总价为准，并修改单价；</w:t>
      </w:r>
    </w:p>
    <w:p w14:paraId="1AF1EA2D">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（4）总价金额与按单价汇总金额不一致的，以单价金额计算结果为准；同时出现两种以上不一致的，按照前款规定的顺序修正。修正后的报价经供应商确认后产生约束力，供应商不确认的，其响应无效。</w:t>
      </w:r>
    </w:p>
    <w:p w14:paraId="25917DD1">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19.2.4 比较与评价</w:t>
      </w:r>
    </w:p>
    <w:p w14:paraId="1EF0A7A9">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19.2.4.1 评审委员会将按第四章所规定的评审标准，对资格性审查和符合性检查合格的响应文件进行评审。</w:t>
      </w:r>
    </w:p>
    <w:p w14:paraId="21242A36">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19.2.4.2 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经评审委员会投票认定，超过半数将以无效响应处理。</w:t>
      </w:r>
    </w:p>
    <w:p w14:paraId="5052588E">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19.2.5有下列情形之一的，视为供应商串通谋取成交，其响应无效：</w:t>
      </w:r>
    </w:p>
    <w:p w14:paraId="327FC053">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（一）不同供应商的响应文件由同一单位或者个人编制；</w:t>
      </w:r>
    </w:p>
    <w:p w14:paraId="04A19BF1">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（二）不同供应商委托同一单位或者个人办理响应事宜；</w:t>
      </w:r>
    </w:p>
    <w:p w14:paraId="3945E3DD">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（三）不同供应商的响应文件载明的项目管理成员或者联系人员为同一人；</w:t>
      </w:r>
    </w:p>
    <w:p w14:paraId="32C3F5F9">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（四）不同供应商的响应文件异常一致或者响应报价呈规律性差异；</w:t>
      </w:r>
    </w:p>
    <w:p w14:paraId="70A1C927">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（五）不同供应商的响应文件相互混装。</w:t>
      </w:r>
    </w:p>
    <w:p w14:paraId="59CF802B">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bookmarkStart w:id="50" w:name="_Toc217446072"/>
      <w:bookmarkEnd w:id="50"/>
      <w:r>
        <w:rPr>
          <w:rFonts w:hint="eastAsia" w:asciiTheme="minorEastAsia" w:hAnsiTheme="minorEastAsia" w:eastAsiaTheme="minorEastAsia" w:cstheme="minorEastAsia"/>
          <w:bCs/>
          <w:color w:val="auto"/>
          <w:szCs w:val="21"/>
        </w:rPr>
        <w:t>20、废标的情形</w:t>
      </w:r>
    </w:p>
    <w:p w14:paraId="78F41513">
      <w:pPr>
        <w:pStyle w:val="5"/>
        <w:adjustRightInd w:val="0"/>
        <w:snapToGrid w:val="0"/>
        <w:spacing w:line="360" w:lineRule="auto"/>
        <w:ind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招标采购中，出现下列情形之一的，予以废标：</w:t>
      </w:r>
    </w:p>
    <w:p w14:paraId="513931FE">
      <w:pPr>
        <w:pStyle w:val="5"/>
        <w:adjustRightInd w:val="0"/>
        <w:snapToGrid w:val="0"/>
        <w:spacing w:line="360" w:lineRule="auto"/>
        <w:ind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（1）出现影响采购公正的违法、违规行为的；</w:t>
      </w:r>
    </w:p>
    <w:p w14:paraId="2A38B4D1">
      <w:pPr>
        <w:pStyle w:val="5"/>
        <w:adjustRightInd w:val="0"/>
        <w:snapToGrid w:val="0"/>
        <w:spacing w:line="360" w:lineRule="auto"/>
        <w:ind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（2）供应商的报价均超过了预算，采购人不能支付的；</w:t>
      </w:r>
    </w:p>
    <w:p w14:paraId="33C3D580">
      <w:pPr>
        <w:pStyle w:val="5"/>
        <w:adjustRightInd w:val="0"/>
        <w:snapToGrid w:val="0"/>
        <w:spacing w:line="360" w:lineRule="auto"/>
        <w:ind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（3）因重大变故，采购任务取消的。</w:t>
      </w:r>
    </w:p>
    <w:p w14:paraId="1B543B91">
      <w:pPr>
        <w:pStyle w:val="5"/>
        <w:adjustRightInd w:val="0"/>
        <w:snapToGrid w:val="0"/>
        <w:spacing w:line="360" w:lineRule="auto"/>
        <w:ind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废标后，采购人将在指定网站发布废标公告。</w:t>
      </w:r>
    </w:p>
    <w:p w14:paraId="3940F3ED">
      <w:pPr>
        <w:adjustRightInd w:val="0"/>
        <w:snapToGrid w:val="0"/>
        <w:spacing w:line="360" w:lineRule="auto"/>
        <w:ind w:firstLine="420" w:firstLineChars="200"/>
        <w:rPr>
          <w:rFonts w:asciiTheme="minorEastAsia" w:hAnsiTheme="minorEastAsia" w:eastAsiaTheme="minorEastAsia" w:cstheme="minorEastAsia"/>
          <w:bCs/>
          <w:color w:val="auto"/>
          <w:szCs w:val="21"/>
        </w:rPr>
      </w:pPr>
      <w:bookmarkStart w:id="51" w:name="_Toc246996220"/>
      <w:bookmarkEnd w:id="51"/>
      <w:bookmarkStart w:id="52" w:name="_Toc247085734"/>
      <w:bookmarkEnd w:id="52"/>
      <w:bookmarkStart w:id="53" w:name="_Toc296602463"/>
      <w:bookmarkEnd w:id="53"/>
      <w:bookmarkStart w:id="54" w:name="_Toc246996963"/>
      <w:bookmarkEnd w:id="54"/>
      <w:bookmarkStart w:id="55" w:name="_Toc152045576"/>
      <w:bookmarkEnd w:id="55"/>
      <w:bookmarkStart w:id="56" w:name="_Toc152042352"/>
      <w:bookmarkEnd w:id="56"/>
      <w:bookmarkStart w:id="57" w:name="_Toc179632594"/>
      <w:bookmarkEnd w:id="57"/>
      <w:bookmarkStart w:id="58" w:name="_Toc144974544"/>
      <w:bookmarkEnd w:id="58"/>
      <w:r>
        <w:rPr>
          <w:rFonts w:hint="eastAsia" w:asciiTheme="minorEastAsia" w:hAnsiTheme="minorEastAsia" w:eastAsiaTheme="minorEastAsia" w:cstheme="minorEastAsia"/>
          <w:bCs/>
          <w:color w:val="auto"/>
          <w:szCs w:val="21"/>
        </w:rPr>
        <w:t>21.1对供应商的纪律要求</w:t>
      </w:r>
    </w:p>
    <w:p w14:paraId="5BDF8212">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供应商不得相互串通或者与采购人串通谋取成交，不得评审委员会成员行贿谋取谋取成交，不得以他人名义响应或者以其他方式弄虚作假骗取成交；供应商不得以任何方式干扰、影响评审工作。</w:t>
      </w:r>
    </w:p>
    <w:p w14:paraId="09BD25E2">
      <w:pPr>
        <w:adjustRightInd w:val="0"/>
        <w:snapToGrid w:val="0"/>
        <w:spacing w:line="360" w:lineRule="auto"/>
        <w:ind w:firstLine="420" w:firstLineChars="200"/>
        <w:rPr>
          <w:rFonts w:asciiTheme="minorEastAsia" w:hAnsiTheme="minorEastAsia" w:eastAsiaTheme="minorEastAsia" w:cstheme="minorEastAsia"/>
          <w:bCs/>
          <w:color w:val="auto"/>
          <w:szCs w:val="21"/>
        </w:rPr>
      </w:pPr>
      <w:bookmarkStart w:id="59" w:name="_Toc247085735"/>
      <w:bookmarkEnd w:id="59"/>
      <w:bookmarkStart w:id="60" w:name="_Toc152042353"/>
      <w:bookmarkEnd w:id="60"/>
      <w:bookmarkStart w:id="61" w:name="_Toc179632595"/>
      <w:bookmarkEnd w:id="61"/>
      <w:bookmarkStart w:id="62" w:name="_Toc246996221"/>
      <w:bookmarkEnd w:id="62"/>
      <w:bookmarkStart w:id="63" w:name="_Toc144974545"/>
      <w:bookmarkEnd w:id="63"/>
      <w:bookmarkStart w:id="64" w:name="_Toc152045577"/>
      <w:bookmarkEnd w:id="64"/>
      <w:bookmarkStart w:id="65" w:name="_Toc296602464"/>
      <w:bookmarkEnd w:id="65"/>
      <w:bookmarkStart w:id="66" w:name="_Toc246996964"/>
      <w:bookmarkEnd w:id="66"/>
      <w:r>
        <w:rPr>
          <w:rFonts w:hint="eastAsia" w:asciiTheme="minorEastAsia" w:hAnsiTheme="minorEastAsia" w:eastAsiaTheme="minorEastAsia" w:cstheme="minorEastAsia"/>
          <w:bCs/>
          <w:color w:val="auto"/>
          <w:szCs w:val="21"/>
        </w:rPr>
        <w:t>21.3对评审委员会成员的纪律要求</w:t>
      </w:r>
    </w:p>
    <w:p w14:paraId="49AABB7A">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评审委员会成员不得收受他人的财物或者其他好处，不得向他人透漏对响应文件的评审和比较、成交候选人的推荐情况以及评审有关的其他情况。在评审活动中，评审委员会成员应当客观、公正地履行职责，独立评审，遵守职业道德，不得擅离职守，影响评审程序正常进行，不得使用采购比选文件没有规定的评审因素和标准进行评审。</w:t>
      </w:r>
    </w:p>
    <w:p w14:paraId="2ADDC471">
      <w:pPr>
        <w:adjustRightInd w:val="0"/>
        <w:snapToGrid w:val="0"/>
        <w:spacing w:line="360" w:lineRule="auto"/>
        <w:ind w:firstLine="420" w:firstLineChars="200"/>
        <w:rPr>
          <w:rFonts w:asciiTheme="minorEastAsia" w:hAnsiTheme="minorEastAsia" w:eastAsiaTheme="minorEastAsia" w:cstheme="minorEastAsia"/>
          <w:bCs/>
          <w:color w:val="auto"/>
          <w:szCs w:val="21"/>
        </w:rPr>
      </w:pPr>
      <w:bookmarkStart w:id="67" w:name="_Toc152042354"/>
      <w:bookmarkEnd w:id="67"/>
      <w:bookmarkStart w:id="68" w:name="_Toc296602465"/>
      <w:bookmarkEnd w:id="68"/>
      <w:bookmarkStart w:id="69" w:name="_Toc152045578"/>
      <w:bookmarkEnd w:id="69"/>
      <w:bookmarkStart w:id="70" w:name="_Toc246996222"/>
      <w:bookmarkEnd w:id="70"/>
      <w:bookmarkStart w:id="71" w:name="_Toc246996965"/>
      <w:bookmarkEnd w:id="71"/>
      <w:bookmarkStart w:id="72" w:name="_Toc179632596"/>
      <w:bookmarkEnd w:id="72"/>
      <w:bookmarkStart w:id="73" w:name="_Toc247085736"/>
      <w:bookmarkEnd w:id="73"/>
      <w:r>
        <w:rPr>
          <w:rFonts w:hint="eastAsia" w:asciiTheme="minorEastAsia" w:hAnsiTheme="minorEastAsia" w:eastAsiaTheme="minorEastAsia" w:cstheme="minorEastAsia"/>
          <w:bCs/>
          <w:color w:val="auto"/>
          <w:szCs w:val="21"/>
        </w:rPr>
        <w:t>21.4对与评审活动有关的工作人员的纪律要求</w:t>
      </w:r>
    </w:p>
    <w:p w14:paraId="6DC1F1B5">
      <w:pPr>
        <w:adjustRightInd w:val="0"/>
        <w:snapToGrid w:val="0"/>
        <w:spacing w:line="360" w:lineRule="auto"/>
        <w:ind w:firstLine="420" w:firstLineChars="200"/>
        <w:rPr>
          <w:rFonts w:asciiTheme="minorEastAsia" w:hAnsiTheme="minorEastAsia" w:eastAsiaTheme="minorEastAsia" w:cstheme="minorEastAsia"/>
          <w:bCs/>
          <w:color w:val="auto"/>
          <w:szCs w:val="21"/>
        </w:rPr>
      </w:pPr>
      <w:bookmarkStart w:id="74" w:name="_Toc152042355"/>
      <w:bookmarkEnd w:id="74"/>
      <w:r>
        <w:rPr>
          <w:rFonts w:hint="eastAsia" w:asciiTheme="minorEastAsia" w:hAnsiTheme="minorEastAsia" w:eastAsiaTheme="minorEastAsia" w:cstheme="minorEastAsia"/>
          <w:bCs/>
          <w:color w:val="auto"/>
          <w:szCs w:val="21"/>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7A2CCFEB">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bookmarkStart w:id="75" w:name="_Toc246826113"/>
      <w:bookmarkEnd w:id="75"/>
      <w:r>
        <w:rPr>
          <w:rFonts w:hint="eastAsia" w:asciiTheme="minorEastAsia" w:hAnsiTheme="minorEastAsia" w:eastAsiaTheme="minorEastAsia" w:cstheme="minorEastAsia"/>
          <w:bCs/>
          <w:color w:val="auto"/>
          <w:szCs w:val="21"/>
        </w:rPr>
        <w:t>六、定标、合同与验收</w:t>
      </w:r>
    </w:p>
    <w:p w14:paraId="110FBE83">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22、定标准则</w:t>
      </w:r>
    </w:p>
    <w:p w14:paraId="136D7BF2">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22.1任何单项因素的最优不能作为成交的保证。</w:t>
      </w:r>
    </w:p>
    <w:p w14:paraId="1AC0489B">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22.2评审委员会推荐排名第一的供应商即为成交供应商。</w:t>
      </w:r>
    </w:p>
    <w:p w14:paraId="3B7B3A84">
      <w:pPr>
        <w:adjustRightInd w:val="0"/>
        <w:snapToGrid w:val="0"/>
        <w:spacing w:line="360" w:lineRule="auto"/>
        <w:ind w:left="420" w:left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23、成交通知</w:t>
      </w:r>
    </w:p>
    <w:p w14:paraId="569335FD">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23.1由采购人在比选公告发布媒体上公布成交结果，并向成交供应商发送《成交通知书》。</w:t>
      </w:r>
    </w:p>
    <w:p w14:paraId="1E65E2D7">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23.2成交通知书为签订采购合同的依据，是合同的有效组成部分。</w:t>
      </w:r>
    </w:p>
    <w:p w14:paraId="50853AFF">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23.3成交通知书对采购人和成交供应商均具有法律效力。成交通知书发出后，采购人改变成交结果，或者成交供应商无正当理由放弃成交的，应当承担相应的法律责任。</w:t>
      </w:r>
    </w:p>
    <w:p w14:paraId="4442D792">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24、合同签订</w:t>
      </w:r>
    </w:p>
    <w:p w14:paraId="6542A9AB">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24.1成交供应商在收到《成交通知书》后，应在规定的时间内与采购人签订采购合同。由于成交供应商的原因逾期未与采购人签订采购合同的，将视为放弃中标，取消其中标资格并将按相关规定进行处理。</w:t>
      </w:r>
    </w:p>
    <w:p w14:paraId="2F715D92">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24.2采购人不得向成交供应商提出任何不合理的要求作为签订合同的条件，不得与成交供应商私下订立背离合同实质性内容的任何协议，所签订的合同不得对采购比选文件和成交供应商响应文件作实质性修改。</w:t>
      </w:r>
    </w:p>
    <w:p w14:paraId="639CAFEF">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bookmarkStart w:id="76" w:name="_Toc217446069"/>
      <w:bookmarkEnd w:id="76"/>
      <w:r>
        <w:rPr>
          <w:rFonts w:hint="eastAsia" w:asciiTheme="minorEastAsia" w:hAnsiTheme="minorEastAsia" w:eastAsiaTheme="minorEastAsia" w:cstheme="minorEastAsia"/>
          <w:bCs/>
          <w:color w:val="auto"/>
          <w:szCs w:val="21"/>
        </w:rPr>
        <w:t>25、合同履行</w:t>
      </w:r>
    </w:p>
    <w:p w14:paraId="2E34303F">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25.1成交供应商与采购人签订合同后，合同双方应严格执行合同条款，履行合同规定的义务，保证合同的顺利完成。</w:t>
      </w:r>
    </w:p>
    <w:p w14:paraId="56209D6C">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25.2采购人应严格按照合同约定事项，制定科学合理的验收方案开展验收；</w:t>
      </w:r>
    </w:p>
    <w:p w14:paraId="401BF590">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25.3在合同履行过程中，如发生合同纠纷，合同双方应按照《民法典》的有关规定进行处理。</w:t>
      </w:r>
    </w:p>
    <w:p w14:paraId="5AA1AF44">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七、评审方法</w:t>
      </w:r>
    </w:p>
    <w:p w14:paraId="28232D89">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26、政府采购招标评审方法分为:最低评审价法和综合评分法。</w:t>
      </w:r>
    </w:p>
    <w:p w14:paraId="35FD9F79">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26.1最低评审价法，是指响应文件满足采购比选文件全部实质性要求且响应报价最低的供应商为成交候选人的评审方法。</w:t>
      </w:r>
    </w:p>
    <w:p w14:paraId="73B3D898">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26.2综合评分法，是指响应文件满足采购比选文件全部实质性要求且按照评审因素的量化指标评审得分最高的供应商为成交候选人的评审方法。</w:t>
      </w:r>
    </w:p>
    <w:p w14:paraId="2EB4FD18">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评审总得分＝F1×A1＋F2×A2＋……＋Fn×An</w:t>
      </w:r>
    </w:p>
    <w:p w14:paraId="4F19291E">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F1、F2……Fn分别为价格、商务和技术部分评分因素的汇总得分；A1、A2、……An分别为价格、商务和技术部分评分因素所占的权重(A1＋A2＋......＋An＝1)。</w:t>
      </w:r>
    </w:p>
    <w:p w14:paraId="3732C5C6">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其中价格分统一采用低价优先法计算，即满足采购比选文件要求且响应价格最低的响应报价为评审基准价，其价格分为满分。其他供应商的价格分统一按照下列公式计算：</w:t>
      </w:r>
    </w:p>
    <w:p w14:paraId="442B7140">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响应报价得分＝（评审基准价／响应报价）×价格权值×100　　</w:t>
      </w:r>
    </w:p>
    <w:p w14:paraId="6394763C">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八、质疑</w:t>
      </w:r>
    </w:p>
    <w:p w14:paraId="7BD32E69">
      <w:pPr>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27、供应商认为采购比选文件、采购过程和成交结果使自己的合法权益受到损害的，应当在知道或者应知其权益受到损害之日起七个工作日（质疑有效期）内，向采购人提出询问或以书面形式向其质疑。 </w:t>
      </w:r>
    </w:p>
    <w:p w14:paraId="5BB3DAAC">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28、采购人关于质疑受理事项依照《政府采购法》《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p>
    <w:p w14:paraId="142010F1">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29、质疑有效期的计算</w:t>
      </w:r>
    </w:p>
    <w:p w14:paraId="1BEB6492">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采购比选文件的质疑有效期为采购比选文件公告期限届满之日起七个工作日内；采购过程的质疑有效期为各采购程序环节结束之日起七个工作日内；采购结果的质疑有效期为采购结果公告期限届满之日起七个工作日内。</w:t>
      </w:r>
    </w:p>
    <w:p w14:paraId="2876E7EB">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九、无效响应的其他有关规定：</w:t>
      </w:r>
    </w:p>
    <w:p w14:paraId="2CD9FB16">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30、除符合采购比选文件中载明的无效响应规定外，如果发现下列情况之一者，同样作无效响应处理，其中30.1至30.3款情形的所有相关供应商均作无效响应处理。因此产生其他法律责任的由供应商自行承担：</w:t>
      </w:r>
    </w:p>
    <w:p w14:paraId="5B6D2C89">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30.1不同供应商的法定代表人、委托代理人等由同一个单位缴纳社会保险的；</w:t>
      </w:r>
    </w:p>
    <w:p w14:paraId="76012684">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30.2由同一人携带两个及以上供应商的企业资料参与开标会议的；</w:t>
      </w:r>
    </w:p>
    <w:p w14:paraId="0CD94B6D">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30.3单位负责人为同一人或者存在直接控股、管理关系的不同供应商，同时参加同一合同项下的政府采购活动的；</w:t>
      </w:r>
    </w:p>
    <w:p w14:paraId="0D4719E2">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30.4为采购项目提供整体设计、规范编制或者项目管理、监理、检测等服务的供应商，再参加该采购项目的其他采购活动的；</w:t>
      </w:r>
    </w:p>
    <w:p w14:paraId="6F2082B6">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30.5属于采购人任何不具有独立法人资格的附属机构（单位）；</w:t>
      </w:r>
    </w:p>
    <w:p w14:paraId="48EFD809">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30.6没有按要求提供补充文件，或调整补充内容超出规定范围。</w:t>
      </w:r>
    </w:p>
    <w:p w14:paraId="5823DAFB">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30.7</w:t>
      </w:r>
      <w:r>
        <w:rPr>
          <w:rFonts w:asciiTheme="minorEastAsia" w:hAnsiTheme="minorEastAsia" w:eastAsiaTheme="minorEastAsia" w:cstheme="minorEastAsia"/>
          <w:bCs/>
          <w:color w:val="auto"/>
          <w:szCs w:val="21"/>
        </w:rPr>
        <w:t>未按照</w:t>
      </w:r>
      <w:r>
        <w:rPr>
          <w:rFonts w:hint="eastAsia" w:asciiTheme="minorEastAsia" w:hAnsiTheme="minorEastAsia" w:eastAsiaTheme="minorEastAsia" w:cstheme="minorEastAsia"/>
          <w:bCs/>
          <w:color w:val="auto"/>
          <w:szCs w:val="21"/>
        </w:rPr>
        <w:t>采购比选文件</w:t>
      </w:r>
      <w:r>
        <w:rPr>
          <w:rFonts w:asciiTheme="minorEastAsia" w:hAnsiTheme="minorEastAsia" w:eastAsiaTheme="minorEastAsia" w:cstheme="minorEastAsia"/>
          <w:bCs/>
          <w:color w:val="auto"/>
          <w:szCs w:val="21"/>
        </w:rPr>
        <w:t>的规定提交保证金的；</w:t>
      </w:r>
    </w:p>
    <w:p w14:paraId="04E7AB8E">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30.8响应文件</w:t>
      </w:r>
      <w:r>
        <w:rPr>
          <w:rFonts w:asciiTheme="minorEastAsia" w:hAnsiTheme="minorEastAsia" w:eastAsiaTheme="minorEastAsia" w:cstheme="minorEastAsia"/>
          <w:bCs/>
          <w:color w:val="auto"/>
          <w:szCs w:val="21"/>
        </w:rPr>
        <w:t>未按</w:t>
      </w:r>
      <w:r>
        <w:rPr>
          <w:rFonts w:hint="eastAsia" w:asciiTheme="minorEastAsia" w:hAnsiTheme="minorEastAsia" w:eastAsiaTheme="minorEastAsia" w:cstheme="minorEastAsia"/>
          <w:bCs/>
          <w:color w:val="auto"/>
          <w:szCs w:val="21"/>
        </w:rPr>
        <w:t>采购比选文件</w:t>
      </w:r>
      <w:r>
        <w:rPr>
          <w:rFonts w:asciiTheme="minorEastAsia" w:hAnsiTheme="minorEastAsia" w:eastAsiaTheme="minorEastAsia" w:cstheme="minorEastAsia"/>
          <w:bCs/>
          <w:color w:val="auto"/>
          <w:szCs w:val="21"/>
        </w:rPr>
        <w:t>要求签署、盖章的；</w:t>
      </w:r>
    </w:p>
    <w:p w14:paraId="1BA793FF">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30.9</w:t>
      </w:r>
      <w:r>
        <w:rPr>
          <w:rFonts w:asciiTheme="minorEastAsia" w:hAnsiTheme="minorEastAsia" w:eastAsiaTheme="minorEastAsia" w:cstheme="minorEastAsia"/>
          <w:bCs/>
          <w:color w:val="auto"/>
          <w:szCs w:val="21"/>
        </w:rPr>
        <w:t>不具备</w:t>
      </w:r>
      <w:r>
        <w:rPr>
          <w:rFonts w:hint="eastAsia" w:asciiTheme="minorEastAsia" w:hAnsiTheme="minorEastAsia" w:eastAsiaTheme="minorEastAsia" w:cstheme="minorEastAsia"/>
          <w:bCs/>
          <w:color w:val="auto"/>
          <w:szCs w:val="21"/>
        </w:rPr>
        <w:t>采购比选文件</w:t>
      </w:r>
      <w:r>
        <w:rPr>
          <w:rFonts w:asciiTheme="minorEastAsia" w:hAnsiTheme="minorEastAsia" w:eastAsiaTheme="minorEastAsia" w:cstheme="minorEastAsia"/>
          <w:bCs/>
          <w:color w:val="auto"/>
          <w:szCs w:val="21"/>
        </w:rPr>
        <w:t>中规定的资格要求的；</w:t>
      </w:r>
    </w:p>
    <w:p w14:paraId="5774674B">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30.10</w:t>
      </w:r>
      <w:r>
        <w:rPr>
          <w:rFonts w:asciiTheme="minorEastAsia" w:hAnsiTheme="minorEastAsia" w:eastAsiaTheme="minorEastAsia" w:cstheme="minorEastAsia"/>
          <w:bCs/>
          <w:color w:val="auto"/>
          <w:szCs w:val="21"/>
        </w:rPr>
        <w:t>报价超过</w:t>
      </w:r>
      <w:r>
        <w:rPr>
          <w:rFonts w:hint="eastAsia" w:asciiTheme="minorEastAsia" w:hAnsiTheme="minorEastAsia" w:eastAsiaTheme="minorEastAsia" w:cstheme="minorEastAsia"/>
          <w:bCs/>
          <w:color w:val="auto"/>
          <w:szCs w:val="21"/>
        </w:rPr>
        <w:t>采购比选文件</w:t>
      </w:r>
      <w:r>
        <w:rPr>
          <w:rFonts w:asciiTheme="minorEastAsia" w:hAnsiTheme="minorEastAsia" w:eastAsiaTheme="minorEastAsia" w:cstheme="minorEastAsia"/>
          <w:bCs/>
          <w:color w:val="auto"/>
          <w:szCs w:val="21"/>
        </w:rPr>
        <w:t>中规定的预算金额或者最高限价的；</w:t>
      </w:r>
    </w:p>
    <w:p w14:paraId="40834C21">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30.11响应文件</w:t>
      </w:r>
      <w:r>
        <w:rPr>
          <w:rFonts w:asciiTheme="minorEastAsia" w:hAnsiTheme="minorEastAsia" w:eastAsiaTheme="minorEastAsia" w:cstheme="minorEastAsia"/>
          <w:bCs/>
          <w:color w:val="auto"/>
          <w:szCs w:val="21"/>
        </w:rPr>
        <w:t>含有采购人不能接受的附加条件的；</w:t>
      </w:r>
    </w:p>
    <w:p w14:paraId="0FA75C93">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30.12</w:t>
      </w:r>
      <w:r>
        <w:rPr>
          <w:rFonts w:asciiTheme="minorEastAsia" w:hAnsiTheme="minorEastAsia" w:eastAsiaTheme="minorEastAsia" w:cstheme="minorEastAsia"/>
          <w:bCs/>
          <w:color w:val="auto"/>
          <w:szCs w:val="21"/>
        </w:rPr>
        <w:t>法律、法规和</w:t>
      </w:r>
      <w:r>
        <w:rPr>
          <w:rFonts w:hint="eastAsia" w:asciiTheme="minorEastAsia" w:hAnsiTheme="minorEastAsia" w:eastAsiaTheme="minorEastAsia" w:cstheme="minorEastAsia"/>
          <w:bCs/>
          <w:color w:val="auto"/>
          <w:szCs w:val="21"/>
        </w:rPr>
        <w:t>采购比选文件</w:t>
      </w:r>
      <w:r>
        <w:rPr>
          <w:rFonts w:asciiTheme="minorEastAsia" w:hAnsiTheme="minorEastAsia" w:eastAsiaTheme="minorEastAsia" w:cstheme="minorEastAsia"/>
          <w:bCs/>
          <w:color w:val="auto"/>
          <w:szCs w:val="21"/>
        </w:rPr>
        <w:t>规定的其他无效情形。</w:t>
      </w:r>
    </w:p>
    <w:p w14:paraId="46A4CA45">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31、其他法律法规及规章制度认定参加政府采购无效的情形等。</w:t>
      </w:r>
    </w:p>
    <w:p w14:paraId="0656941F">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31.1存在恶意串通投标行为的；</w:t>
      </w:r>
    </w:p>
    <w:p w14:paraId="2F9CFA87">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31.2参与政府采购活动有不良行为记录且正处于处罚期内并适用于海口行政区域的；</w:t>
      </w:r>
    </w:p>
    <w:p w14:paraId="027BF9C3">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31.3企业在经营活动中存在不诚信记录且正处于处罚期内并适用于海口行政区域政府采购领域的；</w:t>
      </w:r>
    </w:p>
    <w:p w14:paraId="6D3737CA">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31.4其他法律法规及规章制度认定参加政府采购活动无效并适用海口行政区域的情形等。</w:t>
      </w:r>
    </w:p>
    <w:p w14:paraId="3E7DC116">
      <w:pPr>
        <w:rPr>
          <w:rFonts w:asciiTheme="minorEastAsia" w:hAnsiTheme="minorEastAsia" w:eastAsiaTheme="minorEastAsia" w:cstheme="minorEastAsia"/>
          <w:b/>
          <w:color w:val="auto"/>
          <w:szCs w:val="21"/>
        </w:rPr>
      </w:pPr>
      <w:r>
        <w:rPr>
          <w:color w:val="auto"/>
        </w:rPr>
        <w:br w:type="page"/>
      </w:r>
    </w:p>
    <w:p w14:paraId="5673CE8E">
      <w:pPr>
        <w:rPr>
          <w:color w:val="auto"/>
        </w:rPr>
      </w:pPr>
    </w:p>
    <w:bookmarkEnd w:id="25"/>
    <w:p w14:paraId="2C5A6AD6">
      <w:pPr>
        <w:pStyle w:val="5"/>
        <w:adjustRightInd w:val="0"/>
        <w:snapToGrid w:val="0"/>
        <w:spacing w:line="360" w:lineRule="auto"/>
        <w:ind w:firstLine="0"/>
        <w:jc w:val="center"/>
        <w:outlineLvl w:val="0"/>
        <w:rPr>
          <w:rFonts w:asciiTheme="minorEastAsia" w:hAnsiTheme="minorEastAsia" w:eastAsiaTheme="minorEastAsia" w:cstheme="minorEastAsia"/>
          <w:b/>
          <w:color w:val="auto"/>
          <w:szCs w:val="21"/>
        </w:rPr>
      </w:pPr>
      <w:bookmarkStart w:id="77" w:name="_Toc246826116"/>
      <w:r>
        <w:rPr>
          <w:rFonts w:hint="eastAsia" w:asciiTheme="minorEastAsia" w:hAnsiTheme="minorEastAsia" w:eastAsiaTheme="minorEastAsia" w:cstheme="minorEastAsia"/>
          <w:b/>
          <w:color w:val="auto"/>
          <w:szCs w:val="21"/>
        </w:rPr>
        <w:t>第四章  评审标准</w:t>
      </w:r>
    </w:p>
    <w:bookmarkEnd w:id="77"/>
    <w:p w14:paraId="4CC3CF80">
      <w:pPr>
        <w:spacing w:line="360" w:lineRule="auto"/>
        <w:ind w:firstLine="422" w:firstLineChars="200"/>
        <w:outlineLvl w:val="0"/>
        <w:rPr>
          <w:rFonts w:ascii="宋体" w:hAnsi="宋体" w:cs="宋体"/>
          <w:b/>
          <w:color w:val="auto"/>
          <w:szCs w:val="21"/>
        </w:rPr>
      </w:pPr>
      <w:bookmarkStart w:id="78" w:name="_Toc246826117"/>
      <w:r>
        <w:rPr>
          <w:rFonts w:hint="eastAsia" w:ascii="宋体" w:hAnsi="宋体" w:cs="宋体"/>
          <w:b/>
          <w:color w:val="auto"/>
          <w:szCs w:val="21"/>
        </w:rPr>
        <w:t>一、基本要求：</w:t>
      </w:r>
    </w:p>
    <w:p w14:paraId="404A7F6B">
      <w:pPr>
        <w:pStyle w:val="5"/>
        <w:snapToGrid w:val="0"/>
        <w:spacing w:line="360" w:lineRule="auto"/>
        <w:ind w:firstLineChars="200"/>
        <w:outlineLvl w:val="0"/>
        <w:rPr>
          <w:rFonts w:ascii="宋体" w:hAnsi="宋体" w:cs="宋体"/>
          <w:bCs/>
          <w:color w:val="auto"/>
          <w:szCs w:val="21"/>
        </w:rPr>
      </w:pPr>
      <w:r>
        <w:rPr>
          <w:rFonts w:hint="eastAsia" w:ascii="宋体" w:hAnsi="宋体" w:cs="宋体"/>
          <w:bCs/>
          <w:color w:val="auto"/>
          <w:szCs w:val="21"/>
        </w:rPr>
        <w:t>（一）资格审查、符合性审查或评审标准中凡涉及到提供针对本项目授权书、承诺书的，均须以原件为准，否则不予认可，</w:t>
      </w:r>
    </w:p>
    <w:p w14:paraId="19E7E7EC">
      <w:pPr>
        <w:pStyle w:val="5"/>
        <w:snapToGrid w:val="0"/>
        <w:spacing w:line="360" w:lineRule="auto"/>
        <w:ind w:firstLineChars="200"/>
        <w:outlineLvl w:val="0"/>
        <w:rPr>
          <w:rFonts w:ascii="宋体" w:hAnsi="宋体" w:cs="宋体"/>
          <w:b/>
          <w:color w:val="auto"/>
          <w:szCs w:val="21"/>
        </w:rPr>
      </w:pPr>
      <w:r>
        <w:rPr>
          <w:rFonts w:hint="eastAsia" w:ascii="宋体" w:hAnsi="宋体" w:cs="宋体"/>
          <w:bCs/>
          <w:color w:val="auto"/>
          <w:szCs w:val="21"/>
        </w:rPr>
        <w:t>（二）资格审查、符合性审查或评审标准中凡涉及到提供合同、报告、证书或认证等证明材料的，须提供清晰可见且在有效期内的复印件并加盖供应商单位公章。如提供的证明材料不清晰或者无法明确证明的将不予认可。如提供的证明材料与原件不一致的，无论是在评审过程中乃至成交后，其响应将以无效响应或取消成交资格论处，并上报政府采购监督管理部门。</w:t>
      </w:r>
    </w:p>
    <w:p w14:paraId="7FA3E156">
      <w:pPr>
        <w:pStyle w:val="5"/>
        <w:snapToGrid w:val="0"/>
        <w:spacing w:line="360" w:lineRule="auto"/>
        <w:ind w:firstLine="422" w:firstLineChars="200"/>
        <w:outlineLvl w:val="1"/>
        <w:rPr>
          <w:rFonts w:ascii="宋体" w:hAnsi="宋体" w:cs="宋体"/>
          <w:b/>
          <w:color w:val="auto"/>
          <w:szCs w:val="21"/>
        </w:rPr>
      </w:pPr>
      <w:r>
        <w:rPr>
          <w:rFonts w:hint="eastAsia" w:ascii="宋体" w:hAnsi="宋体" w:cs="宋体"/>
          <w:b/>
          <w:color w:val="auto"/>
          <w:szCs w:val="21"/>
        </w:rPr>
        <w:t>二、审查标准</w:t>
      </w:r>
    </w:p>
    <w:p w14:paraId="23F4B4DF">
      <w:pPr>
        <w:snapToGrid w:val="0"/>
        <w:spacing w:line="360" w:lineRule="auto"/>
        <w:ind w:firstLine="420" w:firstLineChars="200"/>
        <w:outlineLvl w:val="0"/>
        <w:rPr>
          <w:rFonts w:ascii="宋体" w:hAnsi="宋体" w:cs="宋体"/>
          <w:bCs/>
          <w:color w:val="auto"/>
          <w:szCs w:val="21"/>
        </w:rPr>
      </w:pPr>
      <w:r>
        <w:rPr>
          <w:rFonts w:hint="eastAsia" w:ascii="宋体" w:hAnsi="宋体" w:cs="宋体"/>
          <w:bCs/>
          <w:color w:val="auto"/>
          <w:szCs w:val="21"/>
        </w:rPr>
        <w:t>1、资格审查表和符合性审查表中所列内容全部审查意见为“合格”，方视为“合格”，其中有一项不合格，将视为不合格供应商。</w:t>
      </w:r>
    </w:p>
    <w:p w14:paraId="474F767F">
      <w:pPr>
        <w:snapToGrid w:val="0"/>
        <w:spacing w:line="360" w:lineRule="auto"/>
        <w:ind w:firstLine="420" w:firstLineChars="200"/>
        <w:outlineLvl w:val="0"/>
        <w:rPr>
          <w:rFonts w:ascii="宋体" w:hAnsi="宋体" w:cs="宋体"/>
          <w:bCs/>
          <w:color w:val="auto"/>
          <w:szCs w:val="21"/>
        </w:rPr>
      </w:pPr>
      <w:r>
        <w:rPr>
          <w:rFonts w:hint="eastAsia" w:ascii="宋体" w:hAnsi="宋体" w:cs="宋体"/>
          <w:bCs/>
          <w:color w:val="auto"/>
          <w:szCs w:val="21"/>
        </w:rPr>
        <w:t>2、在审查意见汇总的过程中，如存在不同审查意见，则按照少数服从多数的原则做出结论。</w:t>
      </w:r>
    </w:p>
    <w:p w14:paraId="6A8976DF">
      <w:pPr>
        <w:snapToGrid w:val="0"/>
        <w:spacing w:line="360" w:lineRule="auto"/>
        <w:ind w:firstLine="420" w:firstLineChars="200"/>
        <w:outlineLvl w:val="0"/>
        <w:rPr>
          <w:rFonts w:ascii="宋体" w:hAnsi="宋体" w:cs="宋体"/>
          <w:bCs/>
          <w:color w:val="auto"/>
          <w:szCs w:val="21"/>
        </w:rPr>
      </w:pPr>
      <w:r>
        <w:rPr>
          <w:rFonts w:hint="eastAsia" w:ascii="宋体" w:hAnsi="宋体" w:cs="宋体"/>
          <w:bCs/>
          <w:color w:val="auto"/>
          <w:szCs w:val="21"/>
        </w:rPr>
        <w:t>3、本表格“审查意见”栏默认“√”视为合格标示，“×”视为不合格标示。</w:t>
      </w:r>
    </w:p>
    <w:p w14:paraId="729A7225">
      <w:pPr>
        <w:snapToGrid w:val="0"/>
        <w:spacing w:line="360" w:lineRule="auto"/>
        <w:ind w:firstLine="211" w:firstLineChars="100"/>
        <w:jc w:val="left"/>
        <w:rPr>
          <w:rFonts w:ascii="宋体" w:hAnsi="宋体" w:cs="宋体"/>
          <w:b/>
          <w:color w:val="auto"/>
          <w:szCs w:val="21"/>
        </w:rPr>
      </w:pPr>
      <w:r>
        <w:rPr>
          <w:rFonts w:hint="eastAsia" w:ascii="宋体" w:hAnsi="宋体" w:cs="宋体"/>
          <w:b/>
          <w:color w:val="auto"/>
          <w:szCs w:val="21"/>
        </w:rPr>
        <w:t>（一）资格审查表</w:t>
      </w:r>
    </w:p>
    <w:tbl>
      <w:tblPr>
        <w:tblStyle w:val="16"/>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1"/>
        <w:gridCol w:w="4650"/>
        <w:gridCol w:w="2130"/>
        <w:gridCol w:w="975"/>
      </w:tblGrid>
      <w:tr w14:paraId="5524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trPr>
        <w:tc>
          <w:tcPr>
            <w:tcW w:w="561" w:type="dxa"/>
            <w:tcBorders>
              <w:top w:val="single" w:color="auto" w:sz="4" w:space="0"/>
              <w:left w:val="single" w:color="auto" w:sz="4" w:space="0"/>
              <w:bottom w:val="single" w:color="auto" w:sz="4" w:space="0"/>
              <w:right w:val="single" w:color="auto" w:sz="4" w:space="0"/>
            </w:tcBorders>
            <w:noWrap/>
            <w:vAlign w:val="center"/>
          </w:tcPr>
          <w:p w14:paraId="7B8D528F">
            <w:pPr>
              <w:snapToGrid w:val="0"/>
              <w:spacing w:line="360" w:lineRule="auto"/>
              <w:jc w:val="center"/>
              <w:rPr>
                <w:rFonts w:ascii="宋体" w:hAnsi="宋体" w:cs="宋体"/>
                <w:b/>
                <w:color w:val="auto"/>
                <w:szCs w:val="21"/>
              </w:rPr>
            </w:pPr>
            <w:r>
              <w:rPr>
                <w:rFonts w:hint="eastAsia" w:ascii="宋体" w:hAnsi="宋体" w:cs="宋体"/>
                <w:b/>
                <w:color w:val="auto"/>
                <w:szCs w:val="21"/>
              </w:rPr>
              <w:t>序号</w:t>
            </w:r>
          </w:p>
        </w:tc>
        <w:tc>
          <w:tcPr>
            <w:tcW w:w="4650" w:type="dxa"/>
            <w:tcBorders>
              <w:top w:val="single" w:color="auto" w:sz="4" w:space="0"/>
              <w:left w:val="single" w:color="auto" w:sz="4" w:space="0"/>
              <w:bottom w:val="single" w:color="auto" w:sz="4" w:space="0"/>
              <w:right w:val="single" w:color="auto" w:sz="4" w:space="0"/>
            </w:tcBorders>
            <w:noWrap/>
            <w:vAlign w:val="center"/>
          </w:tcPr>
          <w:p w14:paraId="0884FA47">
            <w:pPr>
              <w:snapToGrid w:val="0"/>
              <w:spacing w:line="360" w:lineRule="auto"/>
              <w:jc w:val="center"/>
              <w:rPr>
                <w:rFonts w:ascii="宋体" w:hAnsi="宋体" w:cs="宋体"/>
                <w:b/>
                <w:color w:val="auto"/>
                <w:szCs w:val="21"/>
              </w:rPr>
            </w:pPr>
            <w:r>
              <w:rPr>
                <w:rFonts w:hint="eastAsia" w:ascii="宋体" w:hAnsi="宋体" w:cs="宋体"/>
                <w:b/>
                <w:color w:val="auto"/>
                <w:szCs w:val="21"/>
              </w:rPr>
              <w:t>资格审查内容</w:t>
            </w:r>
          </w:p>
        </w:tc>
        <w:tc>
          <w:tcPr>
            <w:tcW w:w="2130" w:type="dxa"/>
            <w:tcBorders>
              <w:top w:val="single" w:color="auto" w:sz="4" w:space="0"/>
              <w:left w:val="single" w:color="auto" w:sz="4" w:space="0"/>
              <w:bottom w:val="single" w:color="auto" w:sz="4" w:space="0"/>
              <w:right w:val="single" w:color="auto" w:sz="4" w:space="0"/>
            </w:tcBorders>
            <w:noWrap/>
            <w:vAlign w:val="center"/>
          </w:tcPr>
          <w:p w14:paraId="32DC24BC">
            <w:pPr>
              <w:snapToGrid w:val="0"/>
              <w:spacing w:line="360" w:lineRule="auto"/>
              <w:jc w:val="center"/>
              <w:rPr>
                <w:rFonts w:ascii="宋体" w:hAnsi="宋体" w:cs="宋体"/>
                <w:b/>
                <w:color w:val="auto"/>
                <w:szCs w:val="21"/>
              </w:rPr>
            </w:pPr>
            <w:r>
              <w:rPr>
                <w:rFonts w:hint="eastAsia" w:ascii="宋体" w:hAnsi="宋体" w:cs="宋体"/>
                <w:b/>
                <w:color w:val="auto"/>
                <w:szCs w:val="21"/>
              </w:rPr>
              <w:t>审查标准</w:t>
            </w:r>
          </w:p>
        </w:tc>
        <w:tc>
          <w:tcPr>
            <w:tcW w:w="975" w:type="dxa"/>
            <w:tcBorders>
              <w:top w:val="single" w:color="auto" w:sz="4" w:space="0"/>
              <w:left w:val="single" w:color="auto" w:sz="4" w:space="0"/>
              <w:bottom w:val="single" w:color="auto" w:sz="4" w:space="0"/>
              <w:right w:val="single" w:color="auto" w:sz="4" w:space="0"/>
            </w:tcBorders>
            <w:noWrap/>
            <w:vAlign w:val="center"/>
          </w:tcPr>
          <w:p w14:paraId="463BA10E">
            <w:pPr>
              <w:snapToGrid w:val="0"/>
              <w:spacing w:line="360" w:lineRule="auto"/>
              <w:jc w:val="center"/>
              <w:rPr>
                <w:rFonts w:ascii="宋体" w:hAnsi="宋体" w:cs="宋体"/>
                <w:b/>
                <w:color w:val="auto"/>
                <w:szCs w:val="21"/>
              </w:rPr>
            </w:pPr>
            <w:r>
              <w:rPr>
                <w:rFonts w:hint="eastAsia" w:ascii="宋体" w:hAnsi="宋体" w:cs="宋体"/>
                <w:b/>
                <w:color w:val="auto"/>
                <w:szCs w:val="21"/>
              </w:rPr>
              <w:t>审查意见</w:t>
            </w:r>
          </w:p>
        </w:tc>
      </w:tr>
      <w:tr w14:paraId="399A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386146FF">
            <w:pPr>
              <w:snapToGrid w:val="0"/>
              <w:spacing w:line="360" w:lineRule="auto"/>
              <w:jc w:val="center"/>
              <w:rPr>
                <w:rFonts w:ascii="宋体" w:hAnsi="宋体" w:cs="宋体"/>
                <w:bCs/>
                <w:color w:val="auto"/>
                <w:szCs w:val="21"/>
              </w:rPr>
            </w:pPr>
            <w:r>
              <w:rPr>
                <w:rFonts w:hint="eastAsia" w:ascii="宋体" w:hAnsi="宋体" w:cs="宋体"/>
                <w:bCs/>
                <w:color w:val="auto"/>
                <w:szCs w:val="21"/>
              </w:rPr>
              <w:t>1</w:t>
            </w:r>
          </w:p>
        </w:tc>
        <w:tc>
          <w:tcPr>
            <w:tcW w:w="4650" w:type="dxa"/>
            <w:tcBorders>
              <w:top w:val="single" w:color="auto" w:sz="4" w:space="0"/>
              <w:left w:val="single" w:color="auto" w:sz="4" w:space="0"/>
              <w:bottom w:val="single" w:color="auto" w:sz="4" w:space="0"/>
              <w:right w:val="single" w:color="auto" w:sz="4" w:space="0"/>
            </w:tcBorders>
            <w:noWrap/>
            <w:vAlign w:val="center"/>
          </w:tcPr>
          <w:p w14:paraId="583CB649">
            <w:pPr>
              <w:snapToGrid w:val="0"/>
              <w:spacing w:line="360" w:lineRule="auto"/>
              <w:jc w:val="left"/>
              <w:rPr>
                <w:rFonts w:ascii="宋体" w:hAnsi="宋体" w:cs="宋体"/>
                <w:bCs/>
                <w:color w:val="auto"/>
                <w:szCs w:val="21"/>
              </w:rPr>
            </w:pPr>
            <w:r>
              <w:rPr>
                <w:rFonts w:hint="eastAsia" w:ascii="宋体" w:hAnsi="宋体" w:cs="宋体"/>
                <w:bCs/>
                <w:color w:val="auto"/>
                <w:szCs w:val="21"/>
              </w:rPr>
              <w:t>具有独立承担民事责任的能力。</w:t>
            </w:r>
          </w:p>
        </w:tc>
        <w:tc>
          <w:tcPr>
            <w:tcW w:w="2130" w:type="dxa"/>
            <w:tcBorders>
              <w:top w:val="single" w:color="auto" w:sz="4" w:space="0"/>
              <w:left w:val="single" w:color="auto" w:sz="4" w:space="0"/>
              <w:bottom w:val="single" w:color="auto" w:sz="4" w:space="0"/>
              <w:right w:val="single" w:color="auto" w:sz="4" w:space="0"/>
            </w:tcBorders>
            <w:noWrap/>
            <w:vAlign w:val="center"/>
          </w:tcPr>
          <w:p w14:paraId="7E5E5668">
            <w:pPr>
              <w:widowControl/>
              <w:snapToGrid w:val="0"/>
              <w:spacing w:line="360" w:lineRule="auto"/>
              <w:jc w:val="left"/>
              <w:rPr>
                <w:rFonts w:ascii="宋体" w:hAnsi="宋体" w:cs="宋体"/>
                <w:bCs/>
                <w:color w:val="auto"/>
                <w:szCs w:val="21"/>
              </w:rPr>
            </w:pPr>
            <w:r>
              <w:rPr>
                <w:rFonts w:hint="eastAsia" w:ascii="宋体" w:hAnsi="宋体" w:cs="宋体"/>
                <w:bCs/>
                <w:color w:val="auto"/>
                <w:szCs w:val="21"/>
              </w:rPr>
              <w:t>提供法人或者其他组织的营业执照或其它证明文件复印件。</w:t>
            </w:r>
          </w:p>
        </w:tc>
        <w:tc>
          <w:tcPr>
            <w:tcW w:w="975" w:type="dxa"/>
            <w:tcBorders>
              <w:top w:val="single" w:color="auto" w:sz="4" w:space="0"/>
              <w:left w:val="single" w:color="auto" w:sz="4" w:space="0"/>
              <w:bottom w:val="single" w:color="auto" w:sz="4" w:space="0"/>
              <w:right w:val="single" w:color="auto" w:sz="4" w:space="0"/>
            </w:tcBorders>
            <w:noWrap/>
            <w:vAlign w:val="center"/>
          </w:tcPr>
          <w:p w14:paraId="1E04D411">
            <w:pPr>
              <w:snapToGrid w:val="0"/>
              <w:spacing w:line="360" w:lineRule="auto"/>
              <w:ind w:firstLine="420" w:firstLineChars="200"/>
              <w:jc w:val="center"/>
              <w:rPr>
                <w:rFonts w:ascii="宋体" w:hAnsi="宋体" w:cs="宋体"/>
                <w:bCs/>
                <w:color w:val="auto"/>
                <w:szCs w:val="21"/>
              </w:rPr>
            </w:pPr>
          </w:p>
        </w:tc>
      </w:tr>
      <w:tr w14:paraId="74B5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72" w:hRule="atLeast"/>
        </w:trPr>
        <w:tc>
          <w:tcPr>
            <w:tcW w:w="561" w:type="dxa"/>
            <w:tcBorders>
              <w:top w:val="single" w:color="auto" w:sz="4" w:space="0"/>
              <w:left w:val="single" w:color="auto" w:sz="4" w:space="0"/>
              <w:right w:val="single" w:color="auto" w:sz="4" w:space="0"/>
            </w:tcBorders>
            <w:noWrap/>
            <w:vAlign w:val="center"/>
          </w:tcPr>
          <w:p w14:paraId="058FD683">
            <w:pPr>
              <w:snapToGrid w:val="0"/>
              <w:spacing w:line="360" w:lineRule="auto"/>
              <w:jc w:val="center"/>
              <w:rPr>
                <w:rFonts w:ascii="宋体" w:hAnsi="宋体" w:cs="宋体"/>
                <w:bCs/>
                <w:color w:val="auto"/>
                <w:kern w:val="0"/>
                <w:szCs w:val="21"/>
              </w:rPr>
            </w:pPr>
            <w:r>
              <w:rPr>
                <w:rFonts w:hint="eastAsia" w:ascii="宋体" w:hAnsi="宋体" w:cs="宋体"/>
                <w:bCs/>
                <w:color w:val="auto"/>
                <w:kern w:val="0"/>
                <w:szCs w:val="21"/>
              </w:rPr>
              <w:t>2</w:t>
            </w:r>
          </w:p>
        </w:tc>
        <w:tc>
          <w:tcPr>
            <w:tcW w:w="4650" w:type="dxa"/>
            <w:tcBorders>
              <w:top w:val="single" w:color="auto" w:sz="4" w:space="0"/>
              <w:left w:val="single" w:color="auto" w:sz="4" w:space="0"/>
              <w:right w:val="single" w:color="auto" w:sz="4" w:space="0"/>
            </w:tcBorders>
            <w:noWrap/>
            <w:vAlign w:val="center"/>
          </w:tcPr>
          <w:p w14:paraId="5EB42641">
            <w:pPr>
              <w:snapToGrid w:val="0"/>
              <w:spacing w:line="360" w:lineRule="auto"/>
              <w:jc w:val="left"/>
              <w:rPr>
                <w:rFonts w:ascii="宋体" w:hAnsi="宋体" w:cs="宋体"/>
                <w:bCs/>
                <w:color w:val="auto"/>
                <w:kern w:val="0"/>
                <w:szCs w:val="21"/>
                <w:lang w:val="zh-CN"/>
              </w:rPr>
            </w:pPr>
            <w:r>
              <w:rPr>
                <w:rFonts w:hint="eastAsia" w:ascii="宋体" w:hAnsi="宋体" w:cs="宋体"/>
                <w:bCs/>
                <w:color w:val="auto"/>
                <w:kern w:val="0"/>
                <w:szCs w:val="21"/>
                <w:lang w:val="zh-CN"/>
              </w:rPr>
              <w:t>具有良好的商业信誉和健全的财务会计制度。</w:t>
            </w:r>
          </w:p>
        </w:tc>
        <w:tc>
          <w:tcPr>
            <w:tcW w:w="2130" w:type="dxa"/>
            <w:tcBorders>
              <w:top w:val="single" w:color="auto" w:sz="4" w:space="0"/>
              <w:left w:val="single" w:color="auto" w:sz="4" w:space="0"/>
              <w:right w:val="single" w:color="auto" w:sz="4" w:space="0"/>
            </w:tcBorders>
            <w:noWrap/>
            <w:vAlign w:val="center"/>
          </w:tcPr>
          <w:p w14:paraId="1EF5B408">
            <w:pPr>
              <w:snapToGrid w:val="0"/>
              <w:spacing w:line="360" w:lineRule="auto"/>
              <w:jc w:val="left"/>
              <w:rPr>
                <w:rFonts w:ascii="宋体" w:hAnsi="宋体" w:cs="宋体"/>
                <w:bCs/>
                <w:color w:val="auto"/>
                <w:kern w:val="0"/>
                <w:szCs w:val="21"/>
                <w:lang w:val="zh-CN"/>
              </w:rPr>
            </w:pPr>
            <w:r>
              <w:rPr>
                <w:rFonts w:hint="eastAsia" w:ascii="宋体" w:hAnsi="宋体" w:cs="宋体"/>
                <w:bCs/>
                <w:color w:val="auto"/>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6CD5F652">
            <w:pPr>
              <w:snapToGrid w:val="0"/>
              <w:spacing w:line="360" w:lineRule="auto"/>
              <w:ind w:firstLine="420" w:firstLineChars="200"/>
              <w:jc w:val="center"/>
              <w:rPr>
                <w:rFonts w:ascii="宋体" w:hAnsi="宋体" w:cs="宋体"/>
                <w:bCs/>
                <w:color w:val="auto"/>
                <w:szCs w:val="21"/>
              </w:rPr>
            </w:pPr>
          </w:p>
        </w:tc>
      </w:tr>
      <w:tr w14:paraId="14DF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29135593">
            <w:pPr>
              <w:snapToGrid w:val="0"/>
              <w:spacing w:line="360" w:lineRule="auto"/>
              <w:jc w:val="center"/>
              <w:rPr>
                <w:rFonts w:ascii="宋体" w:hAnsi="宋体" w:cs="宋体"/>
                <w:bCs/>
                <w:color w:val="auto"/>
                <w:szCs w:val="21"/>
              </w:rPr>
            </w:pPr>
            <w:r>
              <w:rPr>
                <w:rFonts w:hint="eastAsia" w:ascii="宋体" w:hAnsi="宋体" w:cs="宋体"/>
                <w:bCs/>
                <w:color w:val="auto"/>
                <w:szCs w:val="21"/>
              </w:rPr>
              <w:t>3</w:t>
            </w:r>
          </w:p>
        </w:tc>
        <w:tc>
          <w:tcPr>
            <w:tcW w:w="4650" w:type="dxa"/>
            <w:tcBorders>
              <w:top w:val="single" w:color="auto" w:sz="4" w:space="0"/>
              <w:left w:val="single" w:color="auto" w:sz="4" w:space="0"/>
              <w:bottom w:val="single" w:color="auto" w:sz="4" w:space="0"/>
              <w:right w:val="single" w:color="auto" w:sz="4" w:space="0"/>
            </w:tcBorders>
            <w:noWrap/>
            <w:vAlign w:val="center"/>
          </w:tcPr>
          <w:p w14:paraId="3B5B5819">
            <w:pPr>
              <w:pStyle w:val="6"/>
              <w:spacing w:line="360" w:lineRule="auto"/>
              <w:rPr>
                <w:rFonts w:ascii="宋体" w:hAnsi="宋体" w:cs="宋体"/>
                <w:bCs/>
                <w:color w:val="auto"/>
                <w:szCs w:val="21"/>
                <w:lang w:val="zh-CN"/>
              </w:rPr>
            </w:pPr>
            <w:r>
              <w:rPr>
                <w:rFonts w:hint="eastAsia" w:ascii="宋体" w:hAnsi="宋体" w:cs="宋体"/>
                <w:bCs/>
                <w:color w:val="auto"/>
                <w:szCs w:val="21"/>
                <w:lang w:val="zh-CN"/>
              </w:rPr>
              <w:t>有依法缴纳税收和社会保障资金的良好记录。</w:t>
            </w:r>
          </w:p>
        </w:tc>
        <w:tc>
          <w:tcPr>
            <w:tcW w:w="2130" w:type="dxa"/>
            <w:tcBorders>
              <w:top w:val="single" w:color="auto" w:sz="4" w:space="0"/>
              <w:left w:val="single" w:color="auto" w:sz="4" w:space="0"/>
              <w:bottom w:val="single" w:color="auto" w:sz="4" w:space="0"/>
              <w:right w:val="single" w:color="auto" w:sz="4" w:space="0"/>
            </w:tcBorders>
            <w:noWrap/>
            <w:vAlign w:val="center"/>
          </w:tcPr>
          <w:p w14:paraId="74D18A08">
            <w:pPr>
              <w:pStyle w:val="6"/>
              <w:spacing w:line="360" w:lineRule="auto"/>
              <w:rPr>
                <w:rFonts w:ascii="宋体" w:hAnsi="宋体" w:cs="宋体"/>
                <w:bCs/>
                <w:color w:val="auto"/>
                <w:szCs w:val="21"/>
                <w:lang w:val="zh-CN"/>
              </w:rPr>
            </w:pPr>
            <w:r>
              <w:rPr>
                <w:rFonts w:hint="eastAsia" w:ascii="宋体" w:hAnsi="宋体" w:cs="宋体"/>
                <w:bCs/>
                <w:color w:val="auto"/>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012F0642">
            <w:pPr>
              <w:snapToGrid w:val="0"/>
              <w:spacing w:line="360" w:lineRule="auto"/>
              <w:ind w:firstLine="420" w:firstLineChars="200"/>
              <w:jc w:val="center"/>
              <w:rPr>
                <w:rFonts w:ascii="宋体" w:hAnsi="宋体" w:cs="宋体"/>
                <w:bCs/>
                <w:color w:val="auto"/>
                <w:szCs w:val="21"/>
              </w:rPr>
            </w:pPr>
          </w:p>
        </w:tc>
      </w:tr>
      <w:tr w14:paraId="378A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3"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1862EE7B">
            <w:pPr>
              <w:snapToGrid w:val="0"/>
              <w:spacing w:line="360" w:lineRule="auto"/>
              <w:jc w:val="center"/>
              <w:rPr>
                <w:rFonts w:ascii="宋体" w:hAnsi="宋体" w:cs="宋体"/>
                <w:bCs/>
                <w:color w:val="auto"/>
                <w:szCs w:val="21"/>
              </w:rPr>
            </w:pPr>
            <w:r>
              <w:rPr>
                <w:rFonts w:hint="eastAsia" w:ascii="宋体" w:hAnsi="宋体" w:cs="宋体"/>
                <w:bCs/>
                <w:color w:val="auto"/>
                <w:szCs w:val="21"/>
              </w:rPr>
              <w:t>4</w:t>
            </w:r>
          </w:p>
        </w:tc>
        <w:tc>
          <w:tcPr>
            <w:tcW w:w="4650" w:type="dxa"/>
            <w:tcBorders>
              <w:top w:val="single" w:color="auto" w:sz="4" w:space="0"/>
              <w:left w:val="single" w:color="auto" w:sz="4" w:space="0"/>
              <w:bottom w:val="single" w:color="auto" w:sz="4" w:space="0"/>
              <w:right w:val="single" w:color="auto" w:sz="4" w:space="0"/>
            </w:tcBorders>
            <w:noWrap/>
            <w:vAlign w:val="center"/>
          </w:tcPr>
          <w:p w14:paraId="71E79E1D">
            <w:pPr>
              <w:pStyle w:val="6"/>
              <w:snapToGrid w:val="0"/>
              <w:spacing w:line="360" w:lineRule="auto"/>
              <w:jc w:val="both"/>
              <w:rPr>
                <w:rFonts w:ascii="宋体" w:hAnsi="宋体" w:cs="宋体"/>
                <w:bCs/>
                <w:color w:val="auto"/>
                <w:szCs w:val="21"/>
              </w:rPr>
            </w:pPr>
            <w:r>
              <w:rPr>
                <w:rFonts w:hint="eastAsia" w:ascii="宋体" w:hAnsi="宋体" w:cs="宋体"/>
                <w:bCs/>
                <w:color w:val="auto"/>
                <w:szCs w:val="21"/>
              </w:rPr>
              <w:t>参加政府采购活动前三年内，在经营活动中没有重大违法记录</w:t>
            </w:r>
          </w:p>
        </w:tc>
        <w:tc>
          <w:tcPr>
            <w:tcW w:w="2130" w:type="dxa"/>
            <w:tcBorders>
              <w:top w:val="single" w:color="auto" w:sz="4" w:space="0"/>
              <w:left w:val="single" w:color="auto" w:sz="4" w:space="0"/>
              <w:bottom w:val="single" w:color="auto" w:sz="4" w:space="0"/>
              <w:right w:val="single" w:color="auto" w:sz="4" w:space="0"/>
            </w:tcBorders>
            <w:noWrap/>
            <w:vAlign w:val="center"/>
          </w:tcPr>
          <w:p w14:paraId="4C60E264">
            <w:pPr>
              <w:pStyle w:val="6"/>
              <w:snapToGrid w:val="0"/>
              <w:spacing w:line="360" w:lineRule="auto"/>
              <w:rPr>
                <w:rFonts w:ascii="宋体" w:hAnsi="宋体" w:cs="宋体"/>
                <w:bCs/>
                <w:color w:val="auto"/>
                <w:szCs w:val="21"/>
              </w:rPr>
            </w:pPr>
            <w:r>
              <w:rPr>
                <w:rFonts w:hint="eastAsia" w:ascii="宋体" w:hAnsi="宋体" w:cs="宋体"/>
                <w:bCs/>
                <w:color w:val="auto"/>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20594712">
            <w:pPr>
              <w:snapToGrid w:val="0"/>
              <w:spacing w:line="360" w:lineRule="auto"/>
              <w:ind w:firstLine="420" w:firstLineChars="200"/>
              <w:jc w:val="center"/>
              <w:rPr>
                <w:rFonts w:ascii="宋体" w:hAnsi="宋体" w:cs="宋体"/>
                <w:bCs/>
                <w:color w:val="auto"/>
                <w:szCs w:val="21"/>
              </w:rPr>
            </w:pPr>
          </w:p>
        </w:tc>
      </w:tr>
      <w:tr w14:paraId="13E7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523C4028">
            <w:pPr>
              <w:snapToGrid w:val="0"/>
              <w:spacing w:line="360" w:lineRule="auto"/>
              <w:jc w:val="center"/>
              <w:rPr>
                <w:rFonts w:ascii="宋体" w:hAnsi="宋体" w:cs="宋体"/>
                <w:bCs/>
                <w:color w:val="auto"/>
                <w:szCs w:val="21"/>
              </w:rPr>
            </w:pPr>
            <w:r>
              <w:rPr>
                <w:rFonts w:hint="eastAsia" w:ascii="宋体" w:hAnsi="宋体" w:cs="宋体"/>
                <w:bCs/>
                <w:color w:val="auto"/>
                <w:szCs w:val="21"/>
              </w:rPr>
              <w:t>5</w:t>
            </w:r>
          </w:p>
        </w:tc>
        <w:tc>
          <w:tcPr>
            <w:tcW w:w="4650" w:type="dxa"/>
            <w:tcBorders>
              <w:top w:val="single" w:color="auto" w:sz="4" w:space="0"/>
              <w:left w:val="single" w:color="auto" w:sz="4" w:space="0"/>
              <w:bottom w:val="single" w:color="auto" w:sz="4" w:space="0"/>
              <w:right w:val="single" w:color="auto" w:sz="4" w:space="0"/>
            </w:tcBorders>
            <w:noWrap/>
            <w:vAlign w:val="center"/>
          </w:tcPr>
          <w:p w14:paraId="6ABB4ADF">
            <w:pPr>
              <w:pStyle w:val="6"/>
              <w:snapToGrid w:val="0"/>
              <w:spacing w:line="360" w:lineRule="auto"/>
              <w:jc w:val="both"/>
              <w:rPr>
                <w:rFonts w:ascii="宋体" w:hAnsi="宋体" w:cs="宋体"/>
                <w:bCs/>
                <w:color w:val="auto"/>
                <w:szCs w:val="21"/>
              </w:rPr>
            </w:pPr>
            <w:r>
              <w:rPr>
                <w:rFonts w:hint="eastAsia" w:ascii="宋体" w:hAnsi="宋体" w:cs="宋体"/>
                <w:bCs/>
                <w:color w:val="auto"/>
                <w:szCs w:val="21"/>
              </w:rPr>
              <w:t>供应商未被列入“信用中国”网站(www.creditchina.gov.cn)“记录失信被执行人或重大税收违法案件当事人名单；不处于中国政府采购网(www.ccgp.gov.cn)“政府采购严重违法失信行为信息记录”中的禁止参加政府采购活动期间。</w:t>
            </w:r>
          </w:p>
        </w:tc>
        <w:tc>
          <w:tcPr>
            <w:tcW w:w="2130" w:type="dxa"/>
            <w:tcBorders>
              <w:top w:val="single" w:color="auto" w:sz="4" w:space="0"/>
              <w:left w:val="single" w:color="auto" w:sz="4" w:space="0"/>
              <w:bottom w:val="single" w:color="auto" w:sz="4" w:space="0"/>
              <w:right w:val="single" w:color="auto" w:sz="4" w:space="0"/>
            </w:tcBorders>
            <w:noWrap/>
            <w:vAlign w:val="center"/>
          </w:tcPr>
          <w:p w14:paraId="4C3F05A7">
            <w:pPr>
              <w:pStyle w:val="6"/>
              <w:snapToGrid w:val="0"/>
              <w:spacing w:line="360" w:lineRule="auto"/>
              <w:rPr>
                <w:rFonts w:ascii="宋体" w:hAnsi="宋体" w:cs="宋体"/>
                <w:bCs/>
                <w:color w:val="auto"/>
                <w:szCs w:val="21"/>
              </w:rPr>
            </w:pPr>
            <w:r>
              <w:rPr>
                <w:rFonts w:hint="eastAsia" w:ascii="宋体" w:hAnsi="宋体" w:cs="宋体"/>
                <w:bCs/>
                <w:color w:val="auto"/>
                <w:kern w:val="0"/>
                <w:szCs w:val="21"/>
                <w:lang w:val="zh-CN"/>
              </w:rPr>
              <w:t>提供“信用中国”、“中国政府采购网网站”截图。</w:t>
            </w:r>
          </w:p>
        </w:tc>
        <w:tc>
          <w:tcPr>
            <w:tcW w:w="975" w:type="dxa"/>
            <w:tcBorders>
              <w:top w:val="single" w:color="auto" w:sz="4" w:space="0"/>
              <w:left w:val="single" w:color="auto" w:sz="4" w:space="0"/>
              <w:bottom w:val="single" w:color="auto" w:sz="4" w:space="0"/>
              <w:right w:val="single" w:color="auto" w:sz="4" w:space="0"/>
            </w:tcBorders>
            <w:noWrap/>
            <w:vAlign w:val="center"/>
          </w:tcPr>
          <w:p w14:paraId="0015DB6F">
            <w:pPr>
              <w:snapToGrid w:val="0"/>
              <w:spacing w:line="360" w:lineRule="auto"/>
              <w:ind w:firstLine="420" w:firstLineChars="200"/>
              <w:jc w:val="center"/>
              <w:rPr>
                <w:rFonts w:ascii="宋体" w:hAnsi="宋体" w:cs="宋体"/>
                <w:bCs/>
                <w:color w:val="auto"/>
                <w:szCs w:val="21"/>
              </w:rPr>
            </w:pPr>
          </w:p>
        </w:tc>
      </w:tr>
      <w:tr w14:paraId="3AED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74BA698B">
            <w:pPr>
              <w:snapToGrid w:val="0"/>
              <w:spacing w:line="360" w:lineRule="auto"/>
              <w:jc w:val="center"/>
              <w:rPr>
                <w:rFonts w:ascii="宋体" w:hAnsi="宋体" w:cs="宋体"/>
                <w:bCs/>
                <w:color w:val="auto"/>
                <w:szCs w:val="21"/>
              </w:rPr>
            </w:pPr>
            <w:r>
              <w:rPr>
                <w:rFonts w:hint="eastAsia" w:ascii="宋体" w:hAnsi="宋体" w:cs="宋体"/>
                <w:bCs/>
                <w:color w:val="auto"/>
                <w:szCs w:val="21"/>
              </w:rPr>
              <w:t>6</w:t>
            </w:r>
          </w:p>
        </w:tc>
        <w:tc>
          <w:tcPr>
            <w:tcW w:w="4650" w:type="dxa"/>
            <w:tcBorders>
              <w:top w:val="single" w:color="auto" w:sz="4" w:space="0"/>
              <w:left w:val="single" w:color="auto" w:sz="4" w:space="0"/>
              <w:bottom w:val="single" w:color="auto" w:sz="4" w:space="0"/>
              <w:right w:val="single" w:color="auto" w:sz="4" w:space="0"/>
            </w:tcBorders>
            <w:noWrap/>
            <w:vAlign w:val="center"/>
          </w:tcPr>
          <w:p w14:paraId="7CF503CB">
            <w:pPr>
              <w:pStyle w:val="6"/>
              <w:snapToGrid w:val="0"/>
              <w:spacing w:line="360" w:lineRule="auto"/>
              <w:jc w:val="both"/>
              <w:rPr>
                <w:rFonts w:ascii="宋体" w:hAnsi="宋体" w:cs="宋体"/>
                <w:bCs/>
                <w:color w:val="auto"/>
                <w:szCs w:val="21"/>
              </w:rPr>
            </w:pPr>
            <w:r>
              <w:rPr>
                <w:rFonts w:hint="eastAsia" w:ascii="宋体" w:hAnsi="宋体" w:cs="宋体"/>
                <w:bCs/>
                <w:color w:val="auto"/>
                <w:szCs w:val="21"/>
              </w:rPr>
              <w:t>中小企业</w:t>
            </w:r>
          </w:p>
        </w:tc>
        <w:tc>
          <w:tcPr>
            <w:tcW w:w="2130" w:type="dxa"/>
            <w:tcBorders>
              <w:top w:val="single" w:color="auto" w:sz="4" w:space="0"/>
              <w:left w:val="single" w:color="auto" w:sz="4" w:space="0"/>
              <w:bottom w:val="single" w:color="auto" w:sz="4" w:space="0"/>
              <w:right w:val="single" w:color="auto" w:sz="4" w:space="0"/>
            </w:tcBorders>
            <w:noWrap/>
            <w:vAlign w:val="center"/>
          </w:tcPr>
          <w:p w14:paraId="05AAF8B0">
            <w:pPr>
              <w:pStyle w:val="6"/>
              <w:snapToGrid w:val="0"/>
              <w:spacing w:line="360" w:lineRule="auto"/>
              <w:rPr>
                <w:rFonts w:ascii="宋体" w:hAnsi="宋体" w:cs="宋体"/>
                <w:bCs/>
                <w:color w:val="auto"/>
                <w:kern w:val="0"/>
                <w:szCs w:val="21"/>
              </w:rPr>
            </w:pPr>
            <w:r>
              <w:rPr>
                <w:rFonts w:hint="eastAsia" w:ascii="宋体" w:hAnsi="宋体" w:cs="宋体"/>
                <w:bCs/>
                <w:color w:val="auto"/>
                <w:kern w:val="0"/>
                <w:szCs w:val="21"/>
              </w:rPr>
              <w:t>提供中小企业声明函</w:t>
            </w:r>
          </w:p>
        </w:tc>
        <w:tc>
          <w:tcPr>
            <w:tcW w:w="975" w:type="dxa"/>
            <w:tcBorders>
              <w:top w:val="single" w:color="auto" w:sz="4" w:space="0"/>
              <w:left w:val="single" w:color="auto" w:sz="4" w:space="0"/>
              <w:bottom w:val="single" w:color="auto" w:sz="4" w:space="0"/>
              <w:right w:val="single" w:color="auto" w:sz="4" w:space="0"/>
            </w:tcBorders>
            <w:noWrap/>
            <w:vAlign w:val="center"/>
          </w:tcPr>
          <w:p w14:paraId="65BFEC15">
            <w:pPr>
              <w:snapToGrid w:val="0"/>
              <w:spacing w:line="360" w:lineRule="auto"/>
              <w:ind w:firstLine="420" w:firstLineChars="200"/>
              <w:jc w:val="center"/>
              <w:rPr>
                <w:rFonts w:ascii="宋体" w:hAnsi="宋体" w:cs="宋体"/>
                <w:bCs/>
                <w:color w:val="auto"/>
                <w:szCs w:val="21"/>
              </w:rPr>
            </w:pPr>
          </w:p>
        </w:tc>
      </w:tr>
    </w:tbl>
    <w:p w14:paraId="1D82F304">
      <w:pPr>
        <w:adjustRightInd w:val="0"/>
        <w:snapToGrid w:val="0"/>
        <w:spacing w:line="360" w:lineRule="auto"/>
        <w:rPr>
          <w:rFonts w:asciiTheme="minorEastAsia" w:hAnsiTheme="minorEastAsia" w:eastAsiaTheme="minorEastAsia" w:cstheme="minorEastAsia"/>
          <w:b/>
          <w:color w:val="auto"/>
          <w:szCs w:val="21"/>
        </w:rPr>
      </w:pPr>
    </w:p>
    <w:p w14:paraId="4ED781F6">
      <w:pPr>
        <w:adjustRightInd w:val="0"/>
        <w:snapToGrid w:val="0"/>
        <w:spacing w:line="360" w:lineRule="auto"/>
        <w:rPr>
          <w:rFonts w:asciiTheme="minorEastAsia" w:hAnsiTheme="minorEastAsia" w:eastAsiaTheme="minorEastAsia" w:cstheme="minorEastAsia"/>
          <w:b/>
          <w:color w:val="auto"/>
          <w:szCs w:val="21"/>
        </w:rPr>
      </w:pPr>
    </w:p>
    <w:p w14:paraId="1E7BF4EF">
      <w:pPr>
        <w:adjustRightInd w:val="0"/>
        <w:snapToGrid w:val="0"/>
        <w:spacing w:line="360" w:lineRule="auto"/>
        <w:rPr>
          <w:rFonts w:asciiTheme="minorEastAsia" w:hAnsiTheme="minorEastAsia" w:eastAsiaTheme="minorEastAsia" w:cstheme="minorEastAsia"/>
          <w:b/>
          <w:color w:val="auto"/>
          <w:szCs w:val="21"/>
        </w:rPr>
      </w:pPr>
    </w:p>
    <w:p w14:paraId="1DD94165">
      <w:pPr>
        <w:adjustRightInd w:val="0"/>
        <w:snapToGrid w:val="0"/>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（二）符合性审查表</w:t>
      </w:r>
    </w:p>
    <w:tbl>
      <w:tblPr>
        <w:tblStyle w:val="16"/>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6"/>
        <w:gridCol w:w="4260"/>
        <w:gridCol w:w="2535"/>
        <w:gridCol w:w="984"/>
      </w:tblGrid>
      <w:tr w14:paraId="4CCF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tblHeader/>
        </w:trPr>
        <w:tc>
          <w:tcPr>
            <w:tcW w:w="576" w:type="dxa"/>
            <w:tcBorders>
              <w:top w:val="single" w:color="auto" w:sz="4" w:space="0"/>
              <w:left w:val="single" w:color="auto" w:sz="4" w:space="0"/>
              <w:bottom w:val="single" w:color="auto" w:sz="4" w:space="0"/>
              <w:right w:val="single" w:color="auto" w:sz="4" w:space="0"/>
            </w:tcBorders>
            <w:noWrap/>
            <w:vAlign w:val="center"/>
          </w:tcPr>
          <w:p w14:paraId="741DCDA9">
            <w:pPr>
              <w:adjustRightInd w:val="0"/>
              <w:snapToGrid w:val="0"/>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序号</w:t>
            </w:r>
          </w:p>
        </w:tc>
        <w:tc>
          <w:tcPr>
            <w:tcW w:w="4260" w:type="dxa"/>
            <w:tcBorders>
              <w:top w:val="single" w:color="auto" w:sz="4" w:space="0"/>
              <w:left w:val="single" w:color="auto" w:sz="4" w:space="0"/>
              <w:bottom w:val="single" w:color="auto" w:sz="4" w:space="0"/>
              <w:right w:val="single" w:color="auto" w:sz="4" w:space="0"/>
            </w:tcBorders>
            <w:noWrap/>
            <w:vAlign w:val="center"/>
          </w:tcPr>
          <w:p w14:paraId="5F096086">
            <w:pPr>
              <w:adjustRightInd w:val="0"/>
              <w:snapToGrid w:val="0"/>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符合性审查内容</w:t>
            </w:r>
          </w:p>
        </w:tc>
        <w:tc>
          <w:tcPr>
            <w:tcW w:w="2535" w:type="dxa"/>
            <w:tcBorders>
              <w:top w:val="single" w:color="auto" w:sz="4" w:space="0"/>
              <w:left w:val="single" w:color="auto" w:sz="4" w:space="0"/>
              <w:bottom w:val="single" w:color="auto" w:sz="4" w:space="0"/>
              <w:right w:val="single" w:color="auto" w:sz="4" w:space="0"/>
            </w:tcBorders>
            <w:noWrap/>
            <w:vAlign w:val="center"/>
          </w:tcPr>
          <w:p w14:paraId="6B1A6073">
            <w:pPr>
              <w:adjustRightInd w:val="0"/>
              <w:snapToGrid w:val="0"/>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审查标准</w:t>
            </w:r>
          </w:p>
        </w:tc>
        <w:tc>
          <w:tcPr>
            <w:tcW w:w="984" w:type="dxa"/>
            <w:tcBorders>
              <w:top w:val="single" w:color="auto" w:sz="4" w:space="0"/>
              <w:left w:val="single" w:color="auto" w:sz="4" w:space="0"/>
              <w:bottom w:val="single" w:color="auto" w:sz="4" w:space="0"/>
              <w:right w:val="single" w:color="auto" w:sz="4" w:space="0"/>
            </w:tcBorders>
            <w:noWrap/>
            <w:vAlign w:val="center"/>
          </w:tcPr>
          <w:p w14:paraId="0A021E42">
            <w:pPr>
              <w:adjustRightInd w:val="0"/>
              <w:snapToGrid w:val="0"/>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审查意见</w:t>
            </w:r>
          </w:p>
        </w:tc>
      </w:tr>
      <w:tr w14:paraId="10EE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2B21B422">
            <w:pPr>
              <w:adjustRightInd w:val="0"/>
              <w:snapToGrid w:val="0"/>
              <w:spacing w:line="360" w:lineRule="auto"/>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w:t>
            </w:r>
          </w:p>
        </w:tc>
        <w:tc>
          <w:tcPr>
            <w:tcW w:w="4260" w:type="dxa"/>
            <w:tcBorders>
              <w:top w:val="single" w:color="auto" w:sz="4" w:space="0"/>
              <w:left w:val="single" w:color="auto" w:sz="4" w:space="0"/>
              <w:bottom w:val="single" w:color="auto" w:sz="4" w:space="0"/>
              <w:right w:val="single" w:color="auto" w:sz="4" w:space="0"/>
            </w:tcBorders>
            <w:noWrap/>
            <w:vAlign w:val="center"/>
          </w:tcPr>
          <w:p w14:paraId="67DAFE25">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供应商名称。</w:t>
            </w:r>
          </w:p>
        </w:tc>
        <w:tc>
          <w:tcPr>
            <w:tcW w:w="2535" w:type="dxa"/>
            <w:tcBorders>
              <w:top w:val="single" w:color="auto" w:sz="4" w:space="0"/>
              <w:left w:val="single" w:color="auto" w:sz="4" w:space="0"/>
              <w:bottom w:val="single" w:color="auto" w:sz="4" w:space="0"/>
              <w:right w:val="single" w:color="auto" w:sz="4" w:space="0"/>
            </w:tcBorders>
            <w:noWrap/>
            <w:vAlign w:val="center"/>
          </w:tcPr>
          <w:p w14:paraId="4124FAF3">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与营业执照一致。</w:t>
            </w:r>
          </w:p>
        </w:tc>
        <w:tc>
          <w:tcPr>
            <w:tcW w:w="984" w:type="dxa"/>
            <w:tcBorders>
              <w:top w:val="single" w:color="auto" w:sz="4" w:space="0"/>
              <w:left w:val="single" w:color="auto" w:sz="4" w:space="0"/>
              <w:bottom w:val="single" w:color="auto" w:sz="4" w:space="0"/>
              <w:right w:val="single" w:color="auto" w:sz="4" w:space="0"/>
            </w:tcBorders>
            <w:noWrap/>
            <w:vAlign w:val="center"/>
          </w:tcPr>
          <w:p w14:paraId="35EBF22E">
            <w:pPr>
              <w:adjustRightInd w:val="0"/>
              <w:snapToGrid w:val="0"/>
              <w:spacing w:line="360" w:lineRule="auto"/>
              <w:jc w:val="center"/>
              <w:rPr>
                <w:rFonts w:asciiTheme="minorEastAsia" w:hAnsiTheme="minorEastAsia" w:eastAsiaTheme="minorEastAsia" w:cstheme="minorEastAsia"/>
                <w:bCs/>
                <w:color w:val="auto"/>
                <w:szCs w:val="21"/>
              </w:rPr>
            </w:pPr>
          </w:p>
        </w:tc>
      </w:tr>
      <w:tr w14:paraId="5AB2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5F1E7280">
            <w:pPr>
              <w:adjustRightInd w:val="0"/>
              <w:snapToGrid w:val="0"/>
              <w:spacing w:line="360" w:lineRule="auto"/>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w:t>
            </w:r>
          </w:p>
        </w:tc>
        <w:tc>
          <w:tcPr>
            <w:tcW w:w="4260" w:type="dxa"/>
            <w:tcBorders>
              <w:top w:val="single" w:color="auto" w:sz="4" w:space="0"/>
              <w:left w:val="single" w:color="auto" w:sz="4" w:space="0"/>
              <w:bottom w:val="single" w:color="auto" w:sz="4" w:space="0"/>
              <w:right w:val="single" w:color="auto" w:sz="4" w:space="0"/>
            </w:tcBorders>
            <w:noWrap/>
            <w:vAlign w:val="center"/>
          </w:tcPr>
          <w:p w14:paraId="44DC9B2B">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响应文件的有效性、完整性。</w:t>
            </w:r>
          </w:p>
        </w:tc>
        <w:tc>
          <w:tcPr>
            <w:tcW w:w="2535" w:type="dxa"/>
            <w:tcBorders>
              <w:top w:val="single" w:color="auto" w:sz="4" w:space="0"/>
              <w:left w:val="single" w:color="auto" w:sz="4" w:space="0"/>
              <w:bottom w:val="single" w:color="auto" w:sz="4" w:space="0"/>
              <w:right w:val="single" w:color="auto" w:sz="4" w:space="0"/>
            </w:tcBorders>
            <w:noWrap/>
          </w:tcPr>
          <w:p w14:paraId="4CFDB8AE">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响应文件齐全、格式符合采购文件要求，盖公章、签字有效。</w:t>
            </w:r>
          </w:p>
        </w:tc>
        <w:tc>
          <w:tcPr>
            <w:tcW w:w="984" w:type="dxa"/>
            <w:tcBorders>
              <w:top w:val="single" w:color="auto" w:sz="4" w:space="0"/>
              <w:left w:val="single" w:color="auto" w:sz="4" w:space="0"/>
              <w:bottom w:val="single" w:color="auto" w:sz="4" w:space="0"/>
              <w:right w:val="single" w:color="auto" w:sz="4" w:space="0"/>
            </w:tcBorders>
            <w:noWrap/>
            <w:vAlign w:val="center"/>
          </w:tcPr>
          <w:p w14:paraId="0B600E64">
            <w:pPr>
              <w:adjustRightInd w:val="0"/>
              <w:snapToGrid w:val="0"/>
              <w:spacing w:line="360" w:lineRule="auto"/>
              <w:jc w:val="center"/>
              <w:rPr>
                <w:rFonts w:asciiTheme="minorEastAsia" w:hAnsiTheme="minorEastAsia" w:eastAsiaTheme="minorEastAsia" w:cstheme="minorEastAsia"/>
                <w:bCs/>
                <w:color w:val="auto"/>
                <w:szCs w:val="21"/>
              </w:rPr>
            </w:pPr>
          </w:p>
        </w:tc>
      </w:tr>
      <w:tr w14:paraId="1AFF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020B13E9">
            <w:pPr>
              <w:adjustRightInd w:val="0"/>
              <w:snapToGrid w:val="0"/>
              <w:spacing w:line="360" w:lineRule="auto"/>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w:t>
            </w:r>
          </w:p>
        </w:tc>
        <w:tc>
          <w:tcPr>
            <w:tcW w:w="4260" w:type="dxa"/>
            <w:tcBorders>
              <w:top w:val="single" w:color="auto" w:sz="4" w:space="0"/>
              <w:left w:val="single" w:color="auto" w:sz="4" w:space="0"/>
              <w:bottom w:val="single" w:color="auto" w:sz="4" w:space="0"/>
              <w:right w:val="single" w:color="auto" w:sz="4" w:space="0"/>
            </w:tcBorders>
            <w:noWrap/>
            <w:vAlign w:val="center"/>
          </w:tcPr>
          <w:p w14:paraId="4B39DA4B">
            <w:pPr>
              <w:adjustRightInd w:val="0"/>
              <w:snapToGrid w:val="0"/>
              <w:spacing w:line="360" w:lineRule="auto"/>
              <w:rPr>
                <w:rFonts w:asciiTheme="minorEastAsia" w:hAnsiTheme="minorEastAsia" w:cstheme="minorEastAsia"/>
                <w:bCs/>
                <w:color w:val="auto"/>
                <w:szCs w:val="21"/>
              </w:rPr>
            </w:pPr>
            <w:r>
              <w:rPr>
                <w:rFonts w:hint="eastAsia" w:asciiTheme="minorEastAsia" w:hAnsiTheme="minorEastAsia" w:cstheme="minorEastAsia"/>
                <w:bCs/>
                <w:color w:val="auto"/>
                <w:szCs w:val="21"/>
              </w:rPr>
              <w:t>服务期限。</w:t>
            </w:r>
          </w:p>
        </w:tc>
        <w:tc>
          <w:tcPr>
            <w:tcW w:w="2535" w:type="dxa"/>
            <w:tcBorders>
              <w:top w:val="single" w:color="auto" w:sz="4" w:space="0"/>
              <w:left w:val="single" w:color="auto" w:sz="4" w:space="0"/>
              <w:bottom w:val="single" w:color="auto" w:sz="4" w:space="0"/>
              <w:right w:val="single" w:color="auto" w:sz="4" w:space="0"/>
            </w:tcBorders>
            <w:noWrap/>
            <w:vAlign w:val="center"/>
          </w:tcPr>
          <w:p w14:paraId="1BE41501">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01E16E7B">
            <w:pPr>
              <w:adjustRightInd w:val="0"/>
              <w:snapToGrid w:val="0"/>
              <w:spacing w:line="360" w:lineRule="auto"/>
              <w:jc w:val="center"/>
              <w:rPr>
                <w:rFonts w:asciiTheme="minorEastAsia" w:hAnsiTheme="minorEastAsia" w:eastAsiaTheme="minorEastAsia" w:cstheme="minorEastAsia"/>
                <w:bCs/>
                <w:color w:val="auto"/>
                <w:szCs w:val="21"/>
              </w:rPr>
            </w:pPr>
          </w:p>
        </w:tc>
      </w:tr>
      <w:tr w14:paraId="4A14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1B3DF11C">
            <w:pPr>
              <w:adjustRightInd w:val="0"/>
              <w:snapToGrid w:val="0"/>
              <w:spacing w:line="360" w:lineRule="auto"/>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w:t>
            </w:r>
          </w:p>
        </w:tc>
        <w:tc>
          <w:tcPr>
            <w:tcW w:w="4260" w:type="dxa"/>
            <w:tcBorders>
              <w:top w:val="single" w:color="auto" w:sz="4" w:space="0"/>
              <w:left w:val="single" w:color="auto" w:sz="4" w:space="0"/>
              <w:bottom w:val="single" w:color="auto" w:sz="4" w:space="0"/>
              <w:right w:val="single" w:color="auto" w:sz="4" w:space="0"/>
            </w:tcBorders>
            <w:noWrap/>
            <w:vAlign w:val="center"/>
          </w:tcPr>
          <w:p w14:paraId="283250BF">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质量标准。</w:t>
            </w:r>
          </w:p>
        </w:tc>
        <w:tc>
          <w:tcPr>
            <w:tcW w:w="2535" w:type="dxa"/>
            <w:tcBorders>
              <w:top w:val="single" w:color="auto" w:sz="4" w:space="0"/>
              <w:left w:val="single" w:color="auto" w:sz="4" w:space="0"/>
              <w:bottom w:val="single" w:color="auto" w:sz="4" w:space="0"/>
              <w:right w:val="single" w:color="auto" w:sz="4" w:space="0"/>
            </w:tcBorders>
            <w:noWrap/>
          </w:tcPr>
          <w:p w14:paraId="7CEBFCA8">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439CD808">
            <w:pPr>
              <w:adjustRightInd w:val="0"/>
              <w:snapToGrid w:val="0"/>
              <w:spacing w:line="360" w:lineRule="auto"/>
              <w:jc w:val="center"/>
              <w:rPr>
                <w:rFonts w:asciiTheme="minorEastAsia" w:hAnsiTheme="minorEastAsia" w:eastAsiaTheme="minorEastAsia" w:cstheme="minorEastAsia"/>
                <w:bCs/>
                <w:color w:val="auto"/>
                <w:szCs w:val="21"/>
              </w:rPr>
            </w:pPr>
          </w:p>
        </w:tc>
      </w:tr>
      <w:tr w14:paraId="0F3D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5D59FD55">
            <w:pPr>
              <w:adjustRightInd w:val="0"/>
              <w:snapToGrid w:val="0"/>
              <w:spacing w:line="360" w:lineRule="auto"/>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w:t>
            </w:r>
          </w:p>
        </w:tc>
        <w:tc>
          <w:tcPr>
            <w:tcW w:w="4260" w:type="dxa"/>
            <w:tcBorders>
              <w:top w:val="single" w:color="auto" w:sz="4" w:space="0"/>
              <w:left w:val="single" w:color="auto" w:sz="4" w:space="0"/>
              <w:bottom w:val="single" w:color="auto" w:sz="4" w:space="0"/>
              <w:right w:val="single" w:color="auto" w:sz="4" w:space="0"/>
            </w:tcBorders>
            <w:noWrap/>
            <w:vAlign w:val="center"/>
          </w:tcPr>
          <w:p w14:paraId="094F9060">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报价。</w:t>
            </w:r>
          </w:p>
        </w:tc>
        <w:tc>
          <w:tcPr>
            <w:tcW w:w="2535" w:type="dxa"/>
            <w:tcBorders>
              <w:top w:val="single" w:color="auto" w:sz="4" w:space="0"/>
              <w:left w:val="single" w:color="auto" w:sz="4" w:space="0"/>
              <w:bottom w:val="single" w:color="auto" w:sz="4" w:space="0"/>
              <w:right w:val="single" w:color="auto" w:sz="4" w:space="0"/>
            </w:tcBorders>
            <w:noWrap/>
          </w:tcPr>
          <w:p w14:paraId="26A71991">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报价是固定价且未超过本项目最高限价。</w:t>
            </w:r>
          </w:p>
        </w:tc>
        <w:tc>
          <w:tcPr>
            <w:tcW w:w="984" w:type="dxa"/>
            <w:tcBorders>
              <w:top w:val="single" w:color="auto" w:sz="4" w:space="0"/>
              <w:left w:val="single" w:color="auto" w:sz="4" w:space="0"/>
              <w:bottom w:val="single" w:color="auto" w:sz="4" w:space="0"/>
              <w:right w:val="single" w:color="auto" w:sz="4" w:space="0"/>
            </w:tcBorders>
            <w:noWrap/>
            <w:vAlign w:val="center"/>
          </w:tcPr>
          <w:p w14:paraId="64F97349">
            <w:pPr>
              <w:adjustRightInd w:val="0"/>
              <w:snapToGrid w:val="0"/>
              <w:spacing w:line="360" w:lineRule="auto"/>
              <w:ind w:firstLine="420" w:firstLineChars="200"/>
              <w:rPr>
                <w:rFonts w:asciiTheme="minorEastAsia" w:hAnsiTheme="minorEastAsia" w:eastAsiaTheme="minorEastAsia" w:cstheme="minorEastAsia"/>
                <w:bCs/>
                <w:color w:val="auto"/>
                <w:szCs w:val="21"/>
              </w:rPr>
            </w:pPr>
          </w:p>
        </w:tc>
      </w:tr>
      <w:tr w14:paraId="06CB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03ED1CD6">
            <w:pPr>
              <w:adjustRightInd w:val="0"/>
              <w:snapToGrid w:val="0"/>
              <w:spacing w:line="360" w:lineRule="auto"/>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6</w:t>
            </w:r>
          </w:p>
        </w:tc>
        <w:tc>
          <w:tcPr>
            <w:tcW w:w="4260" w:type="dxa"/>
            <w:tcBorders>
              <w:top w:val="single" w:color="auto" w:sz="4" w:space="0"/>
              <w:left w:val="single" w:color="auto" w:sz="4" w:space="0"/>
              <w:bottom w:val="single" w:color="auto" w:sz="4" w:space="0"/>
              <w:right w:val="single" w:color="auto" w:sz="4" w:space="0"/>
            </w:tcBorders>
            <w:noWrap/>
            <w:vAlign w:val="center"/>
          </w:tcPr>
          <w:p w14:paraId="0643CFFE">
            <w:pPr>
              <w:adjustRightInd w:val="0"/>
              <w:snapToGrid w:val="0"/>
              <w:spacing w:line="360" w:lineRule="auto"/>
              <w:rPr>
                <w:rFonts w:asciiTheme="minorEastAsia" w:hAnsiTheme="minorEastAsia" w:cstheme="minorEastAsia"/>
                <w:bCs/>
                <w:color w:val="auto"/>
                <w:szCs w:val="21"/>
              </w:rPr>
            </w:pPr>
            <w:r>
              <w:rPr>
                <w:rFonts w:hint="eastAsia" w:asciiTheme="minorEastAsia" w:hAnsiTheme="minorEastAsia" w:cstheme="minorEastAsia"/>
                <w:bCs/>
                <w:color w:val="auto"/>
                <w:szCs w:val="21"/>
              </w:rPr>
              <w:t>响应有效期</w:t>
            </w:r>
          </w:p>
        </w:tc>
        <w:tc>
          <w:tcPr>
            <w:tcW w:w="2535" w:type="dxa"/>
            <w:tcBorders>
              <w:top w:val="single" w:color="auto" w:sz="4" w:space="0"/>
              <w:left w:val="single" w:color="auto" w:sz="4" w:space="0"/>
              <w:bottom w:val="single" w:color="auto" w:sz="4" w:space="0"/>
              <w:right w:val="single" w:color="auto" w:sz="4" w:space="0"/>
            </w:tcBorders>
            <w:noWrap/>
            <w:vAlign w:val="center"/>
          </w:tcPr>
          <w:p w14:paraId="1E0E8DC3">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1B5E3787">
            <w:pPr>
              <w:adjustRightInd w:val="0"/>
              <w:snapToGrid w:val="0"/>
              <w:spacing w:line="360" w:lineRule="auto"/>
              <w:ind w:firstLine="420" w:firstLineChars="200"/>
              <w:rPr>
                <w:rFonts w:asciiTheme="minorEastAsia" w:hAnsiTheme="minorEastAsia" w:eastAsiaTheme="minorEastAsia" w:cstheme="minorEastAsia"/>
                <w:bCs/>
                <w:color w:val="auto"/>
                <w:szCs w:val="21"/>
              </w:rPr>
            </w:pPr>
          </w:p>
        </w:tc>
      </w:tr>
      <w:tr w14:paraId="2391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3"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762B1D1D">
            <w:pPr>
              <w:adjustRightInd w:val="0"/>
              <w:snapToGrid w:val="0"/>
              <w:spacing w:line="360" w:lineRule="auto"/>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7</w:t>
            </w:r>
          </w:p>
        </w:tc>
        <w:tc>
          <w:tcPr>
            <w:tcW w:w="4260" w:type="dxa"/>
            <w:tcBorders>
              <w:top w:val="single" w:color="auto" w:sz="4" w:space="0"/>
              <w:left w:val="single" w:color="auto" w:sz="4" w:space="0"/>
              <w:bottom w:val="single" w:color="auto" w:sz="4" w:space="0"/>
              <w:right w:val="single" w:color="auto" w:sz="4" w:space="0"/>
            </w:tcBorders>
            <w:noWrap/>
            <w:vAlign w:val="center"/>
          </w:tcPr>
          <w:p w14:paraId="43682BB9">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采购比选文件规定的其它条件</w:t>
            </w:r>
          </w:p>
        </w:tc>
        <w:tc>
          <w:tcPr>
            <w:tcW w:w="2535" w:type="dxa"/>
            <w:tcBorders>
              <w:top w:val="single" w:color="auto" w:sz="4" w:space="0"/>
              <w:left w:val="single" w:color="auto" w:sz="4" w:space="0"/>
              <w:bottom w:val="single" w:color="auto" w:sz="4" w:space="0"/>
              <w:right w:val="single" w:color="auto" w:sz="4" w:space="0"/>
            </w:tcBorders>
            <w:noWrap/>
          </w:tcPr>
          <w:p w14:paraId="664FA139">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不存在采购文件及相关法律法规规定的废标情形的</w:t>
            </w:r>
          </w:p>
        </w:tc>
        <w:tc>
          <w:tcPr>
            <w:tcW w:w="984" w:type="dxa"/>
            <w:tcBorders>
              <w:top w:val="single" w:color="auto" w:sz="4" w:space="0"/>
              <w:left w:val="single" w:color="auto" w:sz="4" w:space="0"/>
              <w:bottom w:val="single" w:color="auto" w:sz="4" w:space="0"/>
              <w:right w:val="single" w:color="auto" w:sz="4" w:space="0"/>
            </w:tcBorders>
            <w:noWrap/>
            <w:vAlign w:val="center"/>
          </w:tcPr>
          <w:p w14:paraId="637DE6DE">
            <w:pPr>
              <w:adjustRightInd w:val="0"/>
              <w:snapToGrid w:val="0"/>
              <w:spacing w:line="360" w:lineRule="auto"/>
              <w:ind w:firstLine="420" w:firstLineChars="200"/>
              <w:rPr>
                <w:rFonts w:asciiTheme="minorEastAsia" w:hAnsiTheme="minorEastAsia" w:eastAsiaTheme="minorEastAsia" w:cstheme="minorEastAsia"/>
                <w:bCs/>
                <w:color w:val="auto"/>
                <w:szCs w:val="21"/>
              </w:rPr>
            </w:pPr>
          </w:p>
        </w:tc>
      </w:tr>
    </w:tbl>
    <w:p w14:paraId="7028F5A5">
      <w:pPr>
        <w:pStyle w:val="15"/>
        <w:ind w:left="0" w:leftChars="0" w:firstLine="0" w:firstLineChars="0"/>
        <w:rPr>
          <w:color w:val="auto"/>
        </w:rPr>
      </w:pPr>
    </w:p>
    <w:p w14:paraId="060EB8EE">
      <w:pPr>
        <w:adjustRightInd w:val="0"/>
        <w:snapToGrid w:val="0"/>
        <w:spacing w:line="360" w:lineRule="auto"/>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三、评审标准</w:t>
      </w:r>
    </w:p>
    <w:p w14:paraId="17B004F2">
      <w:pPr>
        <w:adjustRightInd w:val="0"/>
        <w:snapToGrid w:val="0"/>
        <w:spacing w:line="360" w:lineRule="auto"/>
        <w:ind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（一）评审方法及评审结果排列顺序规定如下：</w:t>
      </w:r>
    </w:p>
    <w:p w14:paraId="1AE6CB8E">
      <w:pPr>
        <w:pStyle w:val="6"/>
        <w:spacing w:line="360" w:lineRule="auto"/>
        <w:ind w:firstLine="420" w:firstLineChars="200"/>
        <w:jc w:val="both"/>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本项目</w:t>
      </w:r>
      <w:r>
        <w:rPr>
          <w:rFonts w:hint="eastAsia" w:asciiTheme="minorEastAsia" w:hAnsiTheme="minorEastAsia" w:eastAsiaTheme="minorEastAsia" w:cstheme="minorEastAsia"/>
          <w:bCs/>
          <w:color w:val="auto"/>
          <w:szCs w:val="21"/>
        </w:rPr>
        <w:t>采用综合评分法的，评审结果按评审后得分由高到低顺序排列。得分相同的，按响应报价由低到高顺序排列。得分且响应报价相同的并列或者评审委员会根据投标情况推荐评审结果排列顺序或予以授标建议。</w:t>
      </w:r>
    </w:p>
    <w:p w14:paraId="0076C7F1">
      <w:pPr>
        <w:numPr>
          <w:ilvl w:val="0"/>
          <w:numId w:val="2"/>
        </w:numPr>
        <w:adjustRightInd w:val="0"/>
        <w:snapToGrid w:val="0"/>
        <w:spacing w:line="360" w:lineRule="auto"/>
        <w:ind w:firstLine="422"/>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评审因素及分值分配</w:t>
      </w:r>
    </w:p>
    <w:tbl>
      <w:tblPr>
        <w:tblStyle w:val="16"/>
        <w:tblW w:w="80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3"/>
        <w:gridCol w:w="2865"/>
        <w:gridCol w:w="2911"/>
      </w:tblGrid>
      <w:tr w14:paraId="0C881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313" w:type="dxa"/>
            <w:tcBorders>
              <w:top w:val="single" w:color="auto" w:sz="6" w:space="0"/>
              <w:left w:val="single" w:color="auto" w:sz="6" w:space="0"/>
              <w:bottom w:val="single" w:color="auto" w:sz="6" w:space="0"/>
              <w:right w:val="single" w:color="auto" w:sz="6" w:space="0"/>
            </w:tcBorders>
            <w:vAlign w:val="center"/>
          </w:tcPr>
          <w:p w14:paraId="2BA5B27A">
            <w:pPr>
              <w:spacing w:line="360" w:lineRule="auto"/>
              <w:jc w:val="center"/>
              <w:rPr>
                <w:rFonts w:ascii="宋体" w:hAnsi="宋体" w:cs="宋体"/>
                <w:bCs/>
                <w:color w:val="auto"/>
                <w:szCs w:val="21"/>
              </w:rPr>
            </w:pPr>
            <w:r>
              <w:rPr>
                <w:rFonts w:hint="eastAsia" w:ascii="宋体" w:hAnsi="宋体" w:cs="宋体"/>
                <w:bCs/>
                <w:color w:val="auto"/>
                <w:szCs w:val="21"/>
              </w:rPr>
              <w:t>评审因素</w:t>
            </w:r>
          </w:p>
        </w:tc>
        <w:tc>
          <w:tcPr>
            <w:tcW w:w="2865" w:type="dxa"/>
            <w:tcBorders>
              <w:top w:val="single" w:color="auto" w:sz="6" w:space="0"/>
              <w:left w:val="single" w:color="auto" w:sz="6" w:space="0"/>
              <w:bottom w:val="single" w:color="auto" w:sz="6" w:space="0"/>
              <w:right w:val="single" w:color="auto" w:sz="6" w:space="0"/>
            </w:tcBorders>
            <w:vAlign w:val="center"/>
          </w:tcPr>
          <w:p w14:paraId="156B063F">
            <w:pPr>
              <w:spacing w:line="360" w:lineRule="auto"/>
              <w:jc w:val="center"/>
              <w:rPr>
                <w:rFonts w:ascii="宋体" w:hAnsi="宋体" w:cs="宋体"/>
                <w:bCs/>
                <w:color w:val="auto"/>
                <w:szCs w:val="21"/>
              </w:rPr>
            </w:pPr>
            <w:r>
              <w:rPr>
                <w:rFonts w:hint="eastAsia" w:ascii="宋体" w:hAnsi="宋体" w:cs="宋体"/>
                <w:bCs/>
                <w:color w:val="auto"/>
                <w:szCs w:val="21"/>
              </w:rPr>
              <w:t>技术商务</w:t>
            </w:r>
          </w:p>
        </w:tc>
        <w:tc>
          <w:tcPr>
            <w:tcW w:w="2911" w:type="dxa"/>
            <w:tcBorders>
              <w:top w:val="single" w:color="auto" w:sz="6" w:space="0"/>
              <w:left w:val="single" w:color="auto" w:sz="6" w:space="0"/>
              <w:bottom w:val="single" w:color="auto" w:sz="6" w:space="0"/>
              <w:right w:val="single" w:color="auto" w:sz="6" w:space="0"/>
            </w:tcBorders>
            <w:vAlign w:val="center"/>
          </w:tcPr>
          <w:p w14:paraId="3677CBB9">
            <w:pPr>
              <w:spacing w:line="360" w:lineRule="auto"/>
              <w:jc w:val="center"/>
              <w:rPr>
                <w:rFonts w:ascii="宋体" w:hAnsi="宋体" w:cs="宋体"/>
                <w:bCs/>
                <w:color w:val="auto"/>
                <w:szCs w:val="21"/>
              </w:rPr>
            </w:pPr>
            <w:r>
              <w:rPr>
                <w:rFonts w:hint="eastAsia" w:ascii="宋体" w:hAnsi="宋体" w:cs="宋体"/>
                <w:bCs/>
                <w:color w:val="auto"/>
                <w:szCs w:val="21"/>
              </w:rPr>
              <w:t>价格</w:t>
            </w:r>
          </w:p>
        </w:tc>
      </w:tr>
      <w:tr w14:paraId="1954A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313" w:type="dxa"/>
            <w:tcBorders>
              <w:top w:val="single" w:color="auto" w:sz="6" w:space="0"/>
              <w:left w:val="single" w:color="auto" w:sz="6" w:space="0"/>
              <w:bottom w:val="single" w:color="auto" w:sz="6" w:space="0"/>
              <w:right w:val="single" w:color="auto" w:sz="6" w:space="0"/>
            </w:tcBorders>
            <w:vAlign w:val="center"/>
          </w:tcPr>
          <w:p w14:paraId="7D80A9B2">
            <w:pPr>
              <w:spacing w:line="360" w:lineRule="auto"/>
              <w:jc w:val="center"/>
              <w:rPr>
                <w:rFonts w:ascii="宋体" w:hAnsi="宋体" w:cs="宋体"/>
                <w:bCs/>
                <w:color w:val="auto"/>
                <w:szCs w:val="21"/>
              </w:rPr>
            </w:pPr>
            <w:r>
              <w:rPr>
                <w:rFonts w:hint="eastAsia" w:ascii="宋体" w:hAnsi="宋体" w:cs="宋体"/>
                <w:bCs/>
                <w:color w:val="auto"/>
                <w:szCs w:val="21"/>
              </w:rPr>
              <w:t>分值</w:t>
            </w:r>
          </w:p>
        </w:tc>
        <w:tc>
          <w:tcPr>
            <w:tcW w:w="2865" w:type="dxa"/>
            <w:tcBorders>
              <w:top w:val="single" w:color="auto" w:sz="6" w:space="0"/>
              <w:left w:val="single" w:color="auto" w:sz="6" w:space="0"/>
              <w:bottom w:val="single" w:color="auto" w:sz="6" w:space="0"/>
              <w:right w:val="single" w:color="auto" w:sz="6" w:space="0"/>
            </w:tcBorders>
            <w:vAlign w:val="center"/>
          </w:tcPr>
          <w:p w14:paraId="05B83DA6">
            <w:pPr>
              <w:spacing w:line="360" w:lineRule="auto"/>
              <w:jc w:val="center"/>
              <w:rPr>
                <w:rFonts w:ascii="宋体" w:hAnsi="宋体" w:cs="宋体"/>
                <w:bCs/>
                <w:color w:val="auto"/>
                <w:szCs w:val="21"/>
              </w:rPr>
            </w:pPr>
            <w:r>
              <w:rPr>
                <w:rFonts w:hint="eastAsia" w:ascii="宋体" w:hAnsi="宋体" w:cs="宋体"/>
                <w:bCs/>
                <w:color w:val="auto"/>
                <w:szCs w:val="21"/>
                <w:lang w:val="en-US" w:eastAsia="zh-CN"/>
              </w:rPr>
              <w:t>8</w:t>
            </w:r>
            <w:r>
              <w:rPr>
                <w:rFonts w:hint="eastAsia" w:ascii="宋体" w:hAnsi="宋体" w:cs="宋体"/>
                <w:bCs/>
                <w:color w:val="auto"/>
                <w:szCs w:val="21"/>
              </w:rPr>
              <w:t>0分</w:t>
            </w:r>
          </w:p>
        </w:tc>
        <w:tc>
          <w:tcPr>
            <w:tcW w:w="2911" w:type="dxa"/>
            <w:tcBorders>
              <w:top w:val="single" w:color="auto" w:sz="6" w:space="0"/>
              <w:left w:val="single" w:color="auto" w:sz="6" w:space="0"/>
              <w:bottom w:val="single" w:color="auto" w:sz="6" w:space="0"/>
              <w:right w:val="single" w:color="auto" w:sz="6" w:space="0"/>
            </w:tcBorders>
            <w:vAlign w:val="center"/>
          </w:tcPr>
          <w:p w14:paraId="744C2D26">
            <w:pPr>
              <w:spacing w:line="360" w:lineRule="auto"/>
              <w:jc w:val="center"/>
              <w:rPr>
                <w:rFonts w:ascii="宋体" w:hAnsi="宋体" w:cs="宋体"/>
                <w:bCs/>
                <w:color w:val="auto"/>
                <w:szCs w:val="21"/>
              </w:rPr>
            </w:pPr>
            <w:r>
              <w:rPr>
                <w:rFonts w:hint="eastAsia" w:ascii="宋体" w:hAnsi="宋体" w:cs="宋体"/>
                <w:bCs/>
                <w:color w:val="auto"/>
                <w:szCs w:val="21"/>
                <w:lang w:val="en-US" w:eastAsia="zh-CN"/>
              </w:rPr>
              <w:t>2</w:t>
            </w:r>
            <w:r>
              <w:rPr>
                <w:rFonts w:hint="eastAsia" w:ascii="宋体" w:hAnsi="宋体" w:cs="宋体"/>
                <w:bCs/>
                <w:color w:val="auto"/>
                <w:szCs w:val="21"/>
              </w:rPr>
              <w:t>0分</w:t>
            </w:r>
          </w:p>
        </w:tc>
      </w:tr>
      <w:bookmarkEnd w:id="78"/>
    </w:tbl>
    <w:p w14:paraId="17403E96">
      <w:pPr>
        <w:adjustRightInd w:val="0"/>
        <w:snapToGrid w:val="0"/>
        <w:spacing w:line="360" w:lineRule="auto"/>
        <w:ind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（三）响应报价的评审要求</w:t>
      </w:r>
    </w:p>
    <w:p w14:paraId="42194F4B">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1、价格核准：评审委员会对符合性审查合格的供应商的响应报价明细进行复核，看其是否有计算错误，如有则按供应商须知有关规定修正或澄清。</w:t>
      </w:r>
    </w:p>
    <w:p w14:paraId="6D8BE34E">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2、价格评审：</w:t>
      </w:r>
    </w:p>
    <w:p w14:paraId="772A2723">
      <w:pPr>
        <w:adjustRightInd w:val="0"/>
        <w:snapToGrid w:val="0"/>
        <w:spacing w:line="360" w:lineRule="auto"/>
        <w:ind w:firstLine="420" w:firstLineChars="200"/>
        <w:outlineLvl w:val="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综合评分法，价格分统一采用低价优先法计算，即满足采购比选文件要求（通过资格审查和符合性审查）且评审价(指修正及价格扣除后的价格，下同)最低的为评审基准价，其价格分为满分。其他供应商的价格分统一按照下列公式计算：</w:t>
      </w:r>
    </w:p>
    <w:p w14:paraId="2729FA96">
      <w:pPr>
        <w:adjustRightInd w:val="0"/>
        <w:snapToGrid w:val="0"/>
        <w:spacing w:line="360" w:lineRule="auto"/>
        <w:ind w:firstLine="420" w:firstLineChars="200"/>
        <w:outlineLvl w:val="1"/>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价格评分=（评审基准价／评审价）×价格分值</w:t>
      </w:r>
    </w:p>
    <w:p w14:paraId="2DE5DD15">
      <w:pPr>
        <w:adjustRightInd w:val="0"/>
        <w:snapToGrid w:val="0"/>
        <w:spacing w:line="360" w:lineRule="auto"/>
        <w:ind w:firstLine="420"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Cs/>
          <w:color w:val="auto"/>
          <w:szCs w:val="21"/>
        </w:rPr>
        <w:t>3、响应报价对小型、微型企业或者视同小型、微企业参与响应的参照第三章5.1款的规定以扣除后的价格参与评审。</w:t>
      </w:r>
    </w:p>
    <w:p w14:paraId="3CB6B76F">
      <w:pPr>
        <w:adjustRightInd w:val="0"/>
        <w:snapToGrid w:val="0"/>
        <w:spacing w:line="360" w:lineRule="auto"/>
        <w:ind w:firstLine="561"/>
        <w:outlineLvl w:val="1"/>
        <w:rPr>
          <w:rFonts w:asciiTheme="minorEastAsia" w:hAnsiTheme="minorEastAsia" w:eastAsiaTheme="minorEastAsia" w:cstheme="minorEastAsia"/>
          <w:b/>
          <w:color w:val="auto"/>
          <w:szCs w:val="21"/>
        </w:rPr>
      </w:pPr>
    </w:p>
    <w:p w14:paraId="265A9836">
      <w:pPr>
        <w:adjustRightInd w:val="0"/>
        <w:snapToGrid w:val="0"/>
        <w:spacing w:line="360" w:lineRule="auto"/>
        <w:ind w:firstLine="561"/>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（四）评审细则</w:t>
      </w:r>
    </w:p>
    <w:tbl>
      <w:tblPr>
        <w:tblStyle w:val="16"/>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300"/>
        <w:gridCol w:w="6369"/>
      </w:tblGrid>
      <w:tr w14:paraId="22AC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tcBorders>
              <w:top w:val="single" w:color="auto" w:sz="4" w:space="0"/>
              <w:left w:val="single" w:color="auto" w:sz="4" w:space="0"/>
              <w:bottom w:val="single" w:color="auto" w:sz="4" w:space="0"/>
              <w:right w:val="single" w:color="auto" w:sz="4" w:space="0"/>
            </w:tcBorders>
            <w:noWrap/>
            <w:vAlign w:val="center"/>
          </w:tcPr>
          <w:p w14:paraId="5E730183">
            <w:pPr>
              <w:jc w:val="center"/>
              <w:rPr>
                <w:rFonts w:ascii="宋体" w:hAnsi="宋体" w:cs="宋体"/>
                <w:b/>
                <w:color w:val="auto"/>
                <w:sz w:val="20"/>
                <w:szCs w:val="20"/>
              </w:rPr>
            </w:pPr>
            <w:r>
              <w:rPr>
                <w:rFonts w:hint="eastAsia" w:ascii="宋体" w:hAnsi="宋体" w:cs="宋体"/>
                <w:b/>
                <w:color w:val="auto"/>
                <w:sz w:val="20"/>
                <w:szCs w:val="20"/>
              </w:rPr>
              <w:t>条款号</w:t>
            </w:r>
          </w:p>
        </w:tc>
        <w:tc>
          <w:tcPr>
            <w:tcW w:w="2300" w:type="dxa"/>
            <w:tcBorders>
              <w:top w:val="single" w:color="auto" w:sz="4" w:space="0"/>
              <w:left w:val="single" w:color="auto" w:sz="4" w:space="0"/>
              <w:bottom w:val="single" w:color="auto" w:sz="4" w:space="0"/>
              <w:right w:val="single" w:color="auto" w:sz="4" w:space="0"/>
            </w:tcBorders>
            <w:noWrap/>
            <w:vAlign w:val="center"/>
          </w:tcPr>
          <w:p w14:paraId="4BD35546">
            <w:pPr>
              <w:jc w:val="center"/>
              <w:rPr>
                <w:rFonts w:ascii="宋体" w:hAnsi="宋体" w:cs="宋体"/>
                <w:b/>
                <w:color w:val="auto"/>
                <w:sz w:val="20"/>
                <w:szCs w:val="20"/>
              </w:rPr>
            </w:pPr>
            <w:r>
              <w:rPr>
                <w:rFonts w:hint="eastAsia" w:ascii="宋体" w:hAnsi="宋体" w:cs="宋体"/>
                <w:b/>
                <w:color w:val="auto"/>
                <w:sz w:val="20"/>
                <w:szCs w:val="20"/>
              </w:rPr>
              <w:t>评审因素</w:t>
            </w:r>
          </w:p>
        </w:tc>
        <w:tc>
          <w:tcPr>
            <w:tcW w:w="6369" w:type="dxa"/>
            <w:tcBorders>
              <w:top w:val="single" w:color="auto" w:sz="4" w:space="0"/>
              <w:left w:val="single" w:color="auto" w:sz="4" w:space="0"/>
              <w:bottom w:val="single" w:color="auto" w:sz="4" w:space="0"/>
              <w:right w:val="single" w:color="auto" w:sz="4" w:space="0"/>
            </w:tcBorders>
            <w:noWrap/>
            <w:vAlign w:val="center"/>
          </w:tcPr>
          <w:p w14:paraId="47E5D803">
            <w:pPr>
              <w:jc w:val="center"/>
              <w:rPr>
                <w:rFonts w:ascii="宋体" w:hAnsi="宋体" w:cs="宋体"/>
                <w:b/>
                <w:color w:val="auto"/>
                <w:sz w:val="20"/>
                <w:szCs w:val="20"/>
              </w:rPr>
            </w:pPr>
            <w:r>
              <w:rPr>
                <w:rFonts w:hint="eastAsia" w:ascii="宋体" w:hAnsi="宋体" w:cs="宋体"/>
                <w:b/>
                <w:color w:val="auto"/>
                <w:sz w:val="20"/>
                <w:szCs w:val="20"/>
              </w:rPr>
              <w:t>评审标准</w:t>
            </w:r>
          </w:p>
        </w:tc>
      </w:tr>
      <w:tr w14:paraId="7504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3" w:type="dxa"/>
            <w:gridSpan w:val="2"/>
            <w:tcBorders>
              <w:top w:val="single" w:color="auto" w:sz="4" w:space="0"/>
              <w:left w:val="single" w:color="auto" w:sz="4" w:space="0"/>
              <w:bottom w:val="single" w:color="auto" w:sz="4" w:space="0"/>
              <w:right w:val="single" w:color="auto" w:sz="4" w:space="0"/>
            </w:tcBorders>
            <w:noWrap/>
            <w:vAlign w:val="center"/>
          </w:tcPr>
          <w:p w14:paraId="04FF979A">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分值构成</w:t>
            </w:r>
          </w:p>
          <w:p w14:paraId="594073F4">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0"/>
                <w:szCs w:val="20"/>
              </w:rPr>
              <w:t>(总分100分)</w:t>
            </w:r>
          </w:p>
        </w:tc>
        <w:tc>
          <w:tcPr>
            <w:tcW w:w="6369" w:type="dxa"/>
            <w:tcBorders>
              <w:top w:val="single" w:color="auto" w:sz="4" w:space="0"/>
              <w:left w:val="single" w:color="auto" w:sz="4" w:space="0"/>
              <w:bottom w:val="single" w:color="auto" w:sz="4" w:space="0"/>
              <w:right w:val="single" w:color="auto" w:sz="4" w:space="0"/>
            </w:tcBorders>
            <w:noWrap/>
            <w:vAlign w:val="center"/>
          </w:tcPr>
          <w:p w14:paraId="40694AD2">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价格评审</w:t>
            </w:r>
            <w:r>
              <w:rPr>
                <w:rFonts w:hint="eastAsia" w:asciiTheme="minorEastAsia" w:hAnsiTheme="minorEastAsia" w:eastAsiaTheme="minorEastAsia" w:cstheme="minorEastAsia"/>
                <w:color w:val="auto"/>
                <w:sz w:val="18"/>
                <w:szCs w:val="18"/>
                <w:u w:val="single"/>
                <w:lang w:val="en-US" w:eastAsia="zh-CN"/>
              </w:rPr>
              <w:t>2</w:t>
            </w:r>
            <w:r>
              <w:rPr>
                <w:rFonts w:hint="eastAsia" w:asciiTheme="minorEastAsia" w:hAnsiTheme="minorEastAsia" w:eastAsiaTheme="minorEastAsia" w:cstheme="minorEastAsia"/>
                <w:color w:val="auto"/>
                <w:sz w:val="18"/>
                <w:szCs w:val="18"/>
                <w:u w:val="single"/>
              </w:rPr>
              <w:t>0</w:t>
            </w:r>
            <w:r>
              <w:rPr>
                <w:rFonts w:hint="eastAsia" w:asciiTheme="minorEastAsia" w:hAnsiTheme="minorEastAsia" w:eastAsiaTheme="minorEastAsia" w:cstheme="minorEastAsia"/>
                <w:color w:val="auto"/>
                <w:sz w:val="18"/>
                <w:szCs w:val="18"/>
              </w:rPr>
              <w:t>分</w:t>
            </w:r>
          </w:p>
          <w:p w14:paraId="55ECBF35">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技术部分</w:t>
            </w:r>
            <w:r>
              <w:rPr>
                <w:rFonts w:hint="eastAsia" w:asciiTheme="minorEastAsia" w:hAnsiTheme="minorEastAsia" w:eastAsiaTheme="minorEastAsia" w:cstheme="minorEastAsia"/>
                <w:color w:val="auto"/>
                <w:sz w:val="18"/>
                <w:szCs w:val="18"/>
                <w:u w:val="single"/>
                <w:lang w:val="en-US" w:eastAsia="zh-CN"/>
              </w:rPr>
              <w:t>35</w:t>
            </w:r>
            <w:r>
              <w:rPr>
                <w:rFonts w:hint="eastAsia" w:asciiTheme="minorEastAsia" w:hAnsiTheme="minorEastAsia" w:eastAsiaTheme="minorEastAsia" w:cstheme="minorEastAsia"/>
                <w:color w:val="auto"/>
                <w:sz w:val="18"/>
                <w:szCs w:val="18"/>
              </w:rPr>
              <w:t>分</w:t>
            </w:r>
          </w:p>
          <w:p w14:paraId="13BD3CD4">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18"/>
                <w:szCs w:val="18"/>
              </w:rPr>
              <w:t>商务部分</w:t>
            </w:r>
            <w:r>
              <w:rPr>
                <w:rFonts w:hint="eastAsia" w:asciiTheme="minorEastAsia" w:hAnsiTheme="minorEastAsia" w:eastAsiaTheme="minorEastAsia" w:cstheme="minorEastAsia"/>
                <w:color w:val="auto"/>
                <w:sz w:val="18"/>
                <w:szCs w:val="18"/>
                <w:u w:val="single"/>
                <w:lang w:val="en-US" w:eastAsia="zh-CN"/>
              </w:rPr>
              <w:t>45</w:t>
            </w:r>
            <w:r>
              <w:rPr>
                <w:rFonts w:hint="eastAsia" w:asciiTheme="minorEastAsia" w:hAnsiTheme="minorEastAsia" w:eastAsiaTheme="minorEastAsia" w:cstheme="minorEastAsia"/>
                <w:color w:val="auto"/>
                <w:sz w:val="18"/>
                <w:szCs w:val="18"/>
              </w:rPr>
              <w:t>分</w:t>
            </w:r>
          </w:p>
        </w:tc>
      </w:tr>
      <w:tr w14:paraId="7DEE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3" w:type="dxa"/>
            <w:gridSpan w:val="2"/>
            <w:tcBorders>
              <w:top w:val="single" w:color="auto" w:sz="4" w:space="0"/>
              <w:left w:val="single" w:color="auto" w:sz="4" w:space="0"/>
              <w:bottom w:val="single" w:color="auto" w:sz="4" w:space="0"/>
              <w:right w:val="single" w:color="auto" w:sz="4" w:space="0"/>
            </w:tcBorders>
            <w:noWrap/>
            <w:vAlign w:val="center"/>
          </w:tcPr>
          <w:p w14:paraId="1AC186DC">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价格评审</w:t>
            </w:r>
          </w:p>
          <w:p w14:paraId="42F0D3F2">
            <w:pPr>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20"/>
                <w:szCs w:val="20"/>
              </w:rPr>
              <w:t>（</w:t>
            </w:r>
            <w:r>
              <w:rPr>
                <w:rFonts w:hint="eastAsia" w:asciiTheme="minorEastAsia" w:hAnsiTheme="minorEastAsia" w:eastAsiaTheme="minorEastAsia" w:cstheme="minorEastAsia"/>
                <w:color w:val="auto"/>
                <w:sz w:val="20"/>
                <w:szCs w:val="20"/>
                <w:lang w:val="en-US" w:eastAsia="zh-CN"/>
              </w:rPr>
              <w:t>20</w:t>
            </w:r>
            <w:r>
              <w:rPr>
                <w:rFonts w:hint="eastAsia" w:asciiTheme="minorEastAsia" w:hAnsiTheme="minorEastAsia" w:eastAsiaTheme="minorEastAsia" w:cstheme="minorEastAsia"/>
                <w:color w:val="auto"/>
                <w:sz w:val="20"/>
                <w:szCs w:val="20"/>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14:paraId="586A30E1">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响应报价得分以满分</w:t>
            </w:r>
            <w:r>
              <w:rPr>
                <w:rFonts w:hint="eastAsia" w:asciiTheme="minorEastAsia" w:hAnsiTheme="minorEastAsia" w:eastAsiaTheme="minorEastAsia" w:cstheme="minorEastAsia"/>
                <w:color w:val="auto"/>
                <w:sz w:val="18"/>
                <w:szCs w:val="18"/>
                <w:u w:val="single"/>
                <w:lang w:val="en-US" w:eastAsia="zh-CN"/>
              </w:rPr>
              <w:t>2</w:t>
            </w:r>
            <w:r>
              <w:rPr>
                <w:rFonts w:hint="eastAsia" w:asciiTheme="minorEastAsia" w:hAnsiTheme="minorEastAsia" w:eastAsiaTheme="minorEastAsia" w:cstheme="minorEastAsia"/>
                <w:color w:val="auto"/>
                <w:sz w:val="18"/>
                <w:szCs w:val="18"/>
                <w:u w:val="single"/>
              </w:rPr>
              <w:t>0分</w:t>
            </w:r>
            <w:r>
              <w:rPr>
                <w:rFonts w:hint="eastAsia" w:asciiTheme="minorEastAsia" w:hAnsiTheme="minorEastAsia" w:eastAsiaTheme="minorEastAsia" w:cstheme="minorEastAsia"/>
                <w:color w:val="auto"/>
                <w:sz w:val="18"/>
                <w:szCs w:val="18"/>
              </w:rPr>
              <w:t>计算。满足招标文件要求且响应报价最低的响应报价为评审基准价，其价格分为满分。其他供应商的价格分统一按照下列公式计算：</w:t>
            </w:r>
          </w:p>
          <w:p w14:paraId="3C59A3AF">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响应报价得分=（评审基准价/响应报价）×20</w:t>
            </w:r>
          </w:p>
          <w:p w14:paraId="236966E5">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 w:val="18"/>
                <w:szCs w:val="18"/>
              </w:rPr>
              <w:t>财政部印发财政部令87号《政府采购货物和服务招标投标管理办法》第六十条：评审委员会认为供应商的报价明显低于其他通过符合性审查供应商的报价，有可能影响服务质量或者不能诚信履约的，应当要求其在评审现场合理的时间内提供书面说明，必要时提交相关证明材料；供应商不能证明其报价合理性的，评审委员会应当将其作为无效响应处理。</w:t>
            </w:r>
          </w:p>
        </w:tc>
      </w:tr>
      <w:tr w14:paraId="525D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3463" w:type="dxa"/>
            <w:gridSpan w:val="2"/>
            <w:tcBorders>
              <w:left w:val="single" w:color="auto" w:sz="4" w:space="0"/>
              <w:right w:val="single" w:color="auto" w:sz="4" w:space="0"/>
            </w:tcBorders>
            <w:noWrap/>
            <w:vAlign w:val="center"/>
          </w:tcPr>
          <w:p w14:paraId="5738D1CE">
            <w:pPr>
              <w:jc w:val="center"/>
              <w:rPr>
                <w:rFonts w:ascii="宋体" w:hAnsi="宋体" w:cs="宋体"/>
                <w:color w:val="auto"/>
                <w:sz w:val="20"/>
                <w:szCs w:val="20"/>
              </w:rPr>
            </w:pPr>
            <w:r>
              <w:rPr>
                <w:rFonts w:hint="eastAsia" w:ascii="宋体" w:hAnsi="宋体" w:cs="宋体"/>
                <w:color w:val="auto"/>
                <w:sz w:val="20"/>
                <w:szCs w:val="20"/>
              </w:rPr>
              <w:t>技术部分</w:t>
            </w:r>
          </w:p>
          <w:p w14:paraId="69976C6A">
            <w:pPr>
              <w:jc w:val="center"/>
              <w:rPr>
                <w:rFonts w:ascii="宋体" w:hAnsi="宋体" w:cs="宋体"/>
                <w:color w:val="auto"/>
                <w:sz w:val="20"/>
                <w:szCs w:val="20"/>
              </w:rPr>
            </w:pPr>
            <w:r>
              <w:rPr>
                <w:rFonts w:hint="eastAsia" w:ascii="宋体" w:hAnsi="宋体" w:cs="宋体"/>
                <w:color w:val="auto"/>
                <w:sz w:val="20"/>
                <w:szCs w:val="20"/>
              </w:rPr>
              <w:t>（</w:t>
            </w:r>
            <w:r>
              <w:rPr>
                <w:rFonts w:hint="eastAsia" w:ascii="宋体" w:hAnsi="宋体" w:cs="宋体"/>
                <w:color w:val="auto"/>
                <w:sz w:val="20"/>
                <w:szCs w:val="20"/>
                <w:lang w:val="en-US" w:eastAsia="zh-CN"/>
              </w:rPr>
              <w:t>35</w:t>
            </w:r>
            <w:r>
              <w:rPr>
                <w:rFonts w:hint="eastAsia" w:ascii="宋体" w:hAnsi="宋体" w:cs="宋体"/>
                <w:color w:val="auto"/>
                <w:sz w:val="20"/>
                <w:szCs w:val="20"/>
              </w:rPr>
              <w:t>分）</w:t>
            </w:r>
          </w:p>
          <w:p w14:paraId="2091C006">
            <w:pPr>
              <w:jc w:val="center"/>
              <w:rPr>
                <w:rFonts w:asciiTheme="minorEastAsia" w:hAnsiTheme="minorEastAsia" w:eastAsiaTheme="minorEastAsia" w:cstheme="minorEastAsia"/>
                <w:color w:val="auto"/>
                <w:sz w:val="20"/>
                <w:szCs w:val="20"/>
              </w:rPr>
            </w:pPr>
          </w:p>
        </w:tc>
        <w:tc>
          <w:tcPr>
            <w:tcW w:w="6369" w:type="dxa"/>
            <w:tcBorders>
              <w:top w:val="single" w:color="auto" w:sz="4" w:space="0"/>
              <w:left w:val="single" w:color="auto" w:sz="4" w:space="0"/>
              <w:bottom w:val="single" w:color="auto" w:sz="4" w:space="0"/>
              <w:right w:val="single" w:color="auto" w:sz="4" w:space="0"/>
            </w:tcBorders>
            <w:noWrap/>
            <w:vAlign w:val="center"/>
          </w:tcPr>
          <w:p w14:paraId="06AA2FFB">
            <w:pPr>
              <w:pStyle w:val="6"/>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2"/>
                <w:sz w:val="18"/>
                <w:szCs w:val="18"/>
                <w:lang w:val="en-US" w:eastAsia="zh-CN" w:bidi="ar-SA"/>
              </w:rPr>
              <w:t>根据所提供的总体服务方案的全面性、人员分配科学性、责任划分清晰性、服务时限保证性等方面评分。</w:t>
            </w:r>
          </w:p>
          <w:p w14:paraId="33C6DDE5">
            <w:pPr>
              <w:pStyle w:val="6"/>
              <w:keepNext w:val="0"/>
              <w:keepLines w:val="0"/>
              <w:pageBreakBefore w:val="0"/>
              <w:numPr>
                <w:ilvl w:val="0"/>
                <w:numId w:val="3"/>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2"/>
                <w:sz w:val="18"/>
                <w:szCs w:val="18"/>
                <w:lang w:val="en-US" w:eastAsia="zh-CN" w:bidi="ar-SA"/>
              </w:rPr>
              <w:t>服务方案全面，针对性强、人员分配合理，责任划分明确清晰，服务质量保障措施完善，得25—35分；</w:t>
            </w:r>
          </w:p>
          <w:p w14:paraId="66F9ACA1">
            <w:pPr>
              <w:pStyle w:val="6"/>
              <w:keepNext w:val="0"/>
              <w:keepLines w:val="0"/>
              <w:pageBreakBefore w:val="0"/>
              <w:numPr>
                <w:ilvl w:val="0"/>
                <w:numId w:val="3"/>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olor w:val="auto"/>
                <w:kern w:val="2"/>
                <w:sz w:val="21"/>
                <w:szCs w:val="21"/>
                <w:u w:val="none"/>
                <w:lang w:val="en-US" w:eastAsia="zh-CN" w:bidi="ar-SA"/>
              </w:rPr>
            </w:pPr>
            <w:r>
              <w:rPr>
                <w:rFonts w:hint="eastAsia" w:asciiTheme="minorEastAsia" w:hAnsiTheme="minorEastAsia" w:eastAsiaTheme="minorEastAsia" w:cstheme="minorEastAsia"/>
                <w:color w:val="auto"/>
                <w:kern w:val="2"/>
                <w:sz w:val="18"/>
                <w:szCs w:val="18"/>
                <w:lang w:val="en-US" w:eastAsia="zh-CN" w:bidi="ar-SA"/>
              </w:rPr>
              <w:t>服务方案较全面，针对性较强、人员分配较合理，责任划分较清晰，服务质量保障较完善，得15—24分；</w:t>
            </w:r>
          </w:p>
          <w:p w14:paraId="62202846">
            <w:pPr>
              <w:pStyle w:val="6"/>
              <w:keepNext w:val="0"/>
              <w:keepLines w:val="0"/>
              <w:pageBreakBefore w:val="0"/>
              <w:numPr>
                <w:ilvl w:val="0"/>
                <w:numId w:val="3"/>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olor w:val="auto"/>
                <w:kern w:val="2"/>
                <w:sz w:val="21"/>
                <w:szCs w:val="21"/>
                <w:u w:val="none"/>
                <w:lang w:val="en-US" w:eastAsia="zh-CN" w:bidi="ar-SA"/>
              </w:rPr>
            </w:pPr>
            <w:r>
              <w:rPr>
                <w:rFonts w:hint="eastAsia" w:asciiTheme="minorEastAsia" w:hAnsiTheme="minorEastAsia" w:eastAsiaTheme="minorEastAsia" w:cstheme="minorEastAsia"/>
                <w:color w:val="auto"/>
                <w:kern w:val="2"/>
                <w:sz w:val="18"/>
                <w:szCs w:val="18"/>
                <w:lang w:val="en-US" w:eastAsia="zh-CN" w:bidi="ar-SA"/>
              </w:rPr>
              <w:t>服务方案有缺失，针对性不强、人员分配不够合理，责任划分不清晰，服务质量保障不完善，得0-14分。</w:t>
            </w:r>
          </w:p>
        </w:tc>
      </w:tr>
      <w:tr w14:paraId="5038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63" w:type="dxa"/>
            <w:vMerge w:val="restart"/>
            <w:tcBorders>
              <w:left w:val="single" w:color="auto" w:sz="4" w:space="0"/>
              <w:right w:val="single" w:color="auto" w:sz="4" w:space="0"/>
            </w:tcBorders>
            <w:noWrap/>
            <w:vAlign w:val="center"/>
          </w:tcPr>
          <w:p w14:paraId="5728DB8F">
            <w:pPr>
              <w:jc w:val="center"/>
              <w:rPr>
                <w:rFonts w:ascii="宋体" w:hAnsi="宋体" w:cs="宋体"/>
                <w:color w:val="auto"/>
                <w:sz w:val="20"/>
                <w:szCs w:val="20"/>
              </w:rPr>
            </w:pPr>
            <w:r>
              <w:rPr>
                <w:rFonts w:hint="eastAsia" w:ascii="宋体" w:hAnsi="宋体" w:cs="宋体"/>
                <w:color w:val="auto"/>
                <w:sz w:val="20"/>
                <w:szCs w:val="20"/>
              </w:rPr>
              <w:t>商务部分（</w:t>
            </w:r>
            <w:r>
              <w:rPr>
                <w:rFonts w:hint="eastAsia" w:ascii="宋体" w:hAnsi="宋体" w:cs="宋体"/>
                <w:color w:val="auto"/>
                <w:sz w:val="20"/>
                <w:szCs w:val="20"/>
                <w:lang w:val="en-US" w:eastAsia="zh-CN"/>
              </w:rPr>
              <w:t>45</w:t>
            </w:r>
            <w:r>
              <w:rPr>
                <w:rFonts w:hint="eastAsia" w:ascii="宋体" w:hAnsi="宋体" w:cs="宋体"/>
                <w:color w:val="auto"/>
                <w:sz w:val="20"/>
                <w:szCs w:val="20"/>
              </w:rPr>
              <w:t>分）</w:t>
            </w:r>
          </w:p>
        </w:tc>
        <w:tc>
          <w:tcPr>
            <w:tcW w:w="2300" w:type="dxa"/>
            <w:tcBorders>
              <w:top w:val="single" w:color="auto" w:sz="4" w:space="0"/>
              <w:left w:val="single" w:color="auto" w:sz="4" w:space="0"/>
              <w:bottom w:val="single" w:color="auto" w:sz="4" w:space="0"/>
              <w:right w:val="single" w:color="auto" w:sz="4" w:space="0"/>
            </w:tcBorders>
            <w:noWrap/>
            <w:vAlign w:val="center"/>
          </w:tcPr>
          <w:p w14:paraId="70E2B731">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供应商业绩</w:t>
            </w:r>
          </w:p>
          <w:p w14:paraId="3595C884">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（30分）</w:t>
            </w:r>
          </w:p>
        </w:tc>
        <w:tc>
          <w:tcPr>
            <w:tcW w:w="6369" w:type="dxa"/>
            <w:tcBorders>
              <w:top w:val="single" w:color="auto" w:sz="4" w:space="0"/>
              <w:left w:val="single" w:color="auto" w:sz="4" w:space="0"/>
              <w:bottom w:val="single" w:color="auto" w:sz="4" w:space="0"/>
              <w:right w:val="single" w:color="auto" w:sz="4" w:space="0"/>
            </w:tcBorders>
            <w:noWrap/>
            <w:vAlign w:val="center"/>
          </w:tcPr>
          <w:p w14:paraId="3054AD6A">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供应商202</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年1月1日后承接过类似项目的，每提供一个项目业绩得</w:t>
            </w:r>
            <w:r>
              <w:rPr>
                <w:rFonts w:hint="eastAsia" w:asciiTheme="minorEastAsia" w:hAnsiTheme="minorEastAsia" w:eastAsiaTheme="minorEastAsia" w:cstheme="minorEastAsia"/>
                <w:color w:val="auto"/>
                <w:sz w:val="18"/>
                <w:szCs w:val="18"/>
                <w:lang w:val="en-US" w:eastAsia="zh-CN"/>
              </w:rPr>
              <w:t>3</w:t>
            </w:r>
            <w:r>
              <w:rPr>
                <w:rFonts w:hint="eastAsia" w:asciiTheme="minorEastAsia" w:hAnsiTheme="minorEastAsia" w:eastAsiaTheme="minorEastAsia" w:cstheme="minorEastAsia"/>
                <w:color w:val="auto"/>
                <w:sz w:val="18"/>
                <w:szCs w:val="18"/>
              </w:rPr>
              <w:t>分，满分</w:t>
            </w:r>
            <w:r>
              <w:rPr>
                <w:rFonts w:hint="eastAsia" w:asciiTheme="minorEastAsia" w:hAnsiTheme="minorEastAsia" w:eastAsiaTheme="minorEastAsia" w:cstheme="minorEastAsia"/>
                <w:color w:val="auto"/>
                <w:sz w:val="18"/>
                <w:szCs w:val="18"/>
                <w:lang w:val="en-US" w:eastAsia="zh-CN"/>
              </w:rPr>
              <w:t>30</w:t>
            </w:r>
            <w:r>
              <w:rPr>
                <w:rFonts w:hint="eastAsia" w:asciiTheme="minorEastAsia" w:hAnsiTheme="minorEastAsia" w:eastAsiaTheme="minorEastAsia" w:cstheme="minorEastAsia"/>
                <w:color w:val="auto"/>
                <w:sz w:val="18"/>
                <w:szCs w:val="18"/>
              </w:rPr>
              <w:t>分。（类似业绩包括但不限于区级、园区级信用体系建设项目、课题，或承担过企业服务、人才服务、金融、贸易等方向应用场景建设项目、课题等。）</w:t>
            </w:r>
          </w:p>
          <w:p w14:paraId="0518276E">
            <w:pP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 w:val="18"/>
                <w:szCs w:val="18"/>
              </w:rPr>
              <w:t>证明材料：提供相关项目合同（首页、签字盖章页）或中标通知书复印件，日期以合同签订时间</w:t>
            </w:r>
            <w:r>
              <w:rPr>
                <w:rFonts w:hint="eastAsia" w:ascii="宋体" w:hAnsi="宋体" w:eastAsia="宋体" w:cs="宋体"/>
                <w:spacing w:val="-1"/>
                <w:sz w:val="18"/>
                <w:szCs w:val="18"/>
                <w:lang w:val="en-US" w:eastAsia="zh-CN"/>
              </w:rPr>
              <w:t>或中标通知书发放时间为准</w:t>
            </w:r>
            <w:r>
              <w:rPr>
                <w:rFonts w:hint="eastAsia" w:asciiTheme="minorEastAsia" w:hAnsiTheme="minorEastAsia" w:eastAsiaTheme="minorEastAsia" w:cstheme="minorEastAsia"/>
                <w:color w:val="auto"/>
                <w:kern w:val="0"/>
                <w:sz w:val="18"/>
                <w:szCs w:val="18"/>
              </w:rPr>
              <w:t>。</w:t>
            </w:r>
          </w:p>
        </w:tc>
      </w:tr>
      <w:tr w14:paraId="1C4B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63" w:type="dxa"/>
            <w:vMerge w:val="continue"/>
            <w:tcBorders>
              <w:left w:val="single" w:color="auto" w:sz="4" w:space="0"/>
              <w:right w:val="single" w:color="auto" w:sz="4" w:space="0"/>
            </w:tcBorders>
            <w:noWrap/>
            <w:vAlign w:val="center"/>
          </w:tcPr>
          <w:p w14:paraId="0D61AC63">
            <w:pPr>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14:paraId="0E901EAD">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项目团队</w:t>
            </w:r>
          </w:p>
          <w:p w14:paraId="70F9A4B7">
            <w:pPr>
              <w:jc w:val="center"/>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(15分)</w:t>
            </w:r>
          </w:p>
        </w:tc>
        <w:tc>
          <w:tcPr>
            <w:tcW w:w="6369" w:type="dxa"/>
            <w:tcBorders>
              <w:top w:val="single" w:color="auto" w:sz="4" w:space="0"/>
              <w:left w:val="single" w:color="auto" w:sz="4" w:space="0"/>
              <w:bottom w:val="single" w:color="auto" w:sz="4" w:space="0"/>
              <w:right w:val="single" w:color="auto" w:sz="4" w:space="0"/>
            </w:tcBorders>
            <w:noWrap/>
            <w:vAlign w:val="center"/>
          </w:tcPr>
          <w:p w14:paraId="2F12FE24">
            <w:pPr>
              <w:rPr>
                <w:rFonts w:hint="eastAsia" w:ascii="宋体" w:hAnsi="宋体" w:cs="宋体"/>
                <w:color w:val="auto"/>
                <w:sz w:val="18"/>
                <w:szCs w:val="18"/>
              </w:rPr>
            </w:pPr>
            <w:r>
              <w:rPr>
                <w:rFonts w:hint="eastAsia" w:ascii="宋体" w:hAnsi="宋体" w:cs="宋体"/>
                <w:color w:val="auto"/>
                <w:sz w:val="18"/>
                <w:szCs w:val="18"/>
              </w:rPr>
              <w:t>1.团队成员至少5人，每加1人，得2分，最多得10分。</w:t>
            </w:r>
          </w:p>
          <w:p w14:paraId="0DD41500">
            <w:pPr>
              <w:rPr>
                <w:rFonts w:hint="eastAsia" w:ascii="宋体" w:hAnsi="宋体" w:cs="宋体"/>
                <w:color w:val="auto"/>
                <w:sz w:val="18"/>
                <w:szCs w:val="18"/>
              </w:rPr>
            </w:pPr>
            <w:r>
              <w:rPr>
                <w:rFonts w:hint="eastAsia" w:ascii="宋体" w:hAnsi="宋体" w:cs="宋体"/>
                <w:color w:val="auto"/>
                <w:sz w:val="18"/>
                <w:szCs w:val="18"/>
              </w:rPr>
              <w:t>2.项目开展期间提供至少1人的驻场服务，提交驻场服务方案、承诺书，得5分，否则得0分。</w:t>
            </w:r>
          </w:p>
          <w:p w14:paraId="3E308356">
            <w:pP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证明材料：提供团队人员及驻场人员名单、个人简历及2024年任意三个月社保证明的复印件。</w:t>
            </w:r>
          </w:p>
        </w:tc>
      </w:tr>
    </w:tbl>
    <w:p w14:paraId="3022E4C9">
      <w:pPr>
        <w:pStyle w:val="15"/>
        <w:ind w:left="0" w:leftChars="0" w:firstLine="0" w:firstLineChars="0"/>
        <w:rPr>
          <w:rFonts w:asciiTheme="minorEastAsia" w:hAnsiTheme="minorEastAsia" w:eastAsiaTheme="minorEastAsia" w:cstheme="minorEastAsia"/>
          <w:b/>
          <w:color w:val="auto"/>
        </w:rPr>
        <w:sectPr>
          <w:pgSz w:w="11906" w:h="16838"/>
          <w:pgMar w:top="1440" w:right="1800" w:bottom="1440" w:left="1800" w:header="794" w:footer="992" w:gutter="0"/>
          <w:cols w:space="425" w:num="1"/>
          <w:docGrid w:type="lines" w:linePitch="312" w:charSpace="0"/>
        </w:sectPr>
      </w:pPr>
    </w:p>
    <w:p w14:paraId="23E3DAE8">
      <w:pPr>
        <w:adjustRightInd w:val="0"/>
        <w:snapToGrid w:val="0"/>
        <w:spacing w:line="360" w:lineRule="auto"/>
        <w:jc w:val="center"/>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第五章  采购合同格式</w:t>
      </w:r>
    </w:p>
    <w:p w14:paraId="1E54F1F9">
      <w:pPr>
        <w:spacing w:line="360" w:lineRule="atLeast"/>
        <w:jc w:val="center"/>
        <w:rPr>
          <w:color w:val="auto"/>
          <w:szCs w:val="21"/>
        </w:rPr>
      </w:pPr>
      <w:r>
        <w:rPr>
          <w:rFonts w:hint="eastAsia"/>
          <w:color w:val="auto"/>
          <w:szCs w:val="21"/>
        </w:rPr>
        <w:t>（注：本合同格式为参考格式，具体内容按采购人及比选文件要求与中标单位签订）</w:t>
      </w:r>
    </w:p>
    <w:p w14:paraId="04FD81C9">
      <w:pPr>
        <w:pStyle w:val="9"/>
        <w:spacing w:line="560" w:lineRule="exact"/>
        <w:jc w:val="center"/>
        <w:rPr>
          <w:rFonts w:ascii="黑体" w:hAnsi="黑体" w:eastAsia="黑体" w:cs="黑体"/>
          <w:bCs/>
          <w:color w:val="auto"/>
          <w:sz w:val="32"/>
          <w:szCs w:val="32"/>
        </w:rPr>
      </w:pPr>
    </w:p>
    <w:p w14:paraId="2257FEB4">
      <w:pPr>
        <w:jc w:val="center"/>
        <w:rPr>
          <w:rFonts w:hint="eastAsia" w:eastAsia="宋体" w:cstheme="minorBidi"/>
          <w:color w:val="auto"/>
          <w:sz w:val="28"/>
          <w:szCs w:val="28"/>
          <w:lang w:val="en-US" w:eastAsia="zh-CN"/>
        </w:rPr>
      </w:pPr>
      <w:r>
        <w:rPr>
          <w:rFonts w:hint="eastAsia" w:cstheme="minorBidi"/>
          <w:color w:val="auto"/>
          <w:sz w:val="44"/>
          <w:szCs w:val="44"/>
        </w:rPr>
        <w:t>信用园区建设咨询服务</w:t>
      </w:r>
      <w:r>
        <w:rPr>
          <w:rFonts w:hint="eastAsia" w:cstheme="minorBidi"/>
          <w:color w:val="auto"/>
          <w:sz w:val="44"/>
          <w:szCs w:val="44"/>
          <w:lang w:val="en-US" w:eastAsia="zh-CN"/>
        </w:rPr>
        <w:t>合同</w:t>
      </w:r>
    </w:p>
    <w:p w14:paraId="61334ED6">
      <w:pPr>
        <w:rPr>
          <w:rFonts w:cstheme="minorBidi"/>
          <w:color w:val="auto"/>
          <w:sz w:val="28"/>
          <w:szCs w:val="28"/>
        </w:rPr>
      </w:pPr>
    </w:p>
    <w:p w14:paraId="0279E3CA">
      <w:pPr>
        <w:ind w:firstLine="1190" w:firstLineChars="425"/>
        <w:rPr>
          <w:rFonts w:hint="eastAsia" w:eastAsia="宋体" w:cstheme="minorBidi"/>
          <w:color w:val="auto"/>
          <w:sz w:val="28"/>
          <w:szCs w:val="28"/>
          <w:lang w:val="en-US" w:eastAsia="zh-CN"/>
        </w:rPr>
      </w:pPr>
      <w:r>
        <w:rPr>
          <w:rFonts w:hint="eastAsia" w:cstheme="minorBidi"/>
          <w:color w:val="auto"/>
          <w:sz w:val="28"/>
          <w:szCs w:val="28"/>
        </w:rPr>
        <w:t>项目名称：江东新区信用园区建设咨询</w:t>
      </w:r>
    </w:p>
    <w:p w14:paraId="4813DC5B">
      <w:pPr>
        <w:ind w:firstLine="1190" w:firstLineChars="425"/>
        <w:rPr>
          <w:rFonts w:cstheme="minorBidi"/>
          <w:color w:val="auto"/>
          <w:sz w:val="28"/>
          <w:szCs w:val="28"/>
        </w:rPr>
      </w:pPr>
      <w:r>
        <w:rPr>
          <w:rFonts w:hint="eastAsia" w:cstheme="minorBidi"/>
          <w:color w:val="auto"/>
          <w:sz w:val="28"/>
          <w:szCs w:val="28"/>
        </w:rPr>
        <w:t>合同编号：</w:t>
      </w:r>
      <w:r>
        <w:rPr>
          <w:rFonts w:hint="eastAsia" w:cstheme="minorBidi"/>
          <w:color w:val="auto"/>
          <w:sz w:val="28"/>
          <w:szCs w:val="28"/>
          <w:u w:val="single"/>
        </w:rPr>
        <w:t xml:space="preserve"> </w:t>
      </w:r>
      <w:r>
        <w:rPr>
          <w:rFonts w:cstheme="minorBidi"/>
          <w:color w:val="auto"/>
          <w:sz w:val="28"/>
          <w:szCs w:val="28"/>
          <w:u w:val="single"/>
        </w:rPr>
        <w:t xml:space="preserve">             </w:t>
      </w:r>
    </w:p>
    <w:p w14:paraId="62553AD3">
      <w:pPr>
        <w:rPr>
          <w:rFonts w:cstheme="minorBidi"/>
          <w:color w:val="auto"/>
          <w:sz w:val="28"/>
          <w:szCs w:val="28"/>
        </w:rPr>
      </w:pPr>
    </w:p>
    <w:p w14:paraId="120857F6">
      <w:pPr>
        <w:rPr>
          <w:rFonts w:cstheme="minorBidi"/>
          <w:color w:val="auto"/>
          <w:sz w:val="28"/>
          <w:szCs w:val="28"/>
        </w:rPr>
      </w:pPr>
    </w:p>
    <w:p w14:paraId="61D267D3">
      <w:pPr>
        <w:rPr>
          <w:rFonts w:cstheme="minorBidi"/>
          <w:color w:val="auto"/>
          <w:sz w:val="28"/>
          <w:szCs w:val="28"/>
        </w:rPr>
      </w:pPr>
    </w:p>
    <w:p w14:paraId="04950693">
      <w:pPr>
        <w:rPr>
          <w:rFonts w:cstheme="minorBidi"/>
          <w:color w:val="auto"/>
          <w:sz w:val="28"/>
          <w:szCs w:val="28"/>
        </w:rPr>
      </w:pPr>
    </w:p>
    <w:p w14:paraId="7598083B">
      <w:pPr>
        <w:ind w:firstLine="1456" w:firstLineChars="520"/>
        <w:rPr>
          <w:rFonts w:cstheme="minorBidi"/>
          <w:color w:val="auto"/>
          <w:sz w:val="28"/>
          <w:szCs w:val="28"/>
        </w:rPr>
      </w:pPr>
      <w:r>
        <w:rPr>
          <w:rFonts w:hint="eastAsia" w:cstheme="minorBidi"/>
          <w:color w:val="auto"/>
          <w:sz w:val="28"/>
          <w:szCs w:val="28"/>
        </w:rPr>
        <w:t>甲方：海口江东新区管理局</w:t>
      </w:r>
    </w:p>
    <w:p w14:paraId="25C049AE">
      <w:pPr>
        <w:ind w:firstLine="1456" w:firstLineChars="520"/>
        <w:rPr>
          <w:rFonts w:cstheme="minorBidi"/>
          <w:color w:val="auto"/>
          <w:sz w:val="28"/>
          <w:szCs w:val="28"/>
        </w:rPr>
      </w:pPr>
      <w:r>
        <w:rPr>
          <w:rFonts w:hint="eastAsia" w:cstheme="minorBidi"/>
          <w:color w:val="auto"/>
          <w:sz w:val="28"/>
          <w:szCs w:val="28"/>
        </w:rPr>
        <w:t>乙方：</w:t>
      </w:r>
    </w:p>
    <w:p w14:paraId="7CFB9174">
      <w:pPr>
        <w:ind w:firstLine="1456" w:firstLineChars="520"/>
        <w:rPr>
          <w:rFonts w:cstheme="minorBidi"/>
          <w:color w:val="auto"/>
          <w:sz w:val="28"/>
          <w:szCs w:val="28"/>
        </w:rPr>
      </w:pPr>
    </w:p>
    <w:p w14:paraId="0759E9F6">
      <w:pPr>
        <w:ind w:firstLine="1456" w:firstLineChars="520"/>
        <w:rPr>
          <w:rFonts w:cstheme="minorBidi"/>
          <w:color w:val="auto"/>
          <w:sz w:val="28"/>
          <w:szCs w:val="28"/>
        </w:rPr>
      </w:pPr>
      <w:r>
        <w:rPr>
          <w:rFonts w:hint="eastAsia" w:cstheme="minorBidi"/>
          <w:color w:val="auto"/>
          <w:sz w:val="28"/>
          <w:szCs w:val="28"/>
        </w:rPr>
        <w:t xml:space="preserve">签订日期： </w:t>
      </w:r>
      <w:r>
        <w:rPr>
          <w:rFonts w:cstheme="minorBidi"/>
          <w:color w:val="auto"/>
          <w:sz w:val="28"/>
          <w:szCs w:val="28"/>
        </w:rPr>
        <w:t xml:space="preserve">   </w:t>
      </w:r>
      <w:r>
        <w:rPr>
          <w:rFonts w:hint="eastAsia" w:cstheme="minorBidi"/>
          <w:color w:val="auto"/>
          <w:sz w:val="28"/>
          <w:szCs w:val="28"/>
        </w:rPr>
        <w:t xml:space="preserve">年 </w:t>
      </w:r>
      <w:r>
        <w:rPr>
          <w:rFonts w:cstheme="minorBidi"/>
          <w:color w:val="auto"/>
          <w:sz w:val="28"/>
          <w:szCs w:val="28"/>
        </w:rPr>
        <w:t xml:space="preserve">   </w:t>
      </w:r>
      <w:r>
        <w:rPr>
          <w:rFonts w:hint="eastAsia" w:cstheme="minorBidi"/>
          <w:color w:val="auto"/>
          <w:sz w:val="28"/>
          <w:szCs w:val="28"/>
        </w:rPr>
        <w:t xml:space="preserve">月 </w:t>
      </w:r>
      <w:r>
        <w:rPr>
          <w:rFonts w:cstheme="minorBidi"/>
          <w:color w:val="auto"/>
          <w:sz w:val="28"/>
          <w:szCs w:val="28"/>
        </w:rPr>
        <w:t xml:space="preserve">   </w:t>
      </w:r>
      <w:r>
        <w:rPr>
          <w:rFonts w:hint="eastAsia" w:cstheme="minorBidi"/>
          <w:color w:val="auto"/>
          <w:sz w:val="28"/>
          <w:szCs w:val="28"/>
        </w:rPr>
        <w:t>日</w:t>
      </w:r>
    </w:p>
    <w:p w14:paraId="08772C92">
      <w:pPr>
        <w:widowControl/>
        <w:jc w:val="left"/>
        <w:rPr>
          <w:rFonts w:cstheme="minorBidi"/>
          <w:color w:val="auto"/>
          <w:sz w:val="22"/>
          <w:szCs w:val="21"/>
        </w:rPr>
      </w:pPr>
      <w:r>
        <w:rPr>
          <w:color w:val="auto"/>
        </w:rPr>
        <w:br w:type="page"/>
      </w:r>
    </w:p>
    <w:p w14:paraId="28111888">
      <w:pPr>
        <w:ind w:firstLine="440" w:firstLineChars="200"/>
        <w:rPr>
          <w:rFonts w:cstheme="minorBidi"/>
          <w:color w:val="auto"/>
          <w:sz w:val="22"/>
          <w:szCs w:val="21"/>
        </w:rPr>
      </w:pPr>
      <w:r>
        <w:rPr>
          <w:rFonts w:hint="eastAsia" w:cstheme="minorBidi"/>
          <w:color w:val="auto"/>
          <w:sz w:val="22"/>
          <w:szCs w:val="21"/>
        </w:rPr>
        <w:t>甲方：海口江东新区管理局</w:t>
      </w:r>
    </w:p>
    <w:p w14:paraId="3D877579">
      <w:pPr>
        <w:ind w:firstLine="440" w:firstLineChars="200"/>
        <w:rPr>
          <w:rFonts w:cstheme="minorBidi"/>
          <w:color w:val="auto"/>
          <w:sz w:val="22"/>
          <w:szCs w:val="21"/>
        </w:rPr>
      </w:pPr>
      <w:r>
        <w:rPr>
          <w:rFonts w:hint="eastAsia" w:cstheme="minorBidi"/>
          <w:color w:val="auto"/>
          <w:sz w:val="22"/>
          <w:szCs w:val="21"/>
        </w:rPr>
        <w:t>法定代表人：</w:t>
      </w:r>
    </w:p>
    <w:p w14:paraId="0DBE5E6B">
      <w:pPr>
        <w:ind w:firstLine="440" w:firstLineChars="200"/>
        <w:rPr>
          <w:rFonts w:cstheme="minorBidi"/>
          <w:color w:val="auto"/>
          <w:sz w:val="22"/>
          <w:szCs w:val="21"/>
        </w:rPr>
      </w:pPr>
      <w:r>
        <w:rPr>
          <w:rFonts w:hint="eastAsia" w:cstheme="minorBidi"/>
          <w:color w:val="auto"/>
          <w:sz w:val="22"/>
          <w:szCs w:val="21"/>
        </w:rPr>
        <w:t>地址：</w:t>
      </w:r>
    </w:p>
    <w:p w14:paraId="6415F7F9">
      <w:pPr>
        <w:ind w:firstLine="440" w:firstLineChars="200"/>
        <w:rPr>
          <w:rFonts w:cstheme="minorBidi"/>
          <w:color w:val="auto"/>
          <w:sz w:val="22"/>
          <w:szCs w:val="21"/>
        </w:rPr>
      </w:pPr>
    </w:p>
    <w:p w14:paraId="683AA9FA">
      <w:pPr>
        <w:ind w:firstLine="440" w:firstLineChars="200"/>
        <w:rPr>
          <w:rFonts w:cstheme="minorBidi"/>
          <w:color w:val="auto"/>
          <w:sz w:val="22"/>
          <w:szCs w:val="21"/>
        </w:rPr>
      </w:pPr>
      <w:r>
        <w:rPr>
          <w:rFonts w:hint="eastAsia" w:cstheme="minorBidi"/>
          <w:color w:val="auto"/>
          <w:sz w:val="22"/>
          <w:szCs w:val="21"/>
        </w:rPr>
        <w:t xml:space="preserve">乙方： </w:t>
      </w:r>
    </w:p>
    <w:p w14:paraId="7DDA8328">
      <w:pPr>
        <w:ind w:firstLine="440" w:firstLineChars="200"/>
        <w:rPr>
          <w:rFonts w:cstheme="minorBidi"/>
          <w:color w:val="auto"/>
          <w:sz w:val="22"/>
          <w:szCs w:val="21"/>
        </w:rPr>
      </w:pPr>
      <w:r>
        <w:rPr>
          <w:rFonts w:hint="eastAsia" w:cstheme="minorBidi"/>
          <w:color w:val="auto"/>
          <w:sz w:val="22"/>
          <w:szCs w:val="21"/>
        </w:rPr>
        <w:t xml:space="preserve">法定代表人： </w:t>
      </w:r>
    </w:p>
    <w:p w14:paraId="34855AF9">
      <w:pPr>
        <w:ind w:firstLine="440" w:firstLineChars="200"/>
        <w:rPr>
          <w:rFonts w:cstheme="minorBidi"/>
          <w:color w:val="auto"/>
          <w:sz w:val="22"/>
          <w:szCs w:val="21"/>
        </w:rPr>
      </w:pPr>
      <w:r>
        <w:rPr>
          <w:rFonts w:hint="eastAsia" w:cstheme="minorBidi"/>
          <w:color w:val="auto"/>
          <w:sz w:val="22"/>
          <w:szCs w:val="21"/>
        </w:rPr>
        <w:t xml:space="preserve">地址： </w:t>
      </w:r>
    </w:p>
    <w:p w14:paraId="404AD193">
      <w:pPr>
        <w:ind w:firstLine="440" w:firstLineChars="200"/>
        <w:rPr>
          <w:rFonts w:cstheme="minorBidi"/>
          <w:color w:val="auto"/>
          <w:sz w:val="22"/>
          <w:szCs w:val="21"/>
        </w:rPr>
      </w:pPr>
    </w:p>
    <w:p w14:paraId="2BB18D36">
      <w:pPr>
        <w:ind w:firstLine="440" w:firstLineChars="200"/>
        <w:rPr>
          <w:rFonts w:cstheme="minorBidi"/>
          <w:color w:val="auto"/>
          <w:sz w:val="22"/>
          <w:szCs w:val="21"/>
        </w:rPr>
      </w:pPr>
      <w:r>
        <w:rPr>
          <w:rFonts w:hint="eastAsia" w:cstheme="minorBidi"/>
          <w:color w:val="auto"/>
          <w:sz w:val="22"/>
          <w:szCs w:val="21"/>
        </w:rPr>
        <w:t>根据《中华人民共和国民法典》等法律法规规定，本着平等互利、公开公正公平的原则，经甲、乙双方友好协商，现就</w:t>
      </w:r>
      <w:r>
        <w:rPr>
          <w:rFonts w:hint="eastAsia" w:cstheme="minorBidi"/>
          <w:color w:val="auto"/>
          <w:sz w:val="22"/>
          <w:szCs w:val="21"/>
          <w:u w:val="single"/>
        </w:rPr>
        <w:t>江东新区信用园区建设咨询</w:t>
      </w:r>
      <w:r>
        <w:rPr>
          <w:rFonts w:hint="eastAsia" w:cstheme="minorBidi"/>
          <w:color w:val="auto"/>
          <w:sz w:val="22"/>
          <w:szCs w:val="21"/>
        </w:rPr>
        <w:t>服务事宜，达成以下协议，供双方遵照执行。</w:t>
      </w:r>
    </w:p>
    <w:p w14:paraId="2111577F">
      <w:pPr>
        <w:spacing w:line="400" w:lineRule="exact"/>
        <w:ind w:firstLine="422" w:firstLineChars="200"/>
        <w:rPr>
          <w:rFonts w:ascii="宋体" w:hAnsi="宋体" w:cs="宋体"/>
          <w:b/>
          <w:bCs/>
          <w:color w:val="auto"/>
          <w:szCs w:val="21"/>
        </w:rPr>
      </w:pPr>
    </w:p>
    <w:p w14:paraId="1841AD22">
      <w:pPr>
        <w:spacing w:line="400" w:lineRule="exact"/>
        <w:ind w:firstLine="422" w:firstLineChars="200"/>
        <w:rPr>
          <w:rFonts w:ascii="宋体" w:hAnsi="宋体" w:cs="宋体"/>
          <w:b/>
          <w:bCs/>
          <w:color w:val="auto"/>
          <w:szCs w:val="21"/>
        </w:rPr>
      </w:pPr>
      <w:r>
        <w:rPr>
          <w:rFonts w:hint="eastAsia" w:ascii="宋体" w:hAnsi="宋体" w:cs="宋体"/>
          <w:b/>
          <w:bCs/>
          <w:color w:val="auto"/>
          <w:szCs w:val="21"/>
        </w:rPr>
        <w:t>一、基本情况</w:t>
      </w:r>
    </w:p>
    <w:p w14:paraId="2B5A40D2">
      <w:pPr>
        <w:numPr>
          <w:ilvl w:val="255"/>
          <w:numId w:val="0"/>
        </w:numPr>
        <w:spacing w:line="400" w:lineRule="exact"/>
        <w:ind w:left="420"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lang w:val="en-US" w:eastAsia="zh-CN"/>
        </w:rPr>
        <w:t>海口</w:t>
      </w:r>
      <w:r>
        <w:rPr>
          <w:rFonts w:hint="eastAsia" w:asciiTheme="minorEastAsia" w:hAnsiTheme="minorEastAsia" w:eastAsiaTheme="minorEastAsia" w:cstheme="minorEastAsia"/>
          <w:bCs/>
          <w:color w:val="auto"/>
          <w:szCs w:val="21"/>
        </w:rPr>
        <w:t>江东新区被选定为全省6个重点先行先试改革创新园区之一，结合省市国际一流营商环境创建工作要求</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lang w:val="en-US" w:eastAsia="zh-CN"/>
        </w:rPr>
        <w:t>省</w:t>
      </w:r>
      <w:r>
        <w:rPr>
          <w:rFonts w:hint="eastAsia" w:asciiTheme="minorEastAsia" w:hAnsiTheme="minorEastAsia" w:eastAsiaTheme="minorEastAsia" w:cstheme="minorEastAsia"/>
          <w:bCs/>
          <w:color w:val="auto"/>
          <w:szCs w:val="21"/>
        </w:rPr>
        <w:t>市社会信用体系建设工作要求</w:t>
      </w:r>
      <w:r>
        <w:rPr>
          <w:rFonts w:hint="eastAsia" w:asciiTheme="minorEastAsia" w:hAnsiTheme="minorEastAsia" w:eastAsiaTheme="minorEastAsia" w:cstheme="minorEastAsia"/>
          <w:bCs/>
          <w:color w:val="auto"/>
          <w:szCs w:val="21"/>
          <w:lang w:val="en-US" w:eastAsia="zh-CN"/>
        </w:rPr>
        <w:t>及</w:t>
      </w:r>
      <w:r>
        <w:rPr>
          <w:rFonts w:hint="eastAsia" w:asciiTheme="minorEastAsia" w:hAnsiTheme="minorEastAsia" w:eastAsiaTheme="minorEastAsia" w:cstheme="minorEastAsia"/>
          <w:bCs/>
          <w:color w:val="auto"/>
          <w:szCs w:val="21"/>
        </w:rPr>
        <w:t>江东新区“出形象、聚人气、强管理、优服务”的工作总目标，</w:t>
      </w:r>
      <w:r>
        <w:rPr>
          <w:rFonts w:hint="eastAsia" w:asciiTheme="minorEastAsia" w:hAnsiTheme="minorEastAsia" w:eastAsiaTheme="minorEastAsia" w:cstheme="minorEastAsia"/>
          <w:bCs/>
          <w:color w:val="auto"/>
          <w:szCs w:val="21"/>
          <w:lang w:val="en-US" w:eastAsia="zh-CN"/>
        </w:rPr>
        <w:t>全面推进</w:t>
      </w:r>
      <w:r>
        <w:rPr>
          <w:rFonts w:hint="eastAsia" w:asciiTheme="minorEastAsia" w:hAnsiTheme="minorEastAsia" w:eastAsiaTheme="minorEastAsia" w:cstheme="minorEastAsia"/>
          <w:bCs/>
          <w:color w:val="auto"/>
          <w:szCs w:val="21"/>
        </w:rPr>
        <w:t>海口</w:t>
      </w:r>
      <w:r>
        <w:rPr>
          <w:rFonts w:hint="eastAsia" w:asciiTheme="minorEastAsia" w:hAnsiTheme="minorEastAsia" w:eastAsiaTheme="minorEastAsia" w:cstheme="minorEastAsia"/>
          <w:bCs/>
          <w:color w:val="auto"/>
          <w:szCs w:val="21"/>
          <w:lang w:val="en-US" w:eastAsia="zh-CN"/>
        </w:rPr>
        <w:t>江</w:t>
      </w:r>
      <w:r>
        <w:rPr>
          <w:rFonts w:hint="eastAsia" w:asciiTheme="minorEastAsia" w:hAnsiTheme="minorEastAsia" w:eastAsiaTheme="minorEastAsia" w:cstheme="minorEastAsia"/>
          <w:bCs/>
          <w:color w:val="auto"/>
          <w:szCs w:val="21"/>
        </w:rPr>
        <w:t>东新区信用园区</w:t>
      </w:r>
      <w:r>
        <w:rPr>
          <w:rFonts w:hint="eastAsia" w:asciiTheme="minorEastAsia" w:hAnsiTheme="minorEastAsia" w:eastAsiaTheme="minorEastAsia" w:cstheme="minorEastAsia"/>
          <w:bCs/>
          <w:color w:val="auto"/>
          <w:szCs w:val="21"/>
          <w:lang w:val="en-US" w:eastAsia="zh-CN"/>
        </w:rPr>
        <w:t>建设</w:t>
      </w:r>
      <w:r>
        <w:rPr>
          <w:rFonts w:hint="eastAsia" w:asciiTheme="minorEastAsia" w:hAnsiTheme="minorEastAsia" w:eastAsiaTheme="minorEastAsia" w:cstheme="minorEastAsia"/>
          <w:bCs/>
          <w:color w:val="auto"/>
          <w:szCs w:val="21"/>
        </w:rPr>
        <w:t>，建立健全园区信用管理体系</w:t>
      </w:r>
      <w:r>
        <w:rPr>
          <w:rFonts w:hint="eastAsia" w:asciiTheme="minorEastAsia" w:hAnsiTheme="minorEastAsia" w:eastAsiaTheme="minorEastAsia" w:cstheme="minorEastAsia"/>
          <w:bCs/>
          <w:color w:val="auto"/>
          <w:szCs w:val="21"/>
          <w:lang w:eastAsia="zh-CN"/>
        </w:rPr>
        <w:t>，实现园区信用监管措施精准高效，应用场景建设惠民便企</w:t>
      </w:r>
      <w:r>
        <w:rPr>
          <w:rFonts w:hint="eastAsia" w:asciiTheme="minorEastAsia" w:hAnsiTheme="minorEastAsia" w:eastAsiaTheme="minorEastAsia" w:cstheme="minorEastAsia"/>
          <w:bCs/>
          <w:color w:val="auto"/>
          <w:szCs w:val="21"/>
        </w:rPr>
        <w:t>，打造“信用江东”，委托第三方咨询服务机构提供咨询服务。</w:t>
      </w:r>
    </w:p>
    <w:p w14:paraId="5726AB51">
      <w:pPr>
        <w:spacing w:line="400" w:lineRule="exact"/>
        <w:ind w:firstLine="422" w:firstLineChars="200"/>
        <w:rPr>
          <w:rFonts w:ascii="宋体" w:hAnsi="宋体" w:cs="宋体"/>
          <w:b/>
          <w:bCs/>
          <w:color w:val="auto"/>
          <w:szCs w:val="21"/>
        </w:rPr>
      </w:pPr>
      <w:r>
        <w:rPr>
          <w:rFonts w:hint="eastAsia" w:ascii="宋体" w:hAnsi="宋体" w:cs="宋体"/>
          <w:b/>
          <w:bCs/>
          <w:color w:val="auto"/>
          <w:szCs w:val="21"/>
        </w:rPr>
        <w:t>二、委托内容</w:t>
      </w:r>
    </w:p>
    <w:p w14:paraId="59AB265A">
      <w:pPr>
        <w:spacing w:line="400" w:lineRule="exact"/>
        <w:ind w:firstLine="422" w:firstLineChars="200"/>
        <w:rPr>
          <w:b/>
          <w:bCs/>
          <w:color w:val="auto"/>
        </w:rPr>
      </w:pPr>
      <w:r>
        <w:rPr>
          <w:rFonts w:hint="eastAsia"/>
          <w:b/>
          <w:bCs/>
          <w:color w:val="auto"/>
        </w:rPr>
        <w:t>（一）工作内容</w:t>
      </w:r>
    </w:p>
    <w:p w14:paraId="1CA0DFB4">
      <w:pPr>
        <w:numPr>
          <w:ilvl w:val="255"/>
          <w:numId w:val="0"/>
        </w:numPr>
        <w:spacing w:line="400" w:lineRule="exact"/>
        <w:ind w:left="420"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根据省、市社会信用建设相关工作要求，第三方信用服务机构需为江东新区信用园区建设提供专业咨询、业务指导、文件编制、应用策划、场景辅导和技术支撑等服务，具体服务内容如下：</w:t>
      </w:r>
    </w:p>
    <w:p w14:paraId="43FD05F8">
      <w:pPr>
        <w:numPr>
          <w:ilvl w:val="255"/>
          <w:numId w:val="0"/>
        </w:numPr>
        <w:spacing w:line="400" w:lineRule="exact"/>
        <w:ind w:left="420" w:firstLine="422" w:firstLineChars="200"/>
        <w:rPr>
          <w:rFonts w:hint="eastAsia"/>
          <w:b/>
          <w:bCs/>
          <w:color w:val="auto"/>
        </w:rPr>
      </w:pPr>
      <w:r>
        <w:rPr>
          <w:rFonts w:hint="eastAsia"/>
          <w:b/>
          <w:bCs/>
          <w:color w:val="auto"/>
          <w:lang w:val="en-US" w:eastAsia="zh-CN"/>
        </w:rPr>
        <w:t>1.</w:t>
      </w:r>
      <w:r>
        <w:rPr>
          <w:rFonts w:hint="eastAsia"/>
          <w:b/>
          <w:bCs/>
          <w:color w:val="auto"/>
        </w:rPr>
        <w:t>编制园区信用制度和标准体系</w:t>
      </w:r>
    </w:p>
    <w:p w14:paraId="039889F2">
      <w:pPr>
        <w:numPr>
          <w:ilvl w:val="255"/>
          <w:numId w:val="0"/>
        </w:numPr>
        <w:spacing w:line="400" w:lineRule="exact"/>
        <w:ind w:left="420"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第三方信用服务机构需根据省、市关于社会信用体系建设工作要求，围绕园区产业特色，聚焦园区信用信息目录、信用信息归集、绘制企业信用画像、应用场景建设、信用监管、数据互联共享、守信激励、失信惩戒、诚信文化培训及宣传等方面，并结合政务审批、项目建设、招投标、</w:t>
      </w:r>
      <w:r>
        <w:rPr>
          <w:rFonts w:hint="eastAsia" w:asciiTheme="minorEastAsia" w:hAnsiTheme="minorEastAsia" w:eastAsiaTheme="minorEastAsia" w:cstheme="minorEastAsia"/>
          <w:bCs/>
          <w:color w:val="auto"/>
          <w:szCs w:val="21"/>
          <w:lang w:val="en-US" w:eastAsia="zh-CN"/>
        </w:rPr>
        <w:t>金融</w:t>
      </w:r>
      <w:r>
        <w:rPr>
          <w:rFonts w:hint="eastAsia" w:asciiTheme="minorEastAsia" w:hAnsiTheme="minorEastAsia" w:eastAsiaTheme="minorEastAsia" w:cstheme="minorEastAsia"/>
          <w:bCs/>
          <w:color w:val="auto"/>
          <w:szCs w:val="21"/>
        </w:rPr>
        <w:t>、人才服务、履约践诺、联合奖惩等维度，深化“审管法信”全流程监管，编制完成《海口江东新区信用园区建设总体方案》《海口江东新区信用园区建设三年行动计划（2024－2026）》《海口江东新区公共信用信息目录》，按年度完成每年的建设信用园区行动方案，建立园区多维度顶层信用制度体系。</w:t>
      </w:r>
    </w:p>
    <w:p w14:paraId="58755EF4">
      <w:pPr>
        <w:numPr>
          <w:ilvl w:val="255"/>
          <w:numId w:val="0"/>
        </w:numPr>
        <w:spacing w:line="400" w:lineRule="exact"/>
        <w:ind w:left="420" w:firstLine="422" w:firstLineChars="200"/>
        <w:rPr>
          <w:rFonts w:hint="eastAsia"/>
          <w:b/>
          <w:bCs/>
          <w:color w:val="auto"/>
        </w:rPr>
      </w:pPr>
      <w:r>
        <w:rPr>
          <w:rFonts w:hint="eastAsia"/>
          <w:b/>
          <w:bCs/>
          <w:color w:val="auto"/>
          <w:lang w:val="en-US" w:eastAsia="zh-CN"/>
        </w:rPr>
        <w:t>2.</w:t>
      </w:r>
      <w:r>
        <w:rPr>
          <w:rFonts w:hint="eastAsia"/>
          <w:b/>
          <w:bCs/>
          <w:color w:val="auto"/>
        </w:rPr>
        <w:t>绘制园区存量、增量企业信用初画像</w:t>
      </w:r>
    </w:p>
    <w:p w14:paraId="0C1A9B08">
      <w:pPr>
        <w:numPr>
          <w:ilvl w:val="255"/>
          <w:numId w:val="0"/>
        </w:numPr>
        <w:spacing w:line="400" w:lineRule="exact"/>
        <w:ind w:left="420"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第三方信用服务机构结合企业工商注册信息、企业生产经营情况信息、税收信息、信贷信息、合同履约情况信息、诉讼信息、行政许可和行政处罚“双公示”等行政管理信息，绘制完成园区现有存量企业、2024年－2026年各年度新增企业及在园区内为项目建设提供勘察、设计、咨询、监理和施工服务的参建各方信用初画像，为日后分级分类精准监管和惠企便民服务奠定基础。</w:t>
      </w:r>
    </w:p>
    <w:p w14:paraId="10BC130A">
      <w:pPr>
        <w:numPr>
          <w:ilvl w:val="255"/>
          <w:numId w:val="0"/>
        </w:numPr>
        <w:spacing w:line="400" w:lineRule="exact"/>
        <w:ind w:left="420" w:firstLine="422" w:firstLineChars="200"/>
        <w:rPr>
          <w:rFonts w:hint="eastAsia"/>
          <w:b/>
          <w:bCs/>
          <w:color w:val="auto"/>
        </w:rPr>
      </w:pPr>
      <w:r>
        <w:rPr>
          <w:rFonts w:hint="eastAsia"/>
          <w:b/>
          <w:bCs/>
          <w:color w:val="auto"/>
          <w:lang w:val="en-US" w:eastAsia="zh-CN"/>
        </w:rPr>
        <w:t>3.</w:t>
      </w:r>
      <w:r>
        <w:rPr>
          <w:rFonts w:hint="eastAsia"/>
          <w:b/>
          <w:bCs/>
          <w:color w:val="auto"/>
        </w:rPr>
        <w:t>提供园区信用管理平台服务功能</w:t>
      </w:r>
    </w:p>
    <w:p w14:paraId="518C3D78">
      <w:pPr>
        <w:numPr>
          <w:ilvl w:val="255"/>
          <w:numId w:val="0"/>
        </w:numPr>
        <w:spacing w:line="400" w:lineRule="exact"/>
        <w:ind w:left="420"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第三方信用服务机构需根据园区信用建设规划方向及工作要求，利用自身资源或平台优势，提供成熟、可靠的信用应用数字化支撑服务，具体包括信用数据归集服务、信用数据治理服务、信用信息公示服务、信用档案建设服务、信用评价建设服务、信用预警建设服务等服务，相关技术服务需在合同签订后三个月内达到上线试运行标准。</w:t>
      </w:r>
    </w:p>
    <w:p w14:paraId="55E66810">
      <w:pPr>
        <w:numPr>
          <w:ilvl w:val="255"/>
          <w:numId w:val="0"/>
        </w:numPr>
        <w:spacing w:line="400" w:lineRule="exact"/>
        <w:ind w:left="420" w:firstLine="422" w:firstLineChars="200"/>
        <w:rPr>
          <w:rFonts w:hint="eastAsia"/>
          <w:b/>
          <w:bCs/>
          <w:color w:val="auto"/>
        </w:rPr>
      </w:pPr>
      <w:r>
        <w:rPr>
          <w:rFonts w:hint="eastAsia"/>
          <w:b/>
          <w:bCs/>
          <w:color w:val="auto"/>
          <w:lang w:val="en-US" w:eastAsia="zh-CN"/>
        </w:rPr>
        <w:t>4.</w:t>
      </w:r>
      <w:r>
        <w:rPr>
          <w:rFonts w:hint="eastAsia"/>
          <w:b/>
          <w:bCs/>
          <w:color w:val="auto"/>
        </w:rPr>
        <w:t>园区信用应用场景建设</w:t>
      </w:r>
    </w:p>
    <w:p w14:paraId="4F69B700">
      <w:pPr>
        <w:numPr>
          <w:ilvl w:val="255"/>
          <w:numId w:val="0"/>
        </w:numPr>
        <w:spacing w:line="400" w:lineRule="exact"/>
        <w:ind w:left="420"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第三方信用服务机构围绕园区行政审批、产业发展、项目建设、金融信贷、招商引资、企业服务、人才服务、招投标、政策兑现等领域，构建园区信用激励应用场景体系，编制完成《海口江东新区“信用+”场景建设实施方案》，推动完成2024年－2026年服务期内开发不少于10个场景，2024年度不少于3个场景建设，2025年度不少于3个场景建设，2026年不少于4个场景建设，赋能审批、监管、执法高效协同。</w:t>
      </w:r>
    </w:p>
    <w:p w14:paraId="31D29504">
      <w:pPr>
        <w:numPr>
          <w:ilvl w:val="255"/>
          <w:numId w:val="0"/>
        </w:numPr>
        <w:spacing w:line="400" w:lineRule="exact"/>
        <w:ind w:left="420" w:firstLine="422" w:firstLineChars="200"/>
        <w:rPr>
          <w:rFonts w:hint="eastAsia"/>
          <w:b/>
          <w:bCs/>
          <w:color w:val="auto"/>
        </w:rPr>
      </w:pPr>
      <w:r>
        <w:rPr>
          <w:rFonts w:hint="eastAsia"/>
          <w:b/>
          <w:bCs/>
          <w:color w:val="auto"/>
          <w:lang w:val="en-US" w:eastAsia="zh-CN"/>
        </w:rPr>
        <w:t>5.</w:t>
      </w:r>
      <w:r>
        <w:rPr>
          <w:rFonts w:hint="eastAsia"/>
          <w:b/>
          <w:bCs/>
          <w:color w:val="auto"/>
        </w:rPr>
        <w:t>信用经验总结、案例提炼和学习机制建立服务</w:t>
      </w:r>
    </w:p>
    <w:p w14:paraId="376A0C56">
      <w:pPr>
        <w:numPr>
          <w:ilvl w:val="255"/>
          <w:numId w:val="0"/>
        </w:numPr>
        <w:spacing w:line="400" w:lineRule="exact"/>
        <w:ind w:left="420" w:firstLine="420" w:firstLineChars="20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为促进园区信用建设的持续提升与丰富创新，第三方信用服务机构需充分掌握和深入研究国内外园区信用体系建设发展动向和先进做法，推进江东新区信用园区的持续发展与创新，每半年编制形成一份《国内外先进信用园区经验案例报告》，全面、客观地搜集并分析国内外信用园区建设与管理方面的成功案例，该汇编需结合每一经验案例做法，提出具有科学性和可操作性的意见建议。汇编成册（共5期）。</w:t>
      </w:r>
    </w:p>
    <w:p w14:paraId="6D31D10E">
      <w:pPr>
        <w:numPr>
          <w:ilvl w:val="255"/>
          <w:numId w:val="0"/>
        </w:numPr>
        <w:spacing w:line="400" w:lineRule="exact"/>
        <w:ind w:left="420" w:firstLine="422" w:firstLineChars="200"/>
        <w:rPr>
          <w:b/>
          <w:bCs/>
          <w:color w:val="auto"/>
        </w:rPr>
      </w:pPr>
      <w:r>
        <w:rPr>
          <w:rFonts w:hint="eastAsia"/>
          <w:b/>
          <w:bCs/>
          <w:color w:val="auto"/>
        </w:rPr>
        <w:t>（二）工作时间</w:t>
      </w:r>
    </w:p>
    <w:p w14:paraId="18BA8AE7">
      <w:pPr>
        <w:numPr>
          <w:ilvl w:val="255"/>
          <w:numId w:val="0"/>
        </w:numPr>
        <w:spacing w:line="400" w:lineRule="exact"/>
        <w:ind w:left="420" w:firstLine="420" w:firstLineChars="200"/>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2024年9月-2026年12月。</w:t>
      </w:r>
    </w:p>
    <w:p w14:paraId="223E64EE">
      <w:pPr>
        <w:spacing w:line="400" w:lineRule="exact"/>
        <w:ind w:firstLine="843" w:firstLineChars="400"/>
        <w:rPr>
          <w:rFonts w:hint="default" w:eastAsia="宋体"/>
          <w:b/>
          <w:bCs/>
          <w:color w:val="auto"/>
          <w:lang w:val="en-US" w:eastAsia="zh-CN"/>
        </w:rPr>
      </w:pPr>
      <w:r>
        <w:rPr>
          <w:rFonts w:hint="eastAsia"/>
          <w:b/>
          <w:bCs/>
          <w:color w:val="auto"/>
          <w:lang w:val="en-US" w:eastAsia="zh-CN"/>
        </w:rPr>
        <w:t>（三）</w:t>
      </w:r>
      <w:r>
        <w:rPr>
          <w:rFonts w:hint="eastAsia"/>
          <w:b/>
          <w:bCs/>
          <w:color w:val="auto"/>
        </w:rPr>
        <w:t>工作成果</w:t>
      </w:r>
    </w:p>
    <w:p w14:paraId="75A8655E">
      <w:pPr>
        <w:numPr>
          <w:ilvl w:val="255"/>
          <w:numId w:val="0"/>
        </w:numPr>
        <w:spacing w:line="400" w:lineRule="exact"/>
        <w:ind w:left="420" w:firstLine="420" w:firstLineChars="200"/>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1.</w:t>
      </w:r>
      <w:r>
        <w:rPr>
          <w:rFonts w:hint="eastAsia" w:asciiTheme="minorEastAsia" w:hAnsiTheme="minorEastAsia" w:eastAsiaTheme="minorEastAsia" w:cstheme="minorEastAsia"/>
          <w:bCs/>
          <w:color w:val="auto"/>
          <w:szCs w:val="21"/>
        </w:rPr>
        <w:t>2024年</w:t>
      </w:r>
      <w:r>
        <w:rPr>
          <w:rFonts w:hint="eastAsia" w:asciiTheme="minorEastAsia" w:hAnsiTheme="minorEastAsia" w:eastAsiaTheme="minorEastAsia" w:cstheme="minorEastAsia"/>
          <w:bCs/>
          <w:color w:val="auto"/>
          <w:szCs w:val="21"/>
          <w:lang w:val="en-US" w:eastAsia="zh-CN"/>
        </w:rPr>
        <w:t>10</w:t>
      </w:r>
      <w:r>
        <w:rPr>
          <w:rFonts w:hint="eastAsia" w:asciiTheme="minorEastAsia" w:hAnsiTheme="minorEastAsia" w:eastAsiaTheme="minorEastAsia" w:cstheme="minorEastAsia"/>
          <w:bCs/>
          <w:color w:val="auto"/>
          <w:szCs w:val="21"/>
        </w:rPr>
        <w:t>月</w:t>
      </w:r>
      <w:r>
        <w:rPr>
          <w:rFonts w:hint="eastAsia" w:asciiTheme="minorEastAsia" w:hAnsiTheme="minorEastAsia" w:eastAsiaTheme="minorEastAsia" w:cstheme="minorEastAsia"/>
          <w:bCs/>
          <w:color w:val="auto"/>
          <w:szCs w:val="21"/>
          <w:lang w:val="en-US" w:eastAsia="zh-CN"/>
        </w:rPr>
        <w:t>15日</w:t>
      </w:r>
      <w:r>
        <w:rPr>
          <w:rFonts w:hint="eastAsia" w:asciiTheme="minorEastAsia" w:hAnsiTheme="minorEastAsia" w:eastAsiaTheme="minorEastAsia" w:cstheme="minorEastAsia"/>
          <w:bCs/>
          <w:color w:val="auto"/>
          <w:szCs w:val="21"/>
        </w:rPr>
        <w:t>前，根据研究成果, 提出2024年度</w:t>
      </w:r>
      <w:r>
        <w:rPr>
          <w:rFonts w:hint="eastAsia" w:asciiTheme="minorEastAsia" w:hAnsiTheme="minorEastAsia" w:eastAsiaTheme="minorEastAsia" w:cstheme="minorEastAsia"/>
          <w:bCs/>
          <w:color w:val="auto"/>
          <w:szCs w:val="21"/>
          <w:lang w:val="en-US" w:eastAsia="zh-CN"/>
        </w:rPr>
        <w:t>信用园区</w:t>
      </w:r>
      <w:r>
        <w:rPr>
          <w:rFonts w:hint="eastAsia" w:asciiTheme="minorEastAsia" w:hAnsiTheme="minorEastAsia" w:eastAsiaTheme="minorEastAsia" w:cstheme="minorEastAsia"/>
          <w:bCs/>
          <w:color w:val="auto"/>
          <w:szCs w:val="21"/>
        </w:rPr>
        <w:t>建设方向及</w:t>
      </w:r>
      <w:r>
        <w:rPr>
          <w:rFonts w:hint="eastAsia" w:asciiTheme="minorEastAsia" w:hAnsiTheme="minorEastAsia" w:eastAsiaTheme="minorEastAsia" w:cstheme="minorEastAsia"/>
          <w:bCs/>
          <w:color w:val="auto"/>
          <w:szCs w:val="21"/>
          <w:lang w:val="en-US" w:eastAsia="zh-CN"/>
        </w:rPr>
        <w:t>信用应用场景</w:t>
      </w:r>
      <w:r>
        <w:rPr>
          <w:rFonts w:hint="eastAsia" w:asciiTheme="minorEastAsia" w:hAnsiTheme="minorEastAsia" w:eastAsiaTheme="minorEastAsia" w:cstheme="minorEastAsia"/>
          <w:bCs/>
          <w:color w:val="auto"/>
          <w:szCs w:val="21"/>
        </w:rPr>
        <w:t>，编制完成《海口江东新区信用园区建设总体方案》《海口江东新区信用园区建设三年行动计划（2024－2026）》《海口江东新区公共信用信息目录》</w:t>
      </w:r>
      <w:r>
        <w:rPr>
          <w:rFonts w:hint="eastAsia" w:asciiTheme="minorEastAsia" w:hAnsiTheme="minorEastAsia" w:eastAsiaTheme="minorEastAsia" w:cstheme="minorEastAsia"/>
          <w:bCs/>
          <w:color w:val="auto"/>
          <w:szCs w:val="21"/>
          <w:lang w:val="en-US" w:eastAsia="zh-CN"/>
        </w:rPr>
        <w:t>。</w:t>
      </w:r>
    </w:p>
    <w:p w14:paraId="70C0B688">
      <w:pPr>
        <w:numPr>
          <w:ilvl w:val="255"/>
          <w:numId w:val="0"/>
        </w:numPr>
        <w:spacing w:line="400" w:lineRule="exact"/>
        <w:ind w:left="420" w:firstLine="420" w:firstLineChars="200"/>
        <w:rPr>
          <w:rFonts w:hint="eastAsia" w:asciiTheme="minorEastAsia" w:hAnsiTheme="minorEastAsia" w:eastAsiaTheme="minorEastAsia" w:cstheme="minorEastAsia"/>
          <w:bCs/>
          <w:color w:val="auto"/>
          <w:szCs w:val="21"/>
          <w:lang w:eastAsia="zh-CN"/>
        </w:rPr>
      </w:pPr>
      <w:r>
        <w:rPr>
          <w:rFonts w:hint="eastAsia" w:asciiTheme="minorEastAsia" w:hAnsiTheme="minorEastAsia" w:eastAsiaTheme="minorEastAsia" w:cstheme="minorEastAsia"/>
          <w:bCs/>
          <w:color w:val="auto"/>
          <w:szCs w:val="21"/>
          <w:lang w:val="en-US" w:eastAsia="zh-CN"/>
        </w:rPr>
        <w:t>2.</w:t>
      </w:r>
      <w:r>
        <w:rPr>
          <w:rFonts w:hint="eastAsia" w:asciiTheme="minorEastAsia" w:hAnsiTheme="minorEastAsia" w:eastAsiaTheme="minorEastAsia" w:cstheme="minorEastAsia"/>
          <w:bCs/>
          <w:color w:val="auto"/>
          <w:szCs w:val="21"/>
        </w:rPr>
        <w:t>202</w:t>
      </w:r>
      <w:r>
        <w:rPr>
          <w:rFonts w:hint="eastAsia" w:asciiTheme="minorEastAsia" w:hAnsiTheme="minorEastAsia" w:eastAsiaTheme="minorEastAsia" w:cstheme="minorEastAsia"/>
          <w:bCs/>
          <w:color w:val="auto"/>
          <w:szCs w:val="21"/>
          <w:lang w:val="en-US" w:eastAsia="zh-CN"/>
        </w:rPr>
        <w:t>4</w:t>
      </w:r>
      <w:r>
        <w:rPr>
          <w:rFonts w:hint="eastAsia" w:asciiTheme="minorEastAsia" w:hAnsiTheme="minorEastAsia" w:eastAsiaTheme="minorEastAsia" w:cstheme="minorEastAsia"/>
          <w:bCs/>
          <w:color w:val="auto"/>
          <w:szCs w:val="21"/>
        </w:rPr>
        <w:t>年</w:t>
      </w:r>
      <w:r>
        <w:rPr>
          <w:rFonts w:hint="eastAsia" w:asciiTheme="minorEastAsia" w:hAnsiTheme="minorEastAsia" w:eastAsiaTheme="minorEastAsia" w:cstheme="minorEastAsia"/>
          <w:bCs/>
          <w:color w:val="auto"/>
          <w:szCs w:val="21"/>
          <w:lang w:val="en-US" w:eastAsia="zh-CN"/>
        </w:rPr>
        <w:t>12</w:t>
      </w:r>
      <w:r>
        <w:rPr>
          <w:rFonts w:hint="eastAsia" w:asciiTheme="minorEastAsia" w:hAnsiTheme="minorEastAsia" w:eastAsiaTheme="minorEastAsia" w:cstheme="minorEastAsia"/>
          <w:bCs/>
          <w:color w:val="auto"/>
          <w:szCs w:val="21"/>
        </w:rPr>
        <w:t>月</w:t>
      </w:r>
      <w:r>
        <w:rPr>
          <w:rFonts w:hint="eastAsia" w:asciiTheme="minorEastAsia" w:hAnsiTheme="minorEastAsia" w:eastAsiaTheme="minorEastAsia" w:cstheme="minorEastAsia"/>
          <w:bCs/>
          <w:color w:val="auto"/>
          <w:szCs w:val="21"/>
          <w:lang w:val="en-US" w:eastAsia="zh-CN"/>
        </w:rPr>
        <w:t>31日前</w:t>
      </w:r>
      <w:r>
        <w:rPr>
          <w:rFonts w:hint="eastAsia" w:asciiTheme="minorEastAsia" w:hAnsiTheme="minorEastAsia" w:eastAsiaTheme="minorEastAsia" w:cstheme="minorEastAsia"/>
          <w:bCs/>
          <w:color w:val="auto"/>
          <w:szCs w:val="21"/>
        </w:rPr>
        <w:t>，编制完成《海口江东新区</w:t>
      </w:r>
      <w:r>
        <w:rPr>
          <w:rFonts w:hint="eastAsia" w:asciiTheme="minorEastAsia" w:hAnsiTheme="minorEastAsia" w:eastAsiaTheme="minorEastAsia" w:cstheme="minorEastAsia"/>
          <w:bCs/>
          <w:color w:val="auto"/>
          <w:szCs w:val="21"/>
          <w:lang w:val="en-US" w:eastAsia="zh-CN"/>
        </w:rPr>
        <w:t>信用园区</w:t>
      </w:r>
      <w:r>
        <w:rPr>
          <w:rFonts w:hint="eastAsia" w:asciiTheme="minorEastAsia" w:hAnsiTheme="minorEastAsia" w:eastAsiaTheme="minorEastAsia" w:cstheme="minorEastAsia"/>
          <w:bCs/>
          <w:color w:val="auto"/>
          <w:szCs w:val="21"/>
        </w:rPr>
        <w:t>建设行动方案（202</w:t>
      </w:r>
      <w:r>
        <w:rPr>
          <w:rFonts w:hint="eastAsia" w:asciiTheme="minorEastAsia" w:hAnsiTheme="minorEastAsia" w:eastAsiaTheme="minorEastAsia" w:cstheme="minorEastAsia"/>
          <w:bCs/>
          <w:color w:val="auto"/>
          <w:szCs w:val="21"/>
          <w:lang w:val="en-US" w:eastAsia="zh-CN"/>
        </w:rPr>
        <w:t>4</w:t>
      </w:r>
      <w:r>
        <w:rPr>
          <w:rFonts w:hint="eastAsia" w:asciiTheme="minorEastAsia" w:hAnsiTheme="minorEastAsia" w:eastAsiaTheme="minorEastAsia" w:cstheme="minorEastAsia"/>
          <w:bCs/>
          <w:color w:val="auto"/>
          <w:szCs w:val="21"/>
        </w:rPr>
        <w:t>年）》</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lang w:val="en-US" w:eastAsia="zh-CN"/>
        </w:rPr>
        <w:t>完成</w:t>
      </w:r>
      <w:r>
        <w:rPr>
          <w:rFonts w:hint="eastAsia" w:asciiTheme="minorEastAsia" w:hAnsiTheme="minorEastAsia" w:eastAsiaTheme="minorEastAsia" w:cstheme="minorEastAsia"/>
          <w:bCs/>
          <w:color w:val="auto"/>
          <w:szCs w:val="21"/>
        </w:rPr>
        <w:t>开发3个</w:t>
      </w:r>
      <w:r>
        <w:rPr>
          <w:rFonts w:hint="eastAsia" w:asciiTheme="minorEastAsia" w:hAnsiTheme="minorEastAsia" w:eastAsiaTheme="minorEastAsia" w:cstheme="minorEastAsia"/>
          <w:bCs/>
          <w:color w:val="auto"/>
          <w:szCs w:val="21"/>
          <w:lang w:val="en-US" w:eastAsia="zh-CN"/>
        </w:rPr>
        <w:t>信用+应用</w:t>
      </w:r>
      <w:r>
        <w:rPr>
          <w:rFonts w:hint="eastAsia" w:asciiTheme="minorEastAsia" w:hAnsiTheme="minorEastAsia" w:eastAsiaTheme="minorEastAsia" w:cstheme="minorEastAsia"/>
          <w:bCs/>
          <w:color w:val="auto"/>
          <w:szCs w:val="21"/>
        </w:rPr>
        <w:t>场景</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lang w:val="en-US" w:eastAsia="zh-CN"/>
        </w:rPr>
        <w:t>完成绘制园区已有企业信用画像，并提供信用管理平台服务。</w:t>
      </w:r>
    </w:p>
    <w:p w14:paraId="6A1CB265">
      <w:pPr>
        <w:numPr>
          <w:ilvl w:val="255"/>
          <w:numId w:val="0"/>
        </w:numPr>
        <w:spacing w:line="400" w:lineRule="exact"/>
        <w:ind w:left="420" w:firstLine="420" w:firstLineChars="200"/>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3.</w:t>
      </w:r>
      <w:r>
        <w:rPr>
          <w:rFonts w:hint="eastAsia" w:asciiTheme="minorEastAsia" w:hAnsiTheme="minorEastAsia" w:eastAsiaTheme="minorEastAsia" w:cstheme="minorEastAsia"/>
          <w:bCs/>
          <w:color w:val="auto"/>
          <w:szCs w:val="21"/>
        </w:rPr>
        <w:t>2025年3月底前，</w:t>
      </w:r>
      <w:r>
        <w:rPr>
          <w:rFonts w:hint="eastAsia" w:asciiTheme="minorEastAsia" w:hAnsiTheme="minorEastAsia" w:eastAsiaTheme="minorEastAsia" w:cstheme="minorEastAsia"/>
          <w:bCs/>
          <w:color w:val="auto"/>
          <w:szCs w:val="21"/>
          <w:lang w:val="en-US" w:eastAsia="zh-CN"/>
        </w:rPr>
        <w:t>编制</w:t>
      </w:r>
      <w:r>
        <w:rPr>
          <w:rFonts w:hint="eastAsia" w:asciiTheme="minorEastAsia" w:hAnsiTheme="minorEastAsia" w:eastAsiaTheme="minorEastAsia" w:cstheme="minorEastAsia"/>
          <w:bCs/>
          <w:color w:val="auto"/>
          <w:szCs w:val="21"/>
        </w:rPr>
        <w:t>完成《海口江东新区</w:t>
      </w:r>
      <w:r>
        <w:rPr>
          <w:rFonts w:hint="eastAsia" w:asciiTheme="minorEastAsia" w:hAnsiTheme="minorEastAsia" w:eastAsiaTheme="minorEastAsia" w:cstheme="minorEastAsia"/>
          <w:bCs/>
          <w:color w:val="auto"/>
          <w:szCs w:val="21"/>
          <w:lang w:val="en-US" w:eastAsia="zh-CN"/>
        </w:rPr>
        <w:t>信用园区</w:t>
      </w:r>
      <w:r>
        <w:rPr>
          <w:rFonts w:hint="eastAsia" w:asciiTheme="minorEastAsia" w:hAnsiTheme="minorEastAsia" w:eastAsiaTheme="minorEastAsia" w:cstheme="minorEastAsia"/>
          <w:bCs/>
          <w:color w:val="auto"/>
          <w:szCs w:val="21"/>
        </w:rPr>
        <w:t>建设行动方案（2025年）》</w:t>
      </w:r>
      <w:r>
        <w:rPr>
          <w:rFonts w:hint="eastAsia" w:asciiTheme="minorEastAsia" w:hAnsiTheme="minorEastAsia" w:eastAsiaTheme="minorEastAsia" w:cstheme="minorEastAsia"/>
          <w:bCs/>
          <w:color w:val="auto"/>
          <w:szCs w:val="21"/>
          <w:lang w:val="en-US" w:eastAsia="zh-CN"/>
        </w:rPr>
        <w:t>。</w:t>
      </w:r>
    </w:p>
    <w:p w14:paraId="35F205C1">
      <w:pPr>
        <w:numPr>
          <w:ilvl w:val="255"/>
          <w:numId w:val="0"/>
        </w:numPr>
        <w:spacing w:line="400" w:lineRule="exact"/>
        <w:ind w:left="420" w:firstLine="420" w:firstLineChars="200"/>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4.</w:t>
      </w:r>
      <w:r>
        <w:rPr>
          <w:rFonts w:hint="eastAsia" w:asciiTheme="minorEastAsia" w:hAnsiTheme="minorEastAsia" w:eastAsiaTheme="minorEastAsia" w:cstheme="minorEastAsia"/>
          <w:bCs/>
          <w:color w:val="auto"/>
          <w:szCs w:val="21"/>
        </w:rPr>
        <w:t>2025年</w:t>
      </w:r>
      <w:r>
        <w:rPr>
          <w:rFonts w:hint="eastAsia" w:asciiTheme="minorEastAsia" w:hAnsiTheme="minorEastAsia" w:eastAsiaTheme="minorEastAsia" w:cstheme="minorEastAsia"/>
          <w:bCs/>
          <w:color w:val="auto"/>
          <w:szCs w:val="21"/>
          <w:lang w:val="en-US" w:eastAsia="zh-CN"/>
        </w:rPr>
        <w:t>12</w:t>
      </w:r>
      <w:r>
        <w:rPr>
          <w:rFonts w:hint="eastAsia" w:asciiTheme="minorEastAsia" w:hAnsiTheme="minorEastAsia" w:eastAsiaTheme="minorEastAsia" w:cstheme="minorEastAsia"/>
          <w:bCs/>
          <w:color w:val="auto"/>
          <w:szCs w:val="21"/>
        </w:rPr>
        <w:t>月底前</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lang w:val="en-US" w:eastAsia="zh-CN"/>
        </w:rPr>
        <w:t>再行完成</w:t>
      </w:r>
      <w:r>
        <w:rPr>
          <w:rFonts w:hint="eastAsia" w:asciiTheme="minorEastAsia" w:hAnsiTheme="minorEastAsia" w:eastAsiaTheme="minorEastAsia" w:cstheme="minorEastAsia"/>
          <w:bCs/>
          <w:color w:val="auto"/>
          <w:szCs w:val="21"/>
        </w:rPr>
        <w:t>开发3个</w:t>
      </w:r>
      <w:r>
        <w:rPr>
          <w:rFonts w:hint="eastAsia" w:asciiTheme="minorEastAsia" w:hAnsiTheme="minorEastAsia" w:eastAsiaTheme="minorEastAsia" w:cstheme="minorEastAsia"/>
          <w:bCs/>
          <w:color w:val="auto"/>
          <w:szCs w:val="21"/>
          <w:lang w:val="en-US" w:eastAsia="zh-CN"/>
        </w:rPr>
        <w:t>信用+应用</w:t>
      </w:r>
      <w:r>
        <w:rPr>
          <w:rFonts w:hint="eastAsia" w:asciiTheme="minorEastAsia" w:hAnsiTheme="minorEastAsia" w:eastAsiaTheme="minorEastAsia" w:cstheme="minorEastAsia"/>
          <w:bCs/>
          <w:color w:val="auto"/>
          <w:szCs w:val="21"/>
        </w:rPr>
        <w:t>场景</w:t>
      </w:r>
      <w:r>
        <w:rPr>
          <w:rFonts w:hint="eastAsia" w:asciiTheme="minorEastAsia" w:hAnsiTheme="minorEastAsia" w:eastAsiaTheme="minorEastAsia" w:cstheme="minorEastAsia"/>
          <w:bCs/>
          <w:color w:val="auto"/>
          <w:szCs w:val="21"/>
          <w:lang w:val="en-US" w:eastAsia="zh-CN"/>
        </w:rPr>
        <w:t>并投用</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lang w:val="en-US" w:eastAsia="zh-CN"/>
        </w:rPr>
        <w:t>绘制完成园区所有企业信用画像。</w:t>
      </w:r>
    </w:p>
    <w:p w14:paraId="6D72722B">
      <w:pPr>
        <w:numPr>
          <w:ilvl w:val="255"/>
          <w:numId w:val="0"/>
        </w:numPr>
        <w:spacing w:line="400" w:lineRule="exact"/>
        <w:ind w:left="420" w:firstLine="420" w:firstLineChars="200"/>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5.</w:t>
      </w:r>
      <w:r>
        <w:rPr>
          <w:rFonts w:hint="eastAsia" w:asciiTheme="minorEastAsia" w:hAnsiTheme="minorEastAsia" w:eastAsiaTheme="minorEastAsia" w:cstheme="minorEastAsia"/>
          <w:bCs/>
          <w:color w:val="auto"/>
          <w:szCs w:val="21"/>
        </w:rPr>
        <w:t>202</w:t>
      </w:r>
      <w:r>
        <w:rPr>
          <w:rFonts w:hint="eastAsia" w:asciiTheme="minorEastAsia" w:hAnsiTheme="minorEastAsia" w:eastAsiaTheme="minorEastAsia" w:cstheme="minorEastAsia"/>
          <w:bCs/>
          <w:color w:val="auto"/>
          <w:szCs w:val="21"/>
          <w:lang w:val="en-US" w:eastAsia="zh-CN"/>
        </w:rPr>
        <w:t>6</w:t>
      </w:r>
      <w:r>
        <w:rPr>
          <w:rFonts w:hint="eastAsia" w:asciiTheme="minorEastAsia" w:hAnsiTheme="minorEastAsia" w:eastAsiaTheme="minorEastAsia" w:cstheme="minorEastAsia"/>
          <w:bCs/>
          <w:color w:val="auto"/>
          <w:szCs w:val="21"/>
        </w:rPr>
        <w:t>年</w:t>
      </w:r>
      <w:r>
        <w:rPr>
          <w:rFonts w:hint="eastAsia" w:asciiTheme="minorEastAsia" w:hAnsiTheme="minorEastAsia" w:eastAsiaTheme="minorEastAsia" w:cstheme="minorEastAsia"/>
          <w:bCs/>
          <w:color w:val="auto"/>
          <w:szCs w:val="21"/>
          <w:lang w:val="en-US" w:eastAsia="zh-CN"/>
        </w:rPr>
        <w:t>3</w:t>
      </w:r>
      <w:r>
        <w:rPr>
          <w:rFonts w:hint="eastAsia" w:asciiTheme="minorEastAsia" w:hAnsiTheme="minorEastAsia" w:eastAsiaTheme="minorEastAsia" w:cstheme="minorEastAsia"/>
          <w:bCs/>
          <w:color w:val="auto"/>
          <w:szCs w:val="21"/>
        </w:rPr>
        <w:t>月底前，编制完成《海口江东新区</w:t>
      </w:r>
      <w:r>
        <w:rPr>
          <w:rFonts w:hint="eastAsia" w:asciiTheme="minorEastAsia" w:hAnsiTheme="minorEastAsia" w:eastAsiaTheme="minorEastAsia" w:cstheme="minorEastAsia"/>
          <w:bCs/>
          <w:color w:val="auto"/>
          <w:szCs w:val="21"/>
          <w:lang w:val="en-US" w:eastAsia="zh-CN"/>
        </w:rPr>
        <w:t>信用园区</w:t>
      </w:r>
      <w:r>
        <w:rPr>
          <w:rFonts w:hint="eastAsia" w:asciiTheme="minorEastAsia" w:hAnsiTheme="minorEastAsia" w:eastAsiaTheme="minorEastAsia" w:cstheme="minorEastAsia"/>
          <w:bCs/>
          <w:color w:val="auto"/>
          <w:szCs w:val="21"/>
        </w:rPr>
        <w:t>建设行动方案（202</w:t>
      </w:r>
      <w:r>
        <w:rPr>
          <w:rFonts w:hint="eastAsia" w:asciiTheme="minorEastAsia" w:hAnsiTheme="minorEastAsia" w:eastAsiaTheme="minorEastAsia" w:cstheme="minorEastAsia"/>
          <w:bCs/>
          <w:color w:val="auto"/>
          <w:szCs w:val="21"/>
          <w:lang w:val="en-US" w:eastAsia="zh-CN"/>
        </w:rPr>
        <w:t>6</w:t>
      </w:r>
      <w:r>
        <w:rPr>
          <w:rFonts w:hint="eastAsia" w:asciiTheme="minorEastAsia" w:hAnsiTheme="minorEastAsia" w:eastAsiaTheme="minorEastAsia" w:cstheme="minorEastAsia"/>
          <w:bCs/>
          <w:color w:val="auto"/>
          <w:szCs w:val="21"/>
        </w:rPr>
        <w:t>年）》</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lang w:val="en-US" w:eastAsia="zh-CN"/>
        </w:rPr>
        <w:t>。</w:t>
      </w:r>
    </w:p>
    <w:p w14:paraId="0A639C5E">
      <w:pPr>
        <w:numPr>
          <w:ilvl w:val="255"/>
          <w:numId w:val="0"/>
        </w:numPr>
        <w:spacing w:line="400" w:lineRule="exact"/>
        <w:ind w:left="420" w:firstLine="420" w:firstLineChars="200"/>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6.</w:t>
      </w:r>
      <w:r>
        <w:rPr>
          <w:rFonts w:hint="eastAsia" w:asciiTheme="minorEastAsia" w:hAnsiTheme="minorEastAsia" w:eastAsiaTheme="minorEastAsia" w:cstheme="minorEastAsia"/>
          <w:bCs/>
          <w:color w:val="auto"/>
          <w:szCs w:val="21"/>
        </w:rPr>
        <w:t>202</w:t>
      </w:r>
      <w:r>
        <w:rPr>
          <w:rFonts w:hint="eastAsia" w:asciiTheme="minorEastAsia" w:hAnsiTheme="minorEastAsia" w:eastAsiaTheme="minorEastAsia" w:cstheme="minorEastAsia"/>
          <w:bCs/>
          <w:color w:val="auto"/>
          <w:szCs w:val="21"/>
          <w:lang w:val="en-US" w:eastAsia="zh-CN"/>
        </w:rPr>
        <w:t>6</w:t>
      </w:r>
      <w:r>
        <w:rPr>
          <w:rFonts w:hint="eastAsia" w:asciiTheme="minorEastAsia" w:hAnsiTheme="minorEastAsia" w:eastAsiaTheme="minorEastAsia" w:cstheme="minorEastAsia"/>
          <w:bCs/>
          <w:color w:val="auto"/>
          <w:szCs w:val="21"/>
        </w:rPr>
        <w:t>年</w:t>
      </w:r>
      <w:r>
        <w:rPr>
          <w:rFonts w:hint="eastAsia" w:asciiTheme="minorEastAsia" w:hAnsiTheme="minorEastAsia" w:eastAsiaTheme="minorEastAsia" w:cstheme="minorEastAsia"/>
          <w:bCs/>
          <w:color w:val="auto"/>
          <w:szCs w:val="21"/>
          <w:lang w:val="en-US" w:eastAsia="zh-CN"/>
        </w:rPr>
        <w:t>9</w:t>
      </w:r>
      <w:r>
        <w:rPr>
          <w:rFonts w:hint="eastAsia" w:asciiTheme="minorEastAsia" w:hAnsiTheme="minorEastAsia" w:eastAsiaTheme="minorEastAsia" w:cstheme="minorEastAsia"/>
          <w:bCs/>
          <w:color w:val="auto"/>
          <w:szCs w:val="21"/>
        </w:rPr>
        <w:t>月底前</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lang w:val="en-US" w:eastAsia="zh-CN"/>
        </w:rPr>
        <w:t>再行完成</w:t>
      </w:r>
      <w:r>
        <w:rPr>
          <w:rFonts w:hint="eastAsia" w:asciiTheme="minorEastAsia" w:hAnsiTheme="minorEastAsia" w:eastAsiaTheme="minorEastAsia" w:cstheme="minorEastAsia"/>
          <w:bCs/>
          <w:color w:val="auto"/>
          <w:szCs w:val="21"/>
        </w:rPr>
        <w:t>开发</w:t>
      </w:r>
      <w:r>
        <w:rPr>
          <w:rFonts w:hint="eastAsia" w:asciiTheme="minorEastAsia" w:hAnsiTheme="minorEastAsia" w:eastAsiaTheme="minorEastAsia" w:cstheme="minorEastAsia"/>
          <w:bCs/>
          <w:color w:val="auto"/>
          <w:szCs w:val="21"/>
          <w:lang w:val="en-US" w:eastAsia="zh-CN"/>
        </w:rPr>
        <w:t>4</w:t>
      </w:r>
      <w:r>
        <w:rPr>
          <w:rFonts w:hint="eastAsia" w:asciiTheme="minorEastAsia" w:hAnsiTheme="minorEastAsia" w:eastAsiaTheme="minorEastAsia" w:cstheme="minorEastAsia"/>
          <w:bCs/>
          <w:color w:val="auto"/>
          <w:szCs w:val="21"/>
        </w:rPr>
        <w:t>个</w:t>
      </w:r>
      <w:r>
        <w:rPr>
          <w:rFonts w:hint="eastAsia" w:asciiTheme="minorEastAsia" w:hAnsiTheme="minorEastAsia" w:eastAsiaTheme="minorEastAsia" w:cstheme="minorEastAsia"/>
          <w:bCs/>
          <w:color w:val="auto"/>
          <w:szCs w:val="21"/>
          <w:lang w:val="en-US" w:eastAsia="zh-CN"/>
        </w:rPr>
        <w:t>信用+应用</w:t>
      </w:r>
      <w:r>
        <w:rPr>
          <w:rFonts w:hint="eastAsia" w:asciiTheme="minorEastAsia" w:hAnsiTheme="minorEastAsia" w:eastAsiaTheme="minorEastAsia" w:cstheme="minorEastAsia"/>
          <w:bCs/>
          <w:color w:val="auto"/>
          <w:szCs w:val="21"/>
        </w:rPr>
        <w:t>场景</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lang w:val="en-US" w:eastAsia="zh-CN"/>
        </w:rPr>
        <w:t>应用场景并投用。</w:t>
      </w:r>
    </w:p>
    <w:p w14:paraId="5C43FDF7">
      <w:pPr>
        <w:numPr>
          <w:ilvl w:val="0"/>
          <w:numId w:val="0"/>
        </w:numPr>
        <w:spacing w:line="400" w:lineRule="exact"/>
        <w:ind w:firstLine="840" w:firstLineChars="400"/>
        <w:rPr>
          <w:rFonts w:hint="default" w:asciiTheme="minorEastAsia" w:hAnsiTheme="minorEastAsia" w:eastAsiaTheme="minorEastAsia" w:cstheme="minorEastAsia"/>
          <w:bCs/>
          <w:color w:val="auto"/>
          <w:szCs w:val="21"/>
          <w:lang w:val="en-US" w:eastAsia="zh-CN"/>
        </w:rPr>
      </w:pPr>
      <w:r>
        <w:rPr>
          <w:rFonts w:hint="eastAsia"/>
          <w:color w:val="auto"/>
          <w:lang w:val="en-US" w:eastAsia="zh-CN"/>
        </w:rPr>
        <w:t>7.</w:t>
      </w:r>
      <w:r>
        <w:rPr>
          <w:rFonts w:hint="eastAsia"/>
          <w:color w:val="auto"/>
        </w:rPr>
        <w:t>自</w:t>
      </w:r>
      <w:r>
        <w:rPr>
          <w:rFonts w:hint="eastAsia"/>
          <w:color w:val="auto"/>
          <w:lang w:val="en-US" w:eastAsia="zh-CN"/>
        </w:rPr>
        <w:t>合同</w:t>
      </w:r>
      <w:r>
        <w:rPr>
          <w:rFonts w:hint="eastAsia"/>
          <w:color w:val="auto"/>
        </w:rPr>
        <w:t>签订之日起，每</w:t>
      </w:r>
      <w:r>
        <w:rPr>
          <w:rFonts w:hint="eastAsia"/>
          <w:color w:val="auto"/>
          <w:lang w:val="en-US" w:eastAsia="zh-CN"/>
        </w:rPr>
        <w:t>年7月及次年1月</w:t>
      </w:r>
      <w:r>
        <w:rPr>
          <w:rFonts w:hint="eastAsia"/>
          <w:color w:val="auto"/>
        </w:rPr>
        <w:t>15日前</w:t>
      </w:r>
      <w:r>
        <w:rPr>
          <w:rFonts w:hint="eastAsia"/>
          <w:color w:val="auto"/>
          <w:lang w:val="en-US" w:eastAsia="zh-CN"/>
        </w:rPr>
        <w:t>完成</w:t>
      </w:r>
      <w:r>
        <w:rPr>
          <w:rFonts w:hint="eastAsia" w:asciiTheme="minorEastAsia" w:hAnsiTheme="minorEastAsia" w:eastAsiaTheme="minorEastAsia" w:cstheme="minorEastAsia"/>
          <w:bCs/>
          <w:color w:val="auto"/>
          <w:szCs w:val="21"/>
        </w:rPr>
        <w:t>《国内外先进信用园区经验案例报告》</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rPr>
        <w:t>共计</w:t>
      </w:r>
      <w:r>
        <w:rPr>
          <w:rFonts w:hint="eastAsia" w:asciiTheme="minorEastAsia" w:hAnsiTheme="minorEastAsia" w:eastAsiaTheme="minorEastAsia" w:cstheme="minorEastAsia"/>
          <w:bCs/>
          <w:color w:val="auto"/>
          <w:szCs w:val="21"/>
          <w:lang w:val="en-US" w:eastAsia="zh-CN"/>
        </w:rPr>
        <w:t>5</w:t>
      </w:r>
      <w:r>
        <w:rPr>
          <w:rFonts w:hint="eastAsia" w:asciiTheme="minorEastAsia" w:hAnsiTheme="minorEastAsia" w:eastAsiaTheme="minorEastAsia" w:cstheme="minorEastAsia"/>
          <w:bCs/>
          <w:color w:val="auto"/>
          <w:szCs w:val="21"/>
        </w:rPr>
        <w:t>期</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lang w:val="en-US" w:eastAsia="zh-CN"/>
        </w:rPr>
        <w:t>。</w:t>
      </w:r>
    </w:p>
    <w:p w14:paraId="2458C69E">
      <w:pPr>
        <w:numPr>
          <w:ilvl w:val="255"/>
          <w:numId w:val="0"/>
        </w:numPr>
        <w:spacing w:line="400" w:lineRule="exact"/>
        <w:ind w:left="420" w:firstLine="420" w:firstLineChars="200"/>
        <w:rPr>
          <w:color w:val="auto"/>
        </w:rPr>
      </w:pPr>
      <w:r>
        <w:rPr>
          <w:rFonts w:hint="eastAsia" w:asciiTheme="minorEastAsia" w:hAnsiTheme="minorEastAsia" w:eastAsiaTheme="minorEastAsia" w:cstheme="minorEastAsia"/>
          <w:bCs/>
          <w:color w:val="auto"/>
          <w:szCs w:val="21"/>
        </w:rPr>
        <w:t>注：以上并经甲方组织的评定会议通过。</w:t>
      </w:r>
    </w:p>
    <w:p w14:paraId="7A4F89CA">
      <w:pPr>
        <w:pStyle w:val="12"/>
        <w:pBdr>
          <w:bottom w:val="none" w:color="auto" w:sz="0" w:space="0"/>
        </w:pBdr>
        <w:spacing w:line="400" w:lineRule="exact"/>
        <w:ind w:firstLine="422" w:firstLineChars="200"/>
        <w:jc w:val="both"/>
        <w:rPr>
          <w:rFonts w:ascii="宋体" w:hAnsi="宋体" w:cs="宋体"/>
          <w:b/>
          <w:bCs/>
          <w:color w:val="auto"/>
          <w:sz w:val="21"/>
          <w:szCs w:val="21"/>
        </w:rPr>
      </w:pPr>
      <w:r>
        <w:rPr>
          <w:rFonts w:hint="eastAsia" w:ascii="宋体" w:hAnsi="宋体" w:cs="宋体"/>
          <w:b/>
          <w:bCs/>
          <w:color w:val="auto"/>
          <w:sz w:val="21"/>
          <w:szCs w:val="21"/>
        </w:rPr>
        <w:t>三、权利和义务</w:t>
      </w:r>
    </w:p>
    <w:p w14:paraId="61D6BA8F">
      <w:pPr>
        <w:spacing w:line="400" w:lineRule="exact"/>
        <w:ind w:firstLine="420" w:firstLineChars="200"/>
        <w:rPr>
          <w:rFonts w:ascii="宋体" w:hAnsi="宋体" w:cs="宋体"/>
          <w:color w:val="auto"/>
          <w:szCs w:val="21"/>
        </w:rPr>
      </w:pPr>
      <w:bookmarkStart w:id="79" w:name="bookmark16"/>
      <w:bookmarkEnd w:id="79"/>
      <w:r>
        <w:rPr>
          <w:rFonts w:hint="eastAsia" w:ascii="宋体" w:hAnsi="宋体" w:cs="宋体"/>
          <w:color w:val="auto"/>
          <w:szCs w:val="21"/>
        </w:rPr>
        <w:t>（一）甲方的权利和义务</w:t>
      </w:r>
    </w:p>
    <w:p w14:paraId="5BA652EC">
      <w:pPr>
        <w:spacing w:line="400" w:lineRule="exact"/>
        <w:ind w:firstLine="420" w:firstLineChars="200"/>
        <w:rPr>
          <w:rFonts w:ascii="宋体" w:hAnsi="宋体" w:cs="宋体"/>
          <w:color w:val="auto"/>
          <w:szCs w:val="21"/>
        </w:rPr>
      </w:pPr>
      <w:bookmarkStart w:id="80" w:name="bookmark17"/>
      <w:bookmarkEnd w:id="80"/>
      <w:r>
        <w:rPr>
          <w:rFonts w:hint="eastAsia" w:ascii="宋体" w:hAnsi="宋体" w:cs="宋体"/>
          <w:color w:val="auto"/>
          <w:szCs w:val="21"/>
        </w:rPr>
        <w:t>1.甲方有权指导、监督、检查和评估乙方履行本合同的全过程，并提出建议和改进意见。</w:t>
      </w:r>
    </w:p>
    <w:p w14:paraId="0323F921">
      <w:pPr>
        <w:spacing w:line="400" w:lineRule="exact"/>
        <w:ind w:firstLine="420" w:firstLineChars="200"/>
        <w:rPr>
          <w:rFonts w:ascii="宋体" w:hAnsi="宋体" w:cs="宋体"/>
          <w:color w:val="auto"/>
          <w:szCs w:val="21"/>
        </w:rPr>
      </w:pPr>
      <w:r>
        <w:rPr>
          <w:rFonts w:hint="eastAsia" w:ascii="宋体" w:hAnsi="宋体" w:cs="宋体"/>
          <w:color w:val="auto"/>
          <w:szCs w:val="21"/>
        </w:rPr>
        <w:t>2.因本合同形成的相关著作权及乙方向甲方交付的工作成果的知识产权归甲方单独所有，乙方在获得甲方授权后可使用。</w:t>
      </w:r>
    </w:p>
    <w:p w14:paraId="4ADEBCFC">
      <w:pPr>
        <w:spacing w:line="400" w:lineRule="exact"/>
        <w:ind w:firstLine="420" w:firstLineChars="200"/>
        <w:rPr>
          <w:rFonts w:ascii="宋体" w:hAnsi="宋体" w:cs="宋体"/>
          <w:color w:val="auto"/>
          <w:szCs w:val="21"/>
        </w:rPr>
      </w:pPr>
      <w:bookmarkStart w:id="81" w:name="bookmark19"/>
      <w:bookmarkEnd w:id="81"/>
      <w:bookmarkStart w:id="82" w:name="bookmark18"/>
      <w:bookmarkEnd w:id="82"/>
      <w:r>
        <w:rPr>
          <w:rFonts w:hint="eastAsia" w:ascii="宋体" w:hAnsi="宋体" w:cs="宋体"/>
          <w:color w:val="auto"/>
          <w:szCs w:val="21"/>
          <w:lang w:val="en-US" w:eastAsia="zh-CN"/>
        </w:rPr>
        <w:t>3</w:t>
      </w:r>
      <w:r>
        <w:rPr>
          <w:rFonts w:hint="eastAsia" w:ascii="宋体" w:hAnsi="宋体" w:cs="宋体"/>
          <w:color w:val="auto"/>
          <w:szCs w:val="21"/>
        </w:rPr>
        <w:t>.甲方无正当理由不得拒付乙方已履行的委托事项的费用，但因乙方提供的服务不符合本合同约定且经甲方通知仍未纠正的除外。</w:t>
      </w:r>
    </w:p>
    <w:p w14:paraId="2EB59A79">
      <w:pPr>
        <w:spacing w:line="400" w:lineRule="exact"/>
        <w:ind w:firstLine="420" w:firstLineChars="200"/>
        <w:rPr>
          <w:rFonts w:ascii="宋体" w:hAnsi="宋体" w:cs="宋体"/>
          <w:color w:val="auto"/>
          <w:szCs w:val="21"/>
        </w:rPr>
      </w:pPr>
      <w:bookmarkStart w:id="83" w:name="bookmark22"/>
      <w:bookmarkEnd w:id="83"/>
      <w:bookmarkStart w:id="84" w:name="bookmark21"/>
      <w:bookmarkEnd w:id="84"/>
      <w:r>
        <w:rPr>
          <w:rFonts w:hint="eastAsia" w:ascii="宋体" w:hAnsi="宋体" w:cs="宋体"/>
          <w:color w:val="auto"/>
          <w:szCs w:val="21"/>
          <w:lang w:val="en-US" w:eastAsia="zh-CN"/>
        </w:rPr>
        <w:t>4</w:t>
      </w:r>
      <w:r>
        <w:rPr>
          <w:rFonts w:hint="eastAsia" w:ascii="宋体" w:hAnsi="宋体" w:cs="宋体"/>
          <w:color w:val="auto"/>
          <w:szCs w:val="21"/>
        </w:rPr>
        <w:t>.甲方在合同签订后，积极配合、协助乙方的服务工作，向乙方提供所需要的文件和资料，并对所提供资料的正确性、完整性及合法性负责。</w:t>
      </w:r>
    </w:p>
    <w:p w14:paraId="793F8DAE">
      <w:pPr>
        <w:spacing w:line="400" w:lineRule="exact"/>
        <w:ind w:firstLine="420" w:firstLineChars="200"/>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.甲方应向乙方阐述对咨询服务的具体需求，负责审定乙方提出的预期研究时间、计划等，并进行过程控制。</w:t>
      </w:r>
    </w:p>
    <w:p w14:paraId="56938184">
      <w:pPr>
        <w:spacing w:line="400" w:lineRule="exact"/>
        <w:ind w:firstLine="420" w:firstLineChars="200"/>
        <w:rPr>
          <w:rFonts w:hint="eastAsia" w:ascii="宋体" w:hAnsi="宋体" w:cs="宋体"/>
          <w:color w:val="auto"/>
          <w:szCs w:val="21"/>
          <w:lang w:eastAsia="zh-CN"/>
        </w:rPr>
      </w:pPr>
      <w:bookmarkStart w:id="85" w:name="bookmark24"/>
      <w:bookmarkEnd w:id="85"/>
      <w:bookmarkStart w:id="86" w:name="bookmark25"/>
      <w:bookmarkEnd w:id="86"/>
      <w:bookmarkStart w:id="87" w:name="bookmark23"/>
      <w:bookmarkEnd w:id="87"/>
      <w:r>
        <w:rPr>
          <w:rFonts w:hint="eastAsia" w:ascii="宋体" w:hAnsi="宋体" w:cs="宋体"/>
          <w:color w:val="auto"/>
          <w:szCs w:val="21"/>
          <w:lang w:val="en-US" w:eastAsia="zh-CN"/>
        </w:rPr>
        <w:t>6</w:t>
      </w:r>
      <w:r>
        <w:rPr>
          <w:rFonts w:hint="eastAsia" w:ascii="宋体" w:hAnsi="宋体" w:cs="宋体"/>
          <w:color w:val="auto"/>
          <w:szCs w:val="21"/>
        </w:rPr>
        <w:t>.针对乙方所提交的各项研究成果，有权在合理范围内对研究成果提出修改完善的要求、建议及意见</w:t>
      </w:r>
      <w:r>
        <w:rPr>
          <w:rFonts w:hint="eastAsia" w:ascii="宋体" w:hAnsi="宋体" w:cs="宋体"/>
          <w:color w:val="auto"/>
          <w:szCs w:val="21"/>
          <w:lang w:eastAsia="zh-CN"/>
        </w:rPr>
        <w:t>。</w:t>
      </w:r>
    </w:p>
    <w:p w14:paraId="03431B87">
      <w:pPr>
        <w:numPr>
          <w:ilvl w:val="255"/>
          <w:numId w:val="0"/>
        </w:numPr>
        <w:spacing w:line="400" w:lineRule="exact"/>
        <w:ind w:firstLine="420" w:firstLineChars="200"/>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lang w:val="en-US" w:eastAsia="zh-CN"/>
        </w:rPr>
        <w:t>7.在2024年至2026年服务期间，甲方所支付的项目总费用中将全面涵盖乙方所提供的平台服务费用。服务期届满，甲方根据实际需求继续使用乙方平台服务时，乙方按投标时提供的报价收取年度平台服务费用，不得大幅提高。</w:t>
      </w:r>
    </w:p>
    <w:p w14:paraId="0E75DDE5">
      <w:pPr>
        <w:spacing w:line="400" w:lineRule="exact"/>
        <w:ind w:firstLine="420" w:firstLineChars="200"/>
        <w:rPr>
          <w:rFonts w:ascii="宋体" w:hAnsi="宋体" w:cs="宋体"/>
          <w:color w:val="auto"/>
          <w:szCs w:val="21"/>
        </w:rPr>
      </w:pPr>
      <w:bookmarkStart w:id="88" w:name="_Hlk121154167"/>
      <w:r>
        <w:rPr>
          <w:rFonts w:hint="eastAsia" w:ascii="宋体" w:hAnsi="宋体" w:cs="宋体"/>
          <w:color w:val="auto"/>
          <w:szCs w:val="21"/>
        </w:rPr>
        <w:t>（二）乙方的权利和义务</w:t>
      </w:r>
    </w:p>
    <w:bookmarkEnd w:id="88"/>
    <w:p w14:paraId="1E83E309">
      <w:pPr>
        <w:spacing w:line="400" w:lineRule="exact"/>
        <w:ind w:firstLine="420" w:firstLineChars="200"/>
        <w:rPr>
          <w:rFonts w:ascii="宋体" w:hAnsi="宋体" w:cs="宋体"/>
          <w:color w:val="auto"/>
          <w:szCs w:val="21"/>
        </w:rPr>
      </w:pPr>
      <w:bookmarkStart w:id="89" w:name="bookmark26"/>
      <w:bookmarkEnd w:id="89"/>
      <w:r>
        <w:rPr>
          <w:rFonts w:hint="eastAsia" w:ascii="宋体" w:hAnsi="宋体" w:cs="宋体"/>
          <w:color w:val="auto"/>
          <w:szCs w:val="21"/>
        </w:rPr>
        <w:t>1.乙方有权要求甲方按合同约定的金额、方式、时间支付服务费用。</w:t>
      </w:r>
    </w:p>
    <w:p w14:paraId="09CA09FF">
      <w:pPr>
        <w:spacing w:line="400" w:lineRule="exact"/>
        <w:ind w:firstLine="420" w:firstLineChars="200"/>
        <w:rPr>
          <w:rFonts w:ascii="宋体" w:hAnsi="宋体" w:cs="宋体"/>
          <w:color w:val="auto"/>
          <w:szCs w:val="21"/>
        </w:rPr>
      </w:pPr>
      <w:bookmarkStart w:id="90" w:name="bookmark27"/>
      <w:bookmarkEnd w:id="90"/>
      <w:r>
        <w:rPr>
          <w:rFonts w:hint="eastAsia" w:ascii="宋体" w:hAnsi="宋体" w:cs="宋体"/>
          <w:color w:val="auto"/>
          <w:szCs w:val="21"/>
        </w:rPr>
        <w:t>2负责按相关规范标准，按照本合同要求，针对甲方需求开展研究工作。</w:t>
      </w:r>
    </w:p>
    <w:p w14:paraId="4B90F658">
      <w:pPr>
        <w:spacing w:line="400" w:lineRule="exact"/>
        <w:ind w:firstLine="420" w:firstLineChars="200"/>
        <w:rPr>
          <w:rFonts w:ascii="宋体" w:hAnsi="宋体" w:cs="宋体"/>
          <w:color w:val="auto"/>
          <w:szCs w:val="21"/>
        </w:rPr>
      </w:pPr>
      <w:r>
        <w:rPr>
          <w:rFonts w:hint="eastAsia" w:ascii="宋体" w:hAnsi="宋体" w:cs="宋体"/>
          <w:color w:val="auto"/>
          <w:szCs w:val="21"/>
        </w:rPr>
        <w:t>3.全面负责具体研究工作，在约定的时间内通过调研、资料收集等工作开展研究，未经甲方同意不得变更工作内容；按合同约定时间提交研究成果，并对成果文件的真实性、合法性、完整性负责。</w:t>
      </w:r>
    </w:p>
    <w:p w14:paraId="651EF0CF">
      <w:pPr>
        <w:spacing w:line="400" w:lineRule="exact"/>
        <w:ind w:firstLine="420" w:firstLineChars="200"/>
        <w:rPr>
          <w:rFonts w:ascii="宋体" w:hAnsi="宋体" w:cs="宋体"/>
          <w:color w:val="auto"/>
          <w:szCs w:val="21"/>
        </w:rPr>
      </w:pPr>
      <w:r>
        <w:rPr>
          <w:rFonts w:hint="eastAsia" w:ascii="宋体" w:hAnsi="宋体" w:cs="宋体"/>
          <w:color w:val="auto"/>
          <w:szCs w:val="21"/>
        </w:rPr>
        <w:t>4.乙方应根据甲方合理意见对研究成果内容做调整、修改和补充。</w:t>
      </w:r>
    </w:p>
    <w:p w14:paraId="2FC96763">
      <w:pPr>
        <w:spacing w:line="400" w:lineRule="exact"/>
        <w:ind w:firstLine="420" w:firstLineChars="200"/>
        <w:rPr>
          <w:rFonts w:ascii="宋体" w:hAnsi="宋体" w:cs="宋体"/>
          <w:color w:val="auto"/>
          <w:szCs w:val="21"/>
        </w:rPr>
      </w:pPr>
      <w:r>
        <w:rPr>
          <w:rFonts w:hint="eastAsia" w:ascii="宋体" w:hAnsi="宋体" w:cs="宋体"/>
          <w:color w:val="auto"/>
          <w:szCs w:val="21"/>
        </w:rPr>
        <w:t>5.按照本合同约定为甲方提供研究成果相关的纸质文案和电子文档。</w:t>
      </w:r>
    </w:p>
    <w:p w14:paraId="2FF18C93">
      <w:pPr>
        <w:spacing w:line="400" w:lineRule="exact"/>
        <w:ind w:firstLine="420" w:firstLineChars="200"/>
        <w:rPr>
          <w:rFonts w:ascii="宋体" w:hAnsi="宋体" w:cs="宋体"/>
          <w:color w:val="auto"/>
          <w:szCs w:val="21"/>
        </w:rPr>
      </w:pPr>
      <w:r>
        <w:rPr>
          <w:rFonts w:hint="eastAsia" w:ascii="宋体" w:hAnsi="宋体" w:cs="宋体"/>
          <w:color w:val="auto"/>
          <w:szCs w:val="21"/>
        </w:rPr>
        <w:t>6.乙方对甲方需求及研究成果内容负有保密责任。乙方对甲方及市政府部门就本项目的秘密信息承担保密义务。</w:t>
      </w:r>
    </w:p>
    <w:p w14:paraId="559EDD45">
      <w:pPr>
        <w:spacing w:line="400" w:lineRule="exact"/>
        <w:ind w:firstLine="420" w:firstLineChars="200"/>
        <w:rPr>
          <w:rFonts w:ascii="宋体" w:hAnsi="宋体" w:cs="宋体"/>
          <w:color w:val="auto"/>
          <w:szCs w:val="21"/>
        </w:rPr>
      </w:pPr>
      <w:r>
        <w:rPr>
          <w:rFonts w:hint="eastAsia" w:ascii="宋体" w:hAnsi="宋体" w:cs="宋体"/>
          <w:color w:val="auto"/>
          <w:szCs w:val="21"/>
        </w:rPr>
        <w:t>7.乙方不得委托他方代为履行合同</w:t>
      </w:r>
      <w:r>
        <w:rPr>
          <w:rFonts w:hint="eastAsia" w:ascii="宋体" w:hAnsi="宋体" w:cs="宋体"/>
          <w:color w:val="auto"/>
          <w:szCs w:val="21"/>
          <w:lang w:eastAsia="zh-CN"/>
        </w:rPr>
        <w:t>，</w:t>
      </w:r>
      <w:r>
        <w:rPr>
          <w:rFonts w:hint="eastAsia" w:ascii="宋体" w:hAnsi="宋体" w:cs="宋体"/>
          <w:color w:val="auto"/>
          <w:szCs w:val="21"/>
        </w:rPr>
        <w:t>未经甲方书面同意，乙方不得将受托事务全部或部分转委托给第三方处理。</w:t>
      </w:r>
    </w:p>
    <w:p w14:paraId="114998C9">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8.乙方应采取合法方式履行本合同义务，不得侵犯第三方权利。</w:t>
      </w:r>
      <w:bookmarkStart w:id="91" w:name="bookmark29"/>
      <w:bookmarkEnd w:id="91"/>
      <w:bookmarkStart w:id="92" w:name="bookmark28"/>
      <w:bookmarkEnd w:id="92"/>
    </w:p>
    <w:p w14:paraId="5AFFF6C0">
      <w:pPr>
        <w:spacing w:line="400" w:lineRule="exact"/>
        <w:ind w:firstLine="422" w:firstLineChars="200"/>
        <w:rPr>
          <w:rFonts w:ascii="宋体" w:hAnsi="宋体" w:cs="宋体"/>
          <w:b/>
          <w:bCs/>
          <w:color w:val="auto"/>
          <w:szCs w:val="21"/>
        </w:rPr>
      </w:pPr>
      <w:bookmarkStart w:id="93" w:name="bookmark30"/>
      <w:bookmarkEnd w:id="93"/>
      <w:bookmarkStart w:id="94" w:name="bookmark31"/>
      <w:bookmarkEnd w:id="94"/>
      <w:r>
        <w:rPr>
          <w:rFonts w:hint="eastAsia" w:ascii="宋体" w:hAnsi="宋体" w:cs="宋体"/>
          <w:b/>
          <w:bCs/>
          <w:color w:val="auto"/>
          <w:szCs w:val="21"/>
        </w:rPr>
        <w:t>四、知识产权、保密责任和廉洁条款</w:t>
      </w:r>
    </w:p>
    <w:p w14:paraId="1E649D3C">
      <w:pPr>
        <w:spacing w:line="400" w:lineRule="exact"/>
        <w:ind w:firstLine="420" w:firstLineChars="200"/>
        <w:rPr>
          <w:rFonts w:ascii="宋体" w:hAnsi="宋体" w:cs="宋体"/>
          <w:color w:val="auto"/>
          <w:szCs w:val="21"/>
        </w:rPr>
      </w:pPr>
      <w:r>
        <w:rPr>
          <w:rFonts w:hint="eastAsia" w:ascii="宋体" w:hAnsi="宋体" w:cs="宋体"/>
          <w:color w:val="auto"/>
          <w:szCs w:val="21"/>
        </w:rPr>
        <w:t>1.乙方在本项目工作开展过程中所收集的基础材料、所形成的工作成果及报告知识产权归甲方所有。除非甲方授权，乙方保证不得用于其他目的，包括但不限于向第三方透露材料的任何内容。</w:t>
      </w:r>
    </w:p>
    <w:p w14:paraId="3C922C01">
      <w:pPr>
        <w:spacing w:line="400" w:lineRule="exact"/>
        <w:ind w:firstLine="420" w:firstLineChars="200"/>
        <w:rPr>
          <w:rFonts w:ascii="宋体" w:hAnsi="宋体" w:cs="宋体"/>
          <w:color w:val="auto"/>
          <w:szCs w:val="21"/>
        </w:rPr>
      </w:pPr>
      <w:r>
        <w:rPr>
          <w:rFonts w:hint="eastAsia" w:ascii="宋体" w:hAnsi="宋体" w:cs="宋体"/>
          <w:color w:val="auto"/>
          <w:szCs w:val="21"/>
        </w:rPr>
        <w:t>2.甲乙双方均应严格遵守保密工作管理要求，不得向其它与本项目无关的主体透露本项目合作的有关方法和成果性材料。</w:t>
      </w:r>
    </w:p>
    <w:p w14:paraId="32C2AE8A">
      <w:pPr>
        <w:pStyle w:val="61"/>
        <w:spacing w:line="400" w:lineRule="exact"/>
        <w:ind w:firstLine="420" w:firstLineChars="200"/>
        <w:rPr>
          <w:rFonts w:ascii="宋体" w:hAnsi="宋体" w:eastAsia="宋体" w:cs="宋体"/>
          <w:color w:val="auto"/>
          <w:sz w:val="21"/>
          <w:szCs w:val="21"/>
          <w:lang w:val="en-US" w:eastAsia="zh-CN" w:bidi="en-US"/>
        </w:rPr>
      </w:pPr>
      <w:r>
        <w:rPr>
          <w:rFonts w:hint="eastAsia" w:ascii="宋体" w:hAnsi="宋体" w:eastAsia="宋体" w:cs="宋体"/>
          <w:color w:val="auto"/>
          <w:sz w:val="21"/>
          <w:szCs w:val="21"/>
          <w:lang w:val="en-US" w:eastAsia="zh-CN" w:bidi="en-US"/>
        </w:rPr>
        <w:t>3.甲乙双方应严格遵守中华人民共和国反商业贿赂的法律规定，双方以任何形式的贿赂和贪渎行为都将触犯法律，并将受到法律的严惩，甲乙双方均严格禁止经办人员的任何商业贿赂行为，自觉遵守有关法律法规、规章制度中关于公平交易、廉洁自律、反对腐败等相关规定。若任何一方违反廉洁承诺，守约方有权随时单方终止与违约方的合作而无需承担任何违约责任，且守约方有权要求违约方承担违约责任，并退回所取得的任何不正当利益。若行为涉及刑事责任的，双方应按照《中华人民共和国刑法》及其他法律规定将相关责任人交由司法机关追究法律责任</w:t>
      </w:r>
      <w:r>
        <w:rPr>
          <w:rFonts w:hint="eastAsia" w:ascii="宋体" w:hAnsi="宋体" w:eastAsia="宋体" w:cs="宋体"/>
          <w:color w:val="auto"/>
          <w:sz w:val="21"/>
          <w:szCs w:val="21"/>
          <w:lang w:eastAsia="zh-CN"/>
        </w:rPr>
        <w:t>。</w:t>
      </w:r>
    </w:p>
    <w:p w14:paraId="416E0C05">
      <w:pPr>
        <w:spacing w:line="400" w:lineRule="exact"/>
        <w:ind w:firstLine="422" w:firstLineChars="200"/>
        <w:rPr>
          <w:rFonts w:ascii="宋体" w:hAnsi="宋体" w:cs="宋体"/>
          <w:b/>
          <w:bCs/>
          <w:color w:val="auto"/>
          <w:szCs w:val="21"/>
        </w:rPr>
      </w:pPr>
      <w:r>
        <w:rPr>
          <w:rFonts w:hint="eastAsia" w:ascii="宋体" w:hAnsi="宋体" w:cs="宋体"/>
          <w:b/>
          <w:bCs/>
          <w:color w:val="auto"/>
          <w:szCs w:val="21"/>
        </w:rPr>
        <w:t>五、委托费用和支付方式</w:t>
      </w:r>
    </w:p>
    <w:p w14:paraId="6779318F">
      <w:pPr>
        <w:pStyle w:val="61"/>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项目总费用为</w:t>
      </w:r>
      <w:r>
        <w:rPr>
          <w:rFonts w:hint="eastAsia" w:ascii="宋体" w:hAnsi="宋体" w:eastAsia="宋体" w:cs="宋体"/>
          <w:color w:val="auto"/>
          <w:sz w:val="21"/>
          <w:szCs w:val="21"/>
          <w:lang w:eastAsia="zh-CN"/>
        </w:rPr>
        <w:t>人民币</w:t>
      </w:r>
      <w:r>
        <w:rPr>
          <w:rFonts w:hint="eastAsia" w:ascii="宋体" w:hAnsi="宋体" w:eastAsia="宋体" w:cs="宋体"/>
          <w:color w:val="auto"/>
          <w:sz w:val="21"/>
          <w:szCs w:val="21"/>
          <w:lang w:val="en-US" w:eastAsia="zh-CN"/>
        </w:rPr>
        <w:t xml:space="preserve">      </w:t>
      </w:r>
      <w:bookmarkStart w:id="95" w:name="_GoBack"/>
      <w:bookmarkEnd w:id="95"/>
      <w:r>
        <w:rPr>
          <w:rFonts w:hint="eastAsia" w:ascii="宋体" w:hAnsi="宋体" w:eastAsia="宋体" w:cs="宋体"/>
          <w:color w:val="auto"/>
          <w:sz w:val="21"/>
          <w:szCs w:val="21"/>
          <w:lang w:val="en-US" w:eastAsia="zh-CN"/>
        </w:rPr>
        <w:t>元整</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eastAsia="zh-CN"/>
        </w:rPr>
        <w:t>元</w:t>
      </w:r>
      <w:r>
        <w:rPr>
          <w:rFonts w:hint="eastAsia" w:ascii="宋体" w:hAnsi="宋体" w:eastAsia="宋体" w:cs="宋体"/>
          <w:color w:val="auto"/>
          <w:sz w:val="21"/>
          <w:szCs w:val="21"/>
        </w:rPr>
        <w:t>)，含完成</w:t>
      </w:r>
      <w:r>
        <w:rPr>
          <w:rFonts w:hint="eastAsia" w:ascii="宋体" w:hAnsi="宋体" w:eastAsia="宋体" w:cs="宋体"/>
          <w:color w:val="auto"/>
          <w:sz w:val="21"/>
          <w:szCs w:val="21"/>
          <w:lang w:val="en-US" w:eastAsia="zh-CN"/>
        </w:rPr>
        <w:t>本</w:t>
      </w:r>
      <w:r>
        <w:rPr>
          <w:rFonts w:hint="eastAsia" w:ascii="宋体" w:hAnsi="宋体" w:eastAsia="宋体" w:cs="宋体"/>
          <w:color w:val="auto"/>
          <w:sz w:val="21"/>
          <w:szCs w:val="21"/>
        </w:rPr>
        <w:t>项目所产生的所有费用。</w:t>
      </w:r>
    </w:p>
    <w:p w14:paraId="7B64826E">
      <w:pPr>
        <w:pStyle w:val="61"/>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费用分</w:t>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rPr>
        <w:t>期支付。</w:t>
      </w:r>
    </w:p>
    <w:p w14:paraId="030D7D02">
      <w:pPr>
        <w:numPr>
          <w:ilvl w:val="255"/>
          <w:numId w:val="0"/>
        </w:numPr>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第</w:t>
      </w:r>
      <w:r>
        <w:rPr>
          <w:rFonts w:hint="eastAsia" w:ascii="宋体" w:hAnsi="宋体" w:cs="宋体"/>
          <w:color w:val="auto"/>
          <w:sz w:val="21"/>
          <w:szCs w:val="21"/>
          <w:lang w:val="en-US" w:eastAsia="zh-CN"/>
        </w:rPr>
        <w:t>一</w:t>
      </w:r>
      <w:r>
        <w:rPr>
          <w:rFonts w:hint="eastAsia" w:ascii="宋体" w:hAnsi="宋体" w:eastAsia="宋体" w:cs="宋体"/>
          <w:color w:val="auto"/>
          <w:sz w:val="21"/>
          <w:szCs w:val="21"/>
        </w:rPr>
        <w:t>笔：</w:t>
      </w:r>
      <w:r>
        <w:rPr>
          <w:rFonts w:hint="eastAsia" w:ascii="宋体" w:hAnsi="宋体" w:eastAsia="宋体" w:cs="宋体"/>
          <w:color w:val="auto"/>
          <w:sz w:val="21"/>
          <w:szCs w:val="21"/>
          <w:lang w:val="en-US" w:eastAsia="zh-CN"/>
        </w:rPr>
        <w:t>乙方完成</w:t>
      </w:r>
      <w:r>
        <w:rPr>
          <w:rFonts w:hint="eastAsia" w:asciiTheme="minorEastAsia" w:hAnsiTheme="minorEastAsia" w:eastAsiaTheme="minorEastAsia" w:cstheme="minorEastAsia"/>
          <w:bCs/>
          <w:color w:val="auto"/>
          <w:szCs w:val="21"/>
        </w:rPr>
        <w:t>《海口江东新区信用园区建设总体方案》《海口江东新区信用园区建设三年行动计划（2024－2026）》《海口江东新区公共信用信息目录》</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lang w:val="en-US" w:eastAsia="zh-CN"/>
        </w:rPr>
        <w:t>经甲方审议通过后，</w:t>
      </w:r>
      <w:r>
        <w:rPr>
          <w:rFonts w:hint="eastAsia" w:ascii="宋体" w:hAnsi="宋体" w:eastAsia="宋体" w:cs="宋体"/>
          <w:color w:val="auto"/>
          <w:sz w:val="21"/>
          <w:szCs w:val="21"/>
          <w:lang w:val="en-US" w:eastAsia="zh-CN"/>
        </w:rPr>
        <w:t>由</w:t>
      </w:r>
      <w:r>
        <w:rPr>
          <w:rFonts w:hint="eastAsia" w:ascii="宋体" w:hAnsi="宋体" w:eastAsia="宋体" w:cs="宋体"/>
          <w:color w:val="auto"/>
          <w:sz w:val="21"/>
          <w:szCs w:val="21"/>
        </w:rPr>
        <w:t>甲方向乙方支付项目总费用</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%款项，即人民币</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.00</w:t>
      </w:r>
      <w:r>
        <w:rPr>
          <w:rFonts w:hint="eastAsia" w:ascii="宋体" w:hAnsi="宋体" w:eastAsia="宋体" w:cs="宋体"/>
          <w:color w:val="auto"/>
          <w:sz w:val="21"/>
          <w:szCs w:val="21"/>
          <w:lang w:eastAsia="zh-CN"/>
        </w:rPr>
        <w:t>元</w:t>
      </w:r>
      <w:r>
        <w:rPr>
          <w:rFonts w:hint="eastAsia" w:ascii="宋体" w:hAnsi="宋体" w:eastAsia="宋体" w:cs="宋体"/>
          <w:color w:val="auto"/>
          <w:sz w:val="21"/>
          <w:szCs w:val="21"/>
        </w:rPr>
        <w:t>）；</w:t>
      </w:r>
    </w:p>
    <w:p w14:paraId="7D029508">
      <w:pPr>
        <w:numPr>
          <w:ilvl w:val="255"/>
          <w:numId w:val="0"/>
        </w:numPr>
        <w:spacing w:line="400" w:lineRule="exact"/>
        <w:ind w:left="0" w:firstLine="420" w:firstLineChars="200"/>
        <w:rPr>
          <w:rFonts w:hint="eastAsia" w:ascii="宋体" w:hAnsi="宋体" w:cs="宋体"/>
          <w:color w:val="auto"/>
          <w:szCs w:val="21"/>
        </w:rPr>
      </w:pPr>
      <w:r>
        <w:rPr>
          <w:rFonts w:hint="eastAsia" w:ascii="宋体" w:hAnsi="宋体" w:cs="宋体"/>
          <w:color w:val="auto"/>
          <w:szCs w:val="21"/>
        </w:rPr>
        <w:t>第</w:t>
      </w:r>
      <w:r>
        <w:rPr>
          <w:rFonts w:hint="eastAsia" w:ascii="宋体" w:hAnsi="宋体" w:cs="宋体"/>
          <w:color w:val="auto"/>
          <w:szCs w:val="21"/>
          <w:lang w:val="en-US" w:eastAsia="zh-CN"/>
        </w:rPr>
        <w:t>二</w:t>
      </w:r>
      <w:r>
        <w:rPr>
          <w:rFonts w:hint="eastAsia" w:ascii="宋体" w:hAnsi="宋体" w:cs="宋体"/>
          <w:color w:val="auto"/>
          <w:szCs w:val="21"/>
        </w:rPr>
        <w:t>笔：乙方完成</w:t>
      </w:r>
      <w:r>
        <w:rPr>
          <w:rFonts w:hint="eastAsia" w:asciiTheme="minorEastAsia" w:hAnsiTheme="minorEastAsia" w:eastAsiaTheme="minorEastAsia" w:cstheme="minorEastAsia"/>
          <w:bCs/>
          <w:color w:val="auto"/>
          <w:szCs w:val="21"/>
        </w:rPr>
        <w:t>《海口江东新区</w:t>
      </w:r>
      <w:r>
        <w:rPr>
          <w:rFonts w:hint="eastAsia" w:asciiTheme="minorEastAsia" w:hAnsiTheme="minorEastAsia" w:eastAsiaTheme="minorEastAsia" w:cstheme="minorEastAsia"/>
          <w:bCs/>
          <w:color w:val="auto"/>
          <w:szCs w:val="21"/>
          <w:lang w:val="en-US" w:eastAsia="zh-CN"/>
        </w:rPr>
        <w:t>信用园区</w:t>
      </w:r>
      <w:r>
        <w:rPr>
          <w:rFonts w:hint="eastAsia" w:asciiTheme="minorEastAsia" w:hAnsiTheme="minorEastAsia" w:eastAsiaTheme="minorEastAsia" w:cstheme="minorEastAsia"/>
          <w:bCs/>
          <w:color w:val="auto"/>
          <w:szCs w:val="21"/>
        </w:rPr>
        <w:t>建设行动方案（202</w:t>
      </w:r>
      <w:r>
        <w:rPr>
          <w:rFonts w:hint="eastAsia" w:asciiTheme="minorEastAsia" w:hAnsiTheme="minorEastAsia" w:eastAsiaTheme="minorEastAsia" w:cstheme="minorEastAsia"/>
          <w:bCs/>
          <w:color w:val="auto"/>
          <w:szCs w:val="21"/>
          <w:lang w:val="en-US" w:eastAsia="zh-CN"/>
        </w:rPr>
        <w:t>4</w:t>
      </w:r>
      <w:r>
        <w:rPr>
          <w:rFonts w:hint="eastAsia" w:asciiTheme="minorEastAsia" w:hAnsiTheme="minorEastAsia" w:eastAsiaTheme="minorEastAsia" w:cstheme="minorEastAsia"/>
          <w:bCs/>
          <w:color w:val="auto"/>
          <w:szCs w:val="21"/>
        </w:rPr>
        <w:t>年）》</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lang w:val="en-US" w:eastAsia="zh-CN"/>
        </w:rPr>
        <w:t>完成</w:t>
      </w:r>
      <w:r>
        <w:rPr>
          <w:rFonts w:hint="eastAsia" w:asciiTheme="minorEastAsia" w:hAnsiTheme="minorEastAsia" w:eastAsiaTheme="minorEastAsia" w:cstheme="minorEastAsia"/>
          <w:bCs/>
          <w:color w:val="auto"/>
          <w:szCs w:val="21"/>
        </w:rPr>
        <w:t>开发3个</w:t>
      </w:r>
      <w:r>
        <w:rPr>
          <w:rFonts w:hint="eastAsia" w:asciiTheme="minorEastAsia" w:hAnsiTheme="minorEastAsia" w:eastAsiaTheme="minorEastAsia" w:cstheme="minorEastAsia"/>
          <w:bCs/>
          <w:color w:val="auto"/>
          <w:szCs w:val="21"/>
          <w:lang w:val="en-US" w:eastAsia="zh-CN"/>
        </w:rPr>
        <w:t>信用+应用</w:t>
      </w:r>
      <w:r>
        <w:rPr>
          <w:rFonts w:hint="eastAsia" w:asciiTheme="minorEastAsia" w:hAnsiTheme="minorEastAsia" w:eastAsiaTheme="minorEastAsia" w:cstheme="minorEastAsia"/>
          <w:bCs/>
          <w:color w:val="auto"/>
          <w:szCs w:val="21"/>
        </w:rPr>
        <w:t>场景</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lang w:val="en-US" w:eastAsia="zh-CN"/>
        </w:rPr>
        <w:t>完成绘制园区现有企业信用画像，并提供信用管理平台服务</w:t>
      </w:r>
      <w:r>
        <w:rPr>
          <w:rFonts w:hint="eastAsia" w:ascii="宋体" w:hAnsi="宋体" w:cs="宋体"/>
          <w:color w:val="auto"/>
          <w:szCs w:val="21"/>
          <w:lang w:eastAsia="zh-CN"/>
        </w:rPr>
        <w:t>，</w:t>
      </w:r>
      <w:r>
        <w:rPr>
          <w:rFonts w:hint="eastAsia" w:asciiTheme="minorEastAsia" w:hAnsiTheme="minorEastAsia" w:eastAsiaTheme="minorEastAsia" w:cstheme="minorEastAsia"/>
          <w:bCs/>
          <w:color w:val="auto"/>
          <w:szCs w:val="21"/>
          <w:lang w:val="en-US" w:eastAsia="zh-CN"/>
        </w:rPr>
        <w:t>经甲方审议通过后，</w:t>
      </w:r>
      <w:r>
        <w:rPr>
          <w:rFonts w:hint="eastAsia" w:ascii="宋体" w:hAnsi="宋体" w:cs="宋体"/>
          <w:color w:val="auto"/>
          <w:szCs w:val="21"/>
          <w:lang w:val="en-US" w:eastAsia="zh-CN"/>
        </w:rPr>
        <w:t>由甲方</w:t>
      </w:r>
      <w:r>
        <w:rPr>
          <w:rFonts w:hint="eastAsia" w:ascii="宋体" w:hAnsi="宋体" w:cs="宋体"/>
          <w:color w:val="auto"/>
          <w:szCs w:val="21"/>
        </w:rPr>
        <w:t>向乙方支付项目总费用的</w:t>
      </w:r>
      <w:r>
        <w:rPr>
          <w:rFonts w:hint="eastAsia" w:ascii="宋体" w:hAnsi="宋体" w:cs="宋体"/>
          <w:color w:val="auto"/>
          <w:szCs w:val="21"/>
          <w:lang w:val="en-US" w:eastAsia="zh-CN"/>
        </w:rPr>
        <w:t>2</w:t>
      </w:r>
      <w:r>
        <w:rPr>
          <w:rFonts w:hint="eastAsia" w:ascii="宋体" w:hAnsi="宋体" w:cs="宋体"/>
          <w:color w:val="auto"/>
          <w:szCs w:val="21"/>
        </w:rPr>
        <w:t>0%款项，即人民币    整（￥</w:t>
      </w:r>
      <w:r>
        <w:rPr>
          <w:rFonts w:hint="eastAsia" w:ascii="宋体" w:hAnsi="宋体" w:cs="宋体"/>
          <w:color w:val="auto"/>
          <w:szCs w:val="21"/>
          <w:u w:val="single"/>
        </w:rPr>
        <w:t xml:space="preserve">      </w:t>
      </w:r>
      <w:r>
        <w:rPr>
          <w:rFonts w:hint="eastAsia" w:ascii="宋体" w:hAnsi="宋体" w:cs="宋体"/>
          <w:color w:val="auto"/>
          <w:szCs w:val="21"/>
        </w:rPr>
        <w:t>.00元）。</w:t>
      </w:r>
    </w:p>
    <w:p w14:paraId="166DA36B">
      <w:pPr>
        <w:numPr>
          <w:ilvl w:val="255"/>
          <w:numId w:val="0"/>
        </w:numPr>
        <w:spacing w:line="400" w:lineRule="exact"/>
        <w:ind w:firstLine="420" w:firstLineChars="200"/>
        <w:rPr>
          <w:rFonts w:hint="eastAsia" w:ascii="宋体" w:hAnsi="宋体" w:cs="宋体"/>
          <w:color w:val="auto"/>
          <w:szCs w:val="21"/>
        </w:rPr>
      </w:pPr>
      <w:r>
        <w:rPr>
          <w:rFonts w:hint="eastAsia" w:ascii="宋体" w:hAnsi="宋体" w:cs="宋体"/>
          <w:color w:val="auto"/>
          <w:szCs w:val="21"/>
        </w:rPr>
        <w:t>第</w:t>
      </w:r>
      <w:r>
        <w:rPr>
          <w:rFonts w:hint="eastAsia" w:ascii="宋体" w:hAnsi="宋体" w:cs="宋体"/>
          <w:color w:val="auto"/>
          <w:szCs w:val="21"/>
          <w:lang w:val="en-US" w:eastAsia="zh-CN"/>
        </w:rPr>
        <w:t>三</w:t>
      </w:r>
      <w:r>
        <w:rPr>
          <w:rFonts w:hint="eastAsia" w:ascii="宋体" w:hAnsi="宋体" w:cs="宋体"/>
          <w:color w:val="auto"/>
          <w:szCs w:val="21"/>
        </w:rPr>
        <w:t>笔：乙方</w:t>
      </w:r>
      <w:r>
        <w:rPr>
          <w:rFonts w:hint="eastAsia" w:asciiTheme="minorEastAsia" w:hAnsiTheme="minorEastAsia" w:eastAsiaTheme="minorEastAsia" w:cstheme="minorEastAsia"/>
          <w:bCs/>
          <w:color w:val="auto"/>
          <w:szCs w:val="21"/>
        </w:rPr>
        <w:t>完成《海口江东新区</w:t>
      </w:r>
      <w:r>
        <w:rPr>
          <w:rFonts w:hint="eastAsia" w:asciiTheme="minorEastAsia" w:hAnsiTheme="minorEastAsia" w:eastAsiaTheme="minorEastAsia" w:cstheme="minorEastAsia"/>
          <w:bCs/>
          <w:color w:val="auto"/>
          <w:szCs w:val="21"/>
          <w:lang w:val="en-US" w:eastAsia="zh-CN"/>
        </w:rPr>
        <w:t>信用园区</w:t>
      </w:r>
      <w:r>
        <w:rPr>
          <w:rFonts w:hint="eastAsia" w:asciiTheme="minorEastAsia" w:hAnsiTheme="minorEastAsia" w:eastAsiaTheme="minorEastAsia" w:cstheme="minorEastAsia"/>
          <w:bCs/>
          <w:color w:val="auto"/>
          <w:szCs w:val="21"/>
        </w:rPr>
        <w:t>建设行动方案（202</w:t>
      </w:r>
      <w:r>
        <w:rPr>
          <w:rFonts w:hint="eastAsia" w:asciiTheme="minorEastAsia" w:hAnsiTheme="minorEastAsia" w:eastAsiaTheme="minorEastAsia" w:cstheme="minorEastAsia"/>
          <w:bCs/>
          <w:color w:val="auto"/>
          <w:szCs w:val="21"/>
          <w:lang w:val="en-US" w:eastAsia="zh-CN"/>
        </w:rPr>
        <w:t>5</w:t>
      </w:r>
      <w:r>
        <w:rPr>
          <w:rFonts w:hint="eastAsia" w:asciiTheme="minorEastAsia" w:hAnsiTheme="minorEastAsia" w:eastAsiaTheme="minorEastAsia" w:cstheme="minorEastAsia"/>
          <w:bCs/>
          <w:color w:val="auto"/>
          <w:szCs w:val="21"/>
        </w:rPr>
        <w:t>年）》</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lang w:val="en-US" w:eastAsia="zh-CN"/>
        </w:rPr>
        <w:t>经甲方审议通过后，</w:t>
      </w:r>
      <w:r>
        <w:rPr>
          <w:rFonts w:hint="eastAsia" w:ascii="宋体" w:hAnsi="宋体" w:cs="宋体"/>
          <w:color w:val="auto"/>
          <w:szCs w:val="21"/>
          <w:lang w:val="en-US" w:eastAsia="zh-CN"/>
        </w:rPr>
        <w:t>由甲方</w:t>
      </w:r>
      <w:r>
        <w:rPr>
          <w:rFonts w:hint="eastAsia" w:ascii="宋体" w:hAnsi="宋体" w:cs="宋体"/>
          <w:color w:val="auto"/>
          <w:szCs w:val="21"/>
        </w:rPr>
        <w:t>向乙方支付项目总费用的</w:t>
      </w:r>
      <w:r>
        <w:rPr>
          <w:rFonts w:hint="eastAsia" w:ascii="宋体" w:hAnsi="宋体" w:cs="宋体"/>
          <w:color w:val="auto"/>
          <w:szCs w:val="21"/>
          <w:lang w:val="en-US" w:eastAsia="zh-CN"/>
        </w:rPr>
        <w:t>1</w:t>
      </w:r>
      <w:r>
        <w:rPr>
          <w:rFonts w:hint="eastAsia" w:ascii="宋体" w:hAnsi="宋体" w:cs="宋体"/>
          <w:color w:val="auto"/>
          <w:szCs w:val="21"/>
        </w:rPr>
        <w:t>0%款项，即人民币    整（￥</w:t>
      </w:r>
      <w:r>
        <w:rPr>
          <w:rFonts w:hint="eastAsia" w:ascii="宋体" w:hAnsi="宋体" w:cs="宋体"/>
          <w:color w:val="auto"/>
          <w:szCs w:val="21"/>
          <w:u w:val="single"/>
        </w:rPr>
        <w:t xml:space="preserve">      </w:t>
      </w:r>
      <w:r>
        <w:rPr>
          <w:rFonts w:hint="eastAsia" w:ascii="宋体" w:hAnsi="宋体" w:cs="宋体"/>
          <w:color w:val="auto"/>
          <w:szCs w:val="21"/>
        </w:rPr>
        <w:t>.00元）。</w:t>
      </w:r>
    </w:p>
    <w:p w14:paraId="40F3268A">
      <w:pPr>
        <w:numPr>
          <w:ilvl w:val="255"/>
          <w:numId w:val="0"/>
        </w:numPr>
        <w:spacing w:line="400" w:lineRule="exact"/>
        <w:ind w:firstLine="420" w:firstLineChars="200"/>
        <w:rPr>
          <w:rFonts w:hint="eastAsia" w:ascii="宋体" w:hAnsi="宋体" w:cs="宋体"/>
          <w:color w:val="auto"/>
          <w:szCs w:val="21"/>
        </w:rPr>
      </w:pPr>
      <w:r>
        <w:rPr>
          <w:rFonts w:hint="eastAsia" w:ascii="宋体" w:hAnsi="宋体" w:cs="宋体"/>
          <w:color w:val="auto"/>
          <w:szCs w:val="21"/>
        </w:rPr>
        <w:t>第</w:t>
      </w:r>
      <w:r>
        <w:rPr>
          <w:rFonts w:hint="eastAsia" w:ascii="宋体" w:hAnsi="宋体" w:cs="宋体"/>
          <w:color w:val="auto"/>
          <w:szCs w:val="21"/>
          <w:lang w:val="en-US" w:eastAsia="zh-CN"/>
        </w:rPr>
        <w:t>四</w:t>
      </w:r>
      <w:r>
        <w:rPr>
          <w:rFonts w:hint="eastAsia" w:ascii="宋体" w:hAnsi="宋体" w:cs="宋体"/>
          <w:color w:val="auto"/>
          <w:szCs w:val="21"/>
        </w:rPr>
        <w:t>笔：乙方</w:t>
      </w:r>
      <w:r>
        <w:rPr>
          <w:rFonts w:hint="eastAsia" w:asciiTheme="minorEastAsia" w:hAnsiTheme="minorEastAsia" w:eastAsiaTheme="minorEastAsia" w:cstheme="minorEastAsia"/>
          <w:bCs/>
          <w:color w:val="auto"/>
          <w:szCs w:val="21"/>
          <w:lang w:val="en-US" w:eastAsia="zh-CN"/>
        </w:rPr>
        <w:t>再行完成</w:t>
      </w:r>
      <w:r>
        <w:rPr>
          <w:rFonts w:hint="eastAsia" w:asciiTheme="minorEastAsia" w:hAnsiTheme="minorEastAsia" w:eastAsiaTheme="minorEastAsia" w:cstheme="minorEastAsia"/>
          <w:bCs/>
          <w:color w:val="auto"/>
          <w:szCs w:val="21"/>
        </w:rPr>
        <w:t>开发3个</w:t>
      </w:r>
      <w:r>
        <w:rPr>
          <w:rFonts w:hint="eastAsia" w:asciiTheme="minorEastAsia" w:hAnsiTheme="minorEastAsia" w:eastAsiaTheme="minorEastAsia" w:cstheme="minorEastAsia"/>
          <w:bCs/>
          <w:color w:val="auto"/>
          <w:szCs w:val="21"/>
          <w:lang w:val="en-US" w:eastAsia="zh-CN"/>
        </w:rPr>
        <w:t>信用+应用</w:t>
      </w:r>
      <w:r>
        <w:rPr>
          <w:rFonts w:hint="eastAsia" w:asciiTheme="minorEastAsia" w:hAnsiTheme="minorEastAsia" w:eastAsiaTheme="minorEastAsia" w:cstheme="minorEastAsia"/>
          <w:bCs/>
          <w:color w:val="auto"/>
          <w:szCs w:val="21"/>
        </w:rPr>
        <w:t>场景</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lang w:val="en-US" w:eastAsia="zh-CN"/>
        </w:rPr>
        <w:t>绘制园区所有企业信用画像，应用场景投用及画像完成后，</w:t>
      </w:r>
      <w:r>
        <w:rPr>
          <w:rFonts w:hint="eastAsia" w:ascii="宋体" w:hAnsi="宋体" w:cs="宋体"/>
          <w:color w:val="auto"/>
          <w:szCs w:val="21"/>
          <w:lang w:val="en-US" w:eastAsia="zh-CN"/>
        </w:rPr>
        <w:t>由甲方</w:t>
      </w:r>
      <w:r>
        <w:rPr>
          <w:rFonts w:hint="eastAsia" w:ascii="宋体" w:hAnsi="宋体" w:cs="宋体"/>
          <w:color w:val="auto"/>
          <w:szCs w:val="21"/>
        </w:rPr>
        <w:t>向乙方支付项目总费用的</w:t>
      </w:r>
      <w:r>
        <w:rPr>
          <w:rFonts w:hint="eastAsia" w:ascii="宋体" w:hAnsi="宋体" w:cs="宋体"/>
          <w:color w:val="auto"/>
          <w:szCs w:val="21"/>
          <w:lang w:val="en-US" w:eastAsia="zh-CN"/>
        </w:rPr>
        <w:t>15</w:t>
      </w:r>
      <w:r>
        <w:rPr>
          <w:rFonts w:hint="eastAsia" w:ascii="宋体" w:hAnsi="宋体" w:cs="宋体"/>
          <w:color w:val="auto"/>
          <w:szCs w:val="21"/>
        </w:rPr>
        <w:t>%款项，即人民币    整（￥</w:t>
      </w:r>
      <w:r>
        <w:rPr>
          <w:rFonts w:hint="eastAsia" w:ascii="宋体" w:hAnsi="宋体" w:cs="宋体"/>
          <w:color w:val="auto"/>
          <w:szCs w:val="21"/>
          <w:u w:val="single"/>
        </w:rPr>
        <w:t xml:space="preserve">      </w:t>
      </w:r>
      <w:r>
        <w:rPr>
          <w:rFonts w:hint="eastAsia" w:ascii="宋体" w:hAnsi="宋体" w:cs="宋体"/>
          <w:color w:val="auto"/>
          <w:szCs w:val="21"/>
        </w:rPr>
        <w:t>.00元）。</w:t>
      </w:r>
    </w:p>
    <w:p w14:paraId="7A386F5B">
      <w:pPr>
        <w:numPr>
          <w:ilvl w:val="255"/>
          <w:numId w:val="0"/>
        </w:numPr>
        <w:spacing w:line="400" w:lineRule="exact"/>
        <w:ind w:firstLine="420" w:firstLineChars="200"/>
        <w:rPr>
          <w:rFonts w:hint="eastAsia" w:ascii="宋体" w:hAnsi="宋体" w:cs="宋体"/>
          <w:color w:val="auto"/>
          <w:szCs w:val="21"/>
        </w:rPr>
      </w:pPr>
      <w:r>
        <w:rPr>
          <w:rFonts w:hint="eastAsia" w:ascii="宋体" w:hAnsi="宋体" w:cs="宋体"/>
          <w:color w:val="auto"/>
          <w:szCs w:val="21"/>
        </w:rPr>
        <w:t>第</w:t>
      </w:r>
      <w:r>
        <w:rPr>
          <w:rFonts w:hint="eastAsia" w:ascii="宋体" w:hAnsi="宋体" w:cs="宋体"/>
          <w:color w:val="auto"/>
          <w:szCs w:val="21"/>
          <w:lang w:val="en-US" w:eastAsia="zh-CN"/>
        </w:rPr>
        <w:t>五</w:t>
      </w:r>
      <w:r>
        <w:rPr>
          <w:rFonts w:hint="eastAsia" w:ascii="宋体" w:hAnsi="宋体" w:cs="宋体"/>
          <w:color w:val="auto"/>
          <w:szCs w:val="21"/>
        </w:rPr>
        <w:t>笔：乙方</w:t>
      </w:r>
      <w:r>
        <w:rPr>
          <w:rFonts w:hint="eastAsia" w:asciiTheme="minorEastAsia" w:hAnsiTheme="minorEastAsia" w:eastAsiaTheme="minorEastAsia" w:cstheme="minorEastAsia"/>
          <w:bCs/>
          <w:color w:val="auto"/>
          <w:szCs w:val="21"/>
        </w:rPr>
        <w:t>完成《海口江东新区</w:t>
      </w:r>
      <w:r>
        <w:rPr>
          <w:rFonts w:hint="eastAsia" w:asciiTheme="minorEastAsia" w:hAnsiTheme="minorEastAsia" w:eastAsiaTheme="minorEastAsia" w:cstheme="minorEastAsia"/>
          <w:bCs/>
          <w:color w:val="auto"/>
          <w:szCs w:val="21"/>
          <w:lang w:val="en-US" w:eastAsia="zh-CN"/>
        </w:rPr>
        <w:t>信用园区</w:t>
      </w:r>
      <w:r>
        <w:rPr>
          <w:rFonts w:hint="eastAsia" w:asciiTheme="minorEastAsia" w:hAnsiTheme="minorEastAsia" w:eastAsiaTheme="minorEastAsia" w:cstheme="minorEastAsia"/>
          <w:bCs/>
          <w:color w:val="auto"/>
          <w:szCs w:val="21"/>
        </w:rPr>
        <w:t>建设行动方案（202</w:t>
      </w:r>
      <w:r>
        <w:rPr>
          <w:rFonts w:hint="eastAsia" w:asciiTheme="minorEastAsia" w:hAnsiTheme="minorEastAsia" w:eastAsiaTheme="minorEastAsia" w:cstheme="minorEastAsia"/>
          <w:bCs/>
          <w:color w:val="auto"/>
          <w:szCs w:val="21"/>
          <w:lang w:val="en-US" w:eastAsia="zh-CN"/>
        </w:rPr>
        <w:t>6</w:t>
      </w:r>
      <w:r>
        <w:rPr>
          <w:rFonts w:hint="eastAsia" w:asciiTheme="minorEastAsia" w:hAnsiTheme="minorEastAsia" w:eastAsiaTheme="minorEastAsia" w:cstheme="minorEastAsia"/>
          <w:bCs/>
          <w:color w:val="auto"/>
          <w:szCs w:val="21"/>
        </w:rPr>
        <w:t>年）》</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lang w:val="en-US" w:eastAsia="zh-CN"/>
        </w:rPr>
        <w:t>经甲方审议通过后，</w:t>
      </w:r>
      <w:r>
        <w:rPr>
          <w:rFonts w:hint="eastAsia" w:ascii="宋体" w:hAnsi="宋体" w:cs="宋体"/>
          <w:color w:val="auto"/>
          <w:szCs w:val="21"/>
          <w:lang w:val="en-US" w:eastAsia="zh-CN"/>
        </w:rPr>
        <w:t>由甲方</w:t>
      </w:r>
      <w:r>
        <w:rPr>
          <w:rFonts w:hint="eastAsia" w:ascii="宋体" w:hAnsi="宋体" w:cs="宋体"/>
          <w:color w:val="auto"/>
          <w:szCs w:val="21"/>
        </w:rPr>
        <w:t>向乙方支付项目总费用的</w:t>
      </w:r>
      <w:r>
        <w:rPr>
          <w:rFonts w:hint="eastAsia" w:ascii="宋体" w:hAnsi="宋体" w:cs="宋体"/>
          <w:color w:val="auto"/>
          <w:szCs w:val="21"/>
          <w:lang w:val="en-US" w:eastAsia="zh-CN"/>
        </w:rPr>
        <w:t>1</w:t>
      </w:r>
      <w:r>
        <w:rPr>
          <w:rFonts w:hint="eastAsia" w:ascii="宋体" w:hAnsi="宋体" w:cs="宋体"/>
          <w:color w:val="auto"/>
          <w:szCs w:val="21"/>
        </w:rPr>
        <w:t>0%款项，即人民币    整（￥</w:t>
      </w:r>
      <w:r>
        <w:rPr>
          <w:rFonts w:hint="eastAsia" w:ascii="宋体" w:hAnsi="宋体" w:cs="宋体"/>
          <w:color w:val="auto"/>
          <w:szCs w:val="21"/>
          <w:u w:val="single"/>
        </w:rPr>
        <w:t xml:space="preserve">      </w:t>
      </w:r>
      <w:r>
        <w:rPr>
          <w:rFonts w:hint="eastAsia" w:ascii="宋体" w:hAnsi="宋体" w:cs="宋体"/>
          <w:color w:val="auto"/>
          <w:szCs w:val="21"/>
        </w:rPr>
        <w:t>.00元）。</w:t>
      </w:r>
    </w:p>
    <w:p w14:paraId="058223B1">
      <w:pPr>
        <w:numPr>
          <w:ilvl w:val="255"/>
          <w:numId w:val="0"/>
        </w:numPr>
        <w:spacing w:line="400" w:lineRule="exact"/>
        <w:ind w:firstLine="420" w:firstLineChars="200"/>
        <w:rPr>
          <w:rFonts w:hint="eastAsia" w:ascii="宋体" w:hAnsi="宋体" w:cs="宋体"/>
          <w:color w:val="auto"/>
          <w:szCs w:val="21"/>
        </w:rPr>
      </w:pPr>
      <w:r>
        <w:rPr>
          <w:rFonts w:hint="eastAsia" w:ascii="宋体" w:hAnsi="宋体" w:cs="宋体"/>
          <w:color w:val="auto"/>
          <w:szCs w:val="21"/>
        </w:rPr>
        <w:t>第</w:t>
      </w:r>
      <w:r>
        <w:rPr>
          <w:rFonts w:hint="eastAsia" w:ascii="宋体" w:hAnsi="宋体" w:cs="宋体"/>
          <w:color w:val="auto"/>
          <w:szCs w:val="21"/>
          <w:lang w:val="en-US" w:eastAsia="zh-CN"/>
        </w:rPr>
        <w:t>六</w:t>
      </w:r>
      <w:r>
        <w:rPr>
          <w:rFonts w:hint="eastAsia" w:ascii="宋体" w:hAnsi="宋体" w:cs="宋体"/>
          <w:color w:val="auto"/>
          <w:szCs w:val="21"/>
        </w:rPr>
        <w:t>笔：乙方</w:t>
      </w:r>
      <w:r>
        <w:rPr>
          <w:rFonts w:hint="eastAsia" w:asciiTheme="minorEastAsia" w:hAnsiTheme="minorEastAsia" w:eastAsiaTheme="minorEastAsia" w:cstheme="minorEastAsia"/>
          <w:bCs/>
          <w:color w:val="auto"/>
          <w:szCs w:val="21"/>
          <w:lang w:val="en-US" w:eastAsia="zh-CN"/>
        </w:rPr>
        <w:t>再行完成</w:t>
      </w:r>
      <w:r>
        <w:rPr>
          <w:rFonts w:hint="eastAsia" w:asciiTheme="minorEastAsia" w:hAnsiTheme="minorEastAsia" w:eastAsiaTheme="minorEastAsia" w:cstheme="minorEastAsia"/>
          <w:bCs/>
          <w:color w:val="auto"/>
          <w:szCs w:val="21"/>
        </w:rPr>
        <w:t>开发</w:t>
      </w:r>
      <w:r>
        <w:rPr>
          <w:rFonts w:hint="eastAsia" w:asciiTheme="minorEastAsia" w:hAnsiTheme="minorEastAsia" w:eastAsiaTheme="minorEastAsia" w:cstheme="minorEastAsia"/>
          <w:bCs/>
          <w:color w:val="auto"/>
          <w:szCs w:val="21"/>
          <w:lang w:val="en-US" w:eastAsia="zh-CN"/>
        </w:rPr>
        <w:t>4</w:t>
      </w:r>
      <w:r>
        <w:rPr>
          <w:rFonts w:hint="eastAsia" w:asciiTheme="minorEastAsia" w:hAnsiTheme="minorEastAsia" w:eastAsiaTheme="minorEastAsia" w:cstheme="minorEastAsia"/>
          <w:bCs/>
          <w:color w:val="auto"/>
          <w:szCs w:val="21"/>
        </w:rPr>
        <w:t>个</w:t>
      </w:r>
      <w:r>
        <w:rPr>
          <w:rFonts w:hint="eastAsia" w:asciiTheme="minorEastAsia" w:hAnsiTheme="minorEastAsia" w:eastAsiaTheme="minorEastAsia" w:cstheme="minorEastAsia"/>
          <w:bCs/>
          <w:color w:val="auto"/>
          <w:szCs w:val="21"/>
          <w:lang w:val="en-US" w:eastAsia="zh-CN"/>
        </w:rPr>
        <w:t>信用+应用</w:t>
      </w:r>
      <w:r>
        <w:rPr>
          <w:rFonts w:hint="eastAsia" w:asciiTheme="minorEastAsia" w:hAnsiTheme="minorEastAsia" w:eastAsiaTheme="minorEastAsia" w:cstheme="minorEastAsia"/>
          <w:bCs/>
          <w:color w:val="auto"/>
          <w:szCs w:val="21"/>
        </w:rPr>
        <w:t>场景</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lang w:val="en-US" w:eastAsia="zh-CN"/>
        </w:rPr>
        <w:t>应用场景投用后，</w:t>
      </w:r>
      <w:r>
        <w:rPr>
          <w:rFonts w:hint="eastAsia" w:ascii="宋体" w:hAnsi="宋体" w:cs="宋体"/>
          <w:color w:val="auto"/>
          <w:szCs w:val="21"/>
          <w:lang w:val="en-US" w:eastAsia="zh-CN"/>
        </w:rPr>
        <w:t>由甲方</w:t>
      </w:r>
      <w:r>
        <w:rPr>
          <w:rFonts w:hint="eastAsia" w:ascii="宋体" w:hAnsi="宋体" w:cs="宋体"/>
          <w:color w:val="auto"/>
          <w:szCs w:val="21"/>
        </w:rPr>
        <w:t>向乙方支付项目总费用的</w:t>
      </w:r>
      <w:r>
        <w:rPr>
          <w:rFonts w:hint="eastAsia" w:ascii="宋体" w:hAnsi="宋体" w:cs="宋体"/>
          <w:color w:val="auto"/>
          <w:szCs w:val="21"/>
          <w:u w:val="single"/>
          <w:lang w:val="en-US" w:eastAsia="zh-CN"/>
        </w:rPr>
        <w:t>15</w:t>
      </w:r>
      <w:r>
        <w:rPr>
          <w:rFonts w:hint="eastAsia" w:ascii="宋体" w:hAnsi="宋体" w:cs="宋体"/>
          <w:color w:val="auto"/>
          <w:szCs w:val="21"/>
          <w:u w:val="single"/>
        </w:rPr>
        <w:t>%</w:t>
      </w:r>
      <w:r>
        <w:rPr>
          <w:rFonts w:hint="eastAsia" w:ascii="宋体" w:hAnsi="宋体" w:cs="宋体"/>
          <w:color w:val="auto"/>
          <w:szCs w:val="21"/>
        </w:rPr>
        <w:t>款项，即人民币    整（￥</w:t>
      </w:r>
      <w:r>
        <w:rPr>
          <w:rFonts w:hint="eastAsia" w:ascii="宋体" w:hAnsi="宋体" w:cs="宋体"/>
          <w:color w:val="auto"/>
          <w:szCs w:val="21"/>
          <w:u w:val="single"/>
        </w:rPr>
        <w:t xml:space="preserve">      </w:t>
      </w:r>
      <w:r>
        <w:rPr>
          <w:rFonts w:hint="eastAsia" w:ascii="宋体" w:hAnsi="宋体" w:cs="宋体"/>
          <w:color w:val="auto"/>
          <w:szCs w:val="21"/>
        </w:rPr>
        <w:t>.00元）。</w:t>
      </w:r>
    </w:p>
    <w:p w14:paraId="2ADFBA41">
      <w:pPr>
        <w:numPr>
          <w:ilvl w:val="255"/>
          <w:numId w:val="0"/>
        </w:numPr>
        <w:spacing w:line="400" w:lineRule="exact"/>
        <w:ind w:firstLine="420" w:firstLineChars="200"/>
        <w:rPr>
          <w:rFonts w:hint="eastAsia" w:ascii="宋体" w:hAnsi="宋体" w:cs="宋体"/>
          <w:color w:val="auto"/>
          <w:szCs w:val="21"/>
        </w:rPr>
      </w:pPr>
      <w:r>
        <w:rPr>
          <w:rFonts w:hint="eastAsia" w:ascii="宋体" w:hAnsi="宋体" w:cs="宋体"/>
          <w:color w:val="auto"/>
          <w:szCs w:val="21"/>
        </w:rPr>
        <w:t>第</w:t>
      </w:r>
      <w:r>
        <w:rPr>
          <w:rFonts w:hint="eastAsia" w:ascii="宋体" w:hAnsi="宋体" w:cs="宋体"/>
          <w:color w:val="auto"/>
          <w:szCs w:val="21"/>
          <w:lang w:val="en-US" w:eastAsia="zh-CN"/>
        </w:rPr>
        <w:t>七</w:t>
      </w:r>
      <w:r>
        <w:rPr>
          <w:rFonts w:hint="eastAsia" w:ascii="宋体" w:hAnsi="宋体" w:cs="宋体"/>
          <w:color w:val="auto"/>
          <w:szCs w:val="21"/>
        </w:rPr>
        <w:t>笔：乙方</w:t>
      </w:r>
      <w:r>
        <w:rPr>
          <w:rFonts w:hint="eastAsia"/>
          <w:color w:val="auto"/>
        </w:rPr>
        <w:t>自签订之日起，每</w:t>
      </w:r>
      <w:r>
        <w:rPr>
          <w:rFonts w:hint="eastAsia"/>
          <w:color w:val="auto"/>
          <w:lang w:val="en-US" w:eastAsia="zh-CN"/>
        </w:rPr>
        <w:t>年7月及次年1月</w:t>
      </w:r>
      <w:r>
        <w:rPr>
          <w:rFonts w:hint="eastAsia"/>
          <w:color w:val="auto"/>
        </w:rPr>
        <w:t>15日前</w:t>
      </w:r>
      <w:r>
        <w:rPr>
          <w:rFonts w:hint="eastAsia"/>
          <w:color w:val="auto"/>
          <w:lang w:val="en-US" w:eastAsia="zh-CN"/>
        </w:rPr>
        <w:t>完成</w:t>
      </w:r>
      <w:r>
        <w:rPr>
          <w:rFonts w:hint="eastAsia" w:asciiTheme="minorEastAsia" w:hAnsiTheme="minorEastAsia" w:eastAsiaTheme="minorEastAsia" w:cstheme="minorEastAsia"/>
          <w:bCs/>
          <w:color w:val="auto"/>
          <w:szCs w:val="21"/>
        </w:rPr>
        <w:t>《国内外先进信用园区经验案例报告》</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rPr>
        <w:t>共计</w:t>
      </w:r>
      <w:r>
        <w:rPr>
          <w:rFonts w:hint="eastAsia" w:asciiTheme="minorEastAsia" w:hAnsiTheme="minorEastAsia" w:eastAsiaTheme="minorEastAsia" w:cstheme="minorEastAsia"/>
          <w:bCs/>
          <w:color w:val="auto"/>
          <w:szCs w:val="21"/>
          <w:lang w:val="en-US" w:eastAsia="zh-CN"/>
        </w:rPr>
        <w:t>5</w:t>
      </w:r>
      <w:r>
        <w:rPr>
          <w:rFonts w:hint="eastAsia" w:asciiTheme="minorEastAsia" w:hAnsiTheme="minorEastAsia" w:eastAsiaTheme="minorEastAsia" w:cstheme="minorEastAsia"/>
          <w:bCs/>
          <w:color w:val="auto"/>
          <w:szCs w:val="21"/>
        </w:rPr>
        <w:t>期</w:t>
      </w:r>
      <w:r>
        <w:rPr>
          <w:rFonts w:hint="eastAsia" w:asciiTheme="minorEastAsia" w:hAnsiTheme="minorEastAsia" w:eastAsiaTheme="minorEastAsia" w:cstheme="minorEastAsia"/>
          <w:bCs/>
          <w:color w:val="auto"/>
          <w:szCs w:val="21"/>
          <w:lang w:eastAsia="zh-CN"/>
        </w:rPr>
        <w:t>）</w:t>
      </w: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bCs/>
          <w:color w:val="auto"/>
          <w:szCs w:val="21"/>
          <w:lang w:val="en-US" w:eastAsia="zh-CN"/>
        </w:rPr>
        <w:t>每完成一期</w:t>
      </w:r>
      <w:r>
        <w:rPr>
          <w:rFonts w:hint="eastAsia" w:ascii="宋体" w:hAnsi="宋体" w:cs="宋体"/>
          <w:color w:val="auto"/>
          <w:szCs w:val="21"/>
          <w:lang w:val="en-US" w:eastAsia="zh-CN"/>
        </w:rPr>
        <w:t>由甲方</w:t>
      </w:r>
      <w:r>
        <w:rPr>
          <w:rFonts w:hint="eastAsia" w:ascii="宋体" w:hAnsi="宋体" w:cs="宋体"/>
          <w:color w:val="auto"/>
          <w:szCs w:val="21"/>
        </w:rPr>
        <w:t>向乙方支付项目总费用的</w:t>
      </w:r>
      <w:r>
        <w:rPr>
          <w:rFonts w:hint="eastAsia" w:asciiTheme="minorEastAsia" w:hAnsiTheme="minorEastAsia" w:eastAsiaTheme="minorEastAsia" w:cstheme="minorEastAsia"/>
          <w:bCs/>
          <w:color w:val="auto"/>
          <w:szCs w:val="21"/>
          <w:u w:val="single"/>
          <w:lang w:val="en-US" w:eastAsia="zh-CN"/>
        </w:rPr>
        <w:t>3%</w:t>
      </w:r>
      <w:r>
        <w:rPr>
          <w:rFonts w:hint="eastAsia" w:asciiTheme="minorEastAsia" w:hAnsiTheme="minorEastAsia" w:eastAsiaTheme="minorEastAsia" w:cstheme="minorEastAsia"/>
          <w:bCs/>
          <w:color w:val="auto"/>
          <w:szCs w:val="21"/>
          <w:lang w:val="en-US" w:eastAsia="zh-CN"/>
        </w:rPr>
        <w:t>项目款，共计支付项目总费用的</w:t>
      </w:r>
      <w:r>
        <w:rPr>
          <w:rFonts w:hint="eastAsia" w:ascii="宋体" w:hAnsi="宋体" w:cs="宋体"/>
          <w:color w:val="auto"/>
          <w:szCs w:val="21"/>
          <w:lang w:val="en-US" w:eastAsia="zh-CN"/>
        </w:rPr>
        <w:t>15</w:t>
      </w:r>
      <w:r>
        <w:rPr>
          <w:rFonts w:hint="eastAsia" w:ascii="宋体" w:hAnsi="宋体" w:cs="宋体"/>
          <w:color w:val="auto"/>
          <w:szCs w:val="21"/>
        </w:rPr>
        <w:t>%款项，即人民币    整（￥</w:t>
      </w:r>
      <w:r>
        <w:rPr>
          <w:rFonts w:hint="eastAsia" w:ascii="宋体" w:hAnsi="宋体" w:cs="宋体"/>
          <w:color w:val="auto"/>
          <w:szCs w:val="21"/>
          <w:u w:val="single"/>
        </w:rPr>
        <w:t xml:space="preserve">      </w:t>
      </w:r>
      <w:r>
        <w:rPr>
          <w:rFonts w:hint="eastAsia" w:ascii="宋体" w:hAnsi="宋体" w:cs="宋体"/>
          <w:color w:val="auto"/>
          <w:szCs w:val="21"/>
        </w:rPr>
        <w:t>.00元）。</w:t>
      </w:r>
    </w:p>
    <w:p w14:paraId="1BA15DA4">
      <w:pPr>
        <w:numPr>
          <w:ilvl w:val="255"/>
          <w:numId w:val="0"/>
        </w:numPr>
        <w:spacing w:line="400" w:lineRule="exact"/>
        <w:ind w:firstLine="420" w:firstLineChars="200"/>
        <w:rPr>
          <w:rFonts w:ascii="宋体" w:hAnsi="宋体" w:cs="宋体"/>
          <w:color w:val="auto"/>
          <w:szCs w:val="21"/>
        </w:rPr>
      </w:pPr>
      <w:r>
        <w:rPr>
          <w:rFonts w:hint="eastAsia" w:ascii="宋体" w:hAnsi="宋体" w:cs="宋体"/>
          <w:color w:val="auto"/>
          <w:szCs w:val="21"/>
          <w:lang w:eastAsia="zh-Hans"/>
        </w:rPr>
        <w:t>甲方付款前乙方须及时提供有效等额、合法、有效发票给甲方报账，</w:t>
      </w:r>
      <w:r>
        <w:rPr>
          <w:rFonts w:hint="eastAsia" w:ascii="宋体" w:hAnsi="宋体" w:cs="宋体"/>
          <w:color w:val="auto"/>
          <w:szCs w:val="21"/>
          <w:lang w:val="en-US" w:eastAsia="zh-CN"/>
        </w:rPr>
        <w:t>否则付款可顺延，同时</w:t>
      </w:r>
      <w:r>
        <w:rPr>
          <w:rFonts w:hint="eastAsia" w:ascii="宋体" w:hAnsi="宋体" w:cs="宋体"/>
          <w:color w:val="auto"/>
          <w:szCs w:val="21"/>
        </w:rPr>
        <w:t>甲方出现年底</w:t>
      </w:r>
      <w:r>
        <w:rPr>
          <w:rFonts w:hint="eastAsia" w:ascii="宋体" w:hAnsi="宋体" w:cs="宋体"/>
          <w:color w:val="auto"/>
          <w:szCs w:val="21"/>
          <w:lang w:val="en-US" w:eastAsia="zh-CN"/>
        </w:rPr>
        <w:t>封</w:t>
      </w:r>
      <w:r>
        <w:rPr>
          <w:rFonts w:hint="eastAsia" w:ascii="宋体" w:hAnsi="宋体" w:cs="宋体"/>
          <w:color w:val="auto"/>
          <w:szCs w:val="21"/>
        </w:rPr>
        <w:t>账等特殊情况无法及时支付费用，付款可顺延</w:t>
      </w:r>
      <w:r>
        <w:rPr>
          <w:rFonts w:hint="eastAsia" w:ascii="宋体" w:hAnsi="宋体" w:cs="宋体"/>
          <w:color w:val="auto"/>
          <w:szCs w:val="21"/>
          <w:lang w:eastAsia="zh-CN"/>
        </w:rPr>
        <w:t>，不视为甲方违约</w:t>
      </w:r>
      <w:r>
        <w:rPr>
          <w:rFonts w:hint="eastAsia" w:ascii="宋体" w:hAnsi="宋体" w:cs="宋体"/>
          <w:color w:val="auto"/>
          <w:szCs w:val="21"/>
        </w:rPr>
        <w:t>。</w:t>
      </w:r>
    </w:p>
    <w:p w14:paraId="70EA7F0F">
      <w:pPr>
        <w:pStyle w:val="61"/>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以上款项转账支付至乙方以下银行账户后，甲方不再另行支付任何费用。</w:t>
      </w:r>
    </w:p>
    <w:p w14:paraId="1002509F">
      <w:pPr>
        <w:pStyle w:val="61"/>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 xml:space="preserve">账户名称：                  </w:t>
      </w:r>
    </w:p>
    <w:p w14:paraId="5DF38C29">
      <w:pPr>
        <w:pStyle w:val="61"/>
        <w:spacing w:line="40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开户银行：</w:t>
      </w:r>
    </w:p>
    <w:p w14:paraId="4AA4F974">
      <w:pPr>
        <w:pStyle w:val="61"/>
        <w:spacing w:line="400" w:lineRule="exact"/>
        <w:ind w:firstLine="420" w:firstLineChars="200"/>
        <w:rPr>
          <w:rFonts w:ascii="宋体" w:hAnsi="宋体" w:eastAsia="宋体" w:cs="宋体"/>
          <w:color w:val="auto"/>
          <w:sz w:val="21"/>
          <w:szCs w:val="21"/>
          <w:lang w:val="en-US" w:eastAsia="zh-CN"/>
        </w:rPr>
      </w:pPr>
      <w:r>
        <w:rPr>
          <w:rFonts w:hint="eastAsia" w:ascii="宋体" w:hAnsi="宋体" w:eastAsia="宋体" w:cs="宋体"/>
          <w:color w:val="auto"/>
          <w:sz w:val="21"/>
          <w:szCs w:val="21"/>
        </w:rPr>
        <w:t>银行账号：</w:t>
      </w:r>
    </w:p>
    <w:p w14:paraId="2CB61906">
      <w:pPr>
        <w:pStyle w:val="61"/>
        <w:spacing w:line="400" w:lineRule="exact"/>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sz w:val="21"/>
          <w:szCs w:val="21"/>
        </w:rPr>
        <w:t>、违约责任</w:t>
      </w:r>
    </w:p>
    <w:p w14:paraId="0F35F7AC">
      <w:pPr>
        <w:pStyle w:val="61"/>
        <w:spacing w:line="400" w:lineRule="exact"/>
        <w:ind w:firstLine="420" w:firstLineChars="20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由于乙方自身原因，未按甲方合同约定期限交付成果的，每逾期一日应减收相应结算周期内甲方应付款项的万分之二；若在甲方书面通知后七个工作日内仍没有改正的，甲方有权解除本合同，并有权要求乙方支付合同总额20%的违约金。</w:t>
      </w:r>
    </w:p>
    <w:p w14:paraId="1BC742BE">
      <w:pPr>
        <w:pStyle w:val="61"/>
        <w:spacing w:line="400" w:lineRule="exact"/>
        <w:ind w:firstLine="420" w:firstLineChars="20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2.乙方对于甲方提出的意见拒绝在规定时限内修改或贰次修改未满足甲方要求的，甲方有权解除合同，并要求乙方返还已支付的合同款项。</w:t>
      </w:r>
    </w:p>
    <w:p w14:paraId="09C59EDE">
      <w:pPr>
        <w:pStyle w:val="61"/>
        <w:spacing w:line="400" w:lineRule="exact"/>
        <w:ind w:firstLine="420" w:firstLineChars="20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3.未经甲方书面同意，乙方不得委托他方代为履行合同；不得将本合同项下的任何服务分包给任何第三方。如违反本条约定，甲方有权解除合同，并要求乙方返还已支付的合同款项。</w:t>
      </w:r>
    </w:p>
    <w:p w14:paraId="5BEEDD5D">
      <w:pPr>
        <w:pStyle w:val="61"/>
        <w:spacing w:line="400" w:lineRule="exact"/>
        <w:ind w:firstLine="420" w:firstLineChars="20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乙方履行本合同义务侵犯第三方权利的，应自行承担对第三方的责任。乙方履行合同不得违反法律、法规及现行国家、地区及行业有关规范和标准或与甲方或项目关联方等单位发生不正当利益输送，同时应履行保密义务。</w:t>
      </w:r>
    </w:p>
    <w:p w14:paraId="48A2D2DE">
      <w:pPr>
        <w:spacing w:line="400" w:lineRule="exact"/>
        <w:ind w:firstLine="420" w:firstLineChars="200"/>
        <w:rPr>
          <w:rFonts w:ascii="宋体" w:hAnsi="宋体" w:cs="宋体"/>
          <w:color w:val="auto"/>
          <w:szCs w:val="21"/>
        </w:rPr>
      </w:pPr>
      <w:r>
        <w:rPr>
          <w:rFonts w:hint="eastAsia" w:ascii="宋体" w:hAnsi="宋体" w:cs="宋体"/>
          <w:color w:val="auto"/>
          <w:szCs w:val="21"/>
        </w:rPr>
        <w:t>若违反上述约定的，甲方有权解除合同，并要求乙方支付合同总额20%的违约金，如因此导致甲方承担责任或赔偿费用的，甲方有权向乙方追偿。</w:t>
      </w:r>
    </w:p>
    <w:p w14:paraId="6429D019">
      <w:pPr>
        <w:spacing w:line="400" w:lineRule="exact"/>
        <w:ind w:firstLine="422" w:firstLineChars="200"/>
        <w:rPr>
          <w:rFonts w:ascii="宋体" w:hAnsi="宋体" w:cs="宋体"/>
          <w:b/>
          <w:bCs/>
          <w:color w:val="auto"/>
          <w:szCs w:val="21"/>
        </w:rPr>
      </w:pPr>
      <w:r>
        <w:rPr>
          <w:rFonts w:hint="eastAsia" w:ascii="宋体" w:hAnsi="宋体" w:cs="宋体"/>
          <w:b/>
          <w:bCs/>
          <w:color w:val="auto"/>
          <w:szCs w:val="21"/>
        </w:rPr>
        <w:t>七、合同生效、解除及其他</w:t>
      </w:r>
    </w:p>
    <w:p w14:paraId="63281AAF">
      <w:pPr>
        <w:spacing w:line="400" w:lineRule="exact"/>
        <w:ind w:firstLine="420" w:firstLineChars="200"/>
        <w:rPr>
          <w:rFonts w:ascii="宋体" w:hAnsi="宋体" w:cs="宋体"/>
          <w:color w:val="auto"/>
          <w:szCs w:val="21"/>
        </w:rPr>
      </w:pPr>
      <w:r>
        <w:rPr>
          <w:rFonts w:hint="eastAsia" w:ascii="宋体" w:hAnsi="宋体" w:cs="宋体"/>
          <w:color w:val="auto"/>
          <w:szCs w:val="21"/>
        </w:rPr>
        <w:t>（一）本合同一式肆份，甲方贰份，乙方贰份，具有同等法律效力。合同自甲乙双方签字并加盖单位公章之日起生效，至履行应尽义务完毕之日起终止。</w:t>
      </w:r>
    </w:p>
    <w:p w14:paraId="4C476191">
      <w:pPr>
        <w:spacing w:line="400" w:lineRule="exact"/>
        <w:ind w:firstLine="420" w:firstLineChars="200"/>
        <w:rPr>
          <w:rFonts w:ascii="宋体" w:hAnsi="宋体" w:cs="宋体"/>
          <w:color w:val="auto"/>
          <w:szCs w:val="21"/>
        </w:rPr>
      </w:pPr>
      <w:r>
        <w:rPr>
          <w:rFonts w:hint="eastAsia" w:ascii="宋体" w:hAnsi="宋体" w:cs="宋体"/>
          <w:color w:val="auto"/>
          <w:szCs w:val="21"/>
        </w:rPr>
        <w:t>（二）本合同未尽事宜，可经双方协商后签订补充协议；补充协议内容与本合同不一致的，以补充协议为准。</w:t>
      </w:r>
    </w:p>
    <w:p w14:paraId="04A5DDC4">
      <w:pPr>
        <w:spacing w:line="400" w:lineRule="exact"/>
        <w:ind w:firstLine="420" w:firstLineChars="200"/>
        <w:rPr>
          <w:rFonts w:ascii="宋体" w:hAnsi="宋体" w:cs="宋体"/>
          <w:color w:val="auto"/>
          <w:szCs w:val="21"/>
        </w:rPr>
      </w:pPr>
      <w:r>
        <w:rPr>
          <w:rFonts w:hint="eastAsia" w:ascii="宋体" w:hAnsi="宋体" w:cs="宋体"/>
          <w:color w:val="auto"/>
          <w:szCs w:val="21"/>
        </w:rPr>
        <w:t>（三）因履行本合同引起的争议，甲乙双方应首先通过友好协商解决，如果协商不能解决，可向甲方所在地有管辖权的人民法院提起诉讼。败诉方应当承担对方为维护其权益所付出的成本，包括但不限于公证费、保全费、鉴定费、评估费、调查取证费、律师服务费等费用。</w:t>
      </w:r>
    </w:p>
    <w:p w14:paraId="6B23D290">
      <w:pPr>
        <w:spacing w:line="400" w:lineRule="exact"/>
        <w:rPr>
          <w:rFonts w:ascii="宋体" w:hAnsi="宋体" w:cs="宋体"/>
          <w:color w:val="auto"/>
          <w:szCs w:val="21"/>
        </w:rPr>
      </w:pPr>
    </w:p>
    <w:p w14:paraId="32C9ECD7">
      <w:pPr>
        <w:spacing w:line="400" w:lineRule="exact"/>
        <w:rPr>
          <w:rFonts w:ascii="宋体" w:hAnsi="宋体" w:cs="宋体"/>
          <w:color w:val="auto"/>
          <w:szCs w:val="21"/>
        </w:rPr>
      </w:pPr>
    </w:p>
    <w:p w14:paraId="0E6CCD72">
      <w:pPr>
        <w:spacing w:line="400" w:lineRule="exact"/>
        <w:rPr>
          <w:rFonts w:ascii="宋体" w:hAnsi="宋体" w:cs="宋体"/>
          <w:color w:val="auto"/>
          <w:szCs w:val="21"/>
        </w:rPr>
      </w:pPr>
    </w:p>
    <w:p w14:paraId="14D5C416">
      <w:pPr>
        <w:spacing w:line="400" w:lineRule="exact"/>
        <w:rPr>
          <w:rFonts w:ascii="宋体" w:hAnsi="宋体" w:cs="宋体"/>
          <w:color w:val="auto"/>
          <w:szCs w:val="21"/>
        </w:rPr>
      </w:pPr>
    </w:p>
    <w:p w14:paraId="17ED7BC0">
      <w:pPr>
        <w:spacing w:line="400" w:lineRule="exact"/>
        <w:rPr>
          <w:rFonts w:ascii="宋体" w:hAnsi="宋体" w:cs="宋体"/>
          <w:color w:val="auto"/>
          <w:szCs w:val="21"/>
        </w:rPr>
      </w:pPr>
    </w:p>
    <w:p w14:paraId="289B41F4">
      <w:pPr>
        <w:spacing w:line="400" w:lineRule="exact"/>
        <w:rPr>
          <w:rFonts w:ascii="宋体" w:hAnsi="宋体" w:cs="宋体"/>
          <w:color w:val="auto"/>
          <w:szCs w:val="21"/>
        </w:rPr>
      </w:pPr>
    </w:p>
    <w:p w14:paraId="162FCBD3">
      <w:pPr>
        <w:spacing w:line="400" w:lineRule="exact"/>
        <w:rPr>
          <w:rFonts w:ascii="宋体" w:hAnsi="宋体" w:cs="宋体"/>
          <w:color w:val="auto"/>
          <w:szCs w:val="21"/>
        </w:rPr>
      </w:pPr>
    </w:p>
    <w:p w14:paraId="6C81C0F0">
      <w:pPr>
        <w:spacing w:line="400" w:lineRule="exact"/>
        <w:rPr>
          <w:rFonts w:ascii="宋体" w:hAnsi="宋体" w:cs="宋体"/>
          <w:color w:val="auto"/>
          <w:szCs w:val="21"/>
        </w:rPr>
      </w:pPr>
    </w:p>
    <w:p w14:paraId="5326ADD9">
      <w:pPr>
        <w:spacing w:line="400" w:lineRule="exact"/>
        <w:rPr>
          <w:rFonts w:ascii="宋体" w:hAnsi="宋体" w:cs="宋体"/>
          <w:color w:val="auto"/>
          <w:szCs w:val="21"/>
        </w:rPr>
      </w:pPr>
    </w:p>
    <w:p w14:paraId="34C36E88">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甲方：                               </w:t>
      </w:r>
    </w:p>
    <w:p w14:paraId="19BE3696">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法定代表人或                        </w:t>
      </w:r>
    </w:p>
    <w:p w14:paraId="7F641FD4">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委托代理人：                        </w:t>
      </w:r>
    </w:p>
    <w:p w14:paraId="3C6BF7AC">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签订日期：  年  月   日            </w:t>
      </w:r>
    </w:p>
    <w:p w14:paraId="3E71F686">
      <w:pPr>
        <w:spacing w:line="400" w:lineRule="exact"/>
        <w:ind w:firstLine="420" w:firstLineChars="200"/>
        <w:rPr>
          <w:rFonts w:ascii="宋体" w:hAnsi="宋体" w:cs="宋体"/>
          <w:color w:val="auto"/>
          <w:szCs w:val="21"/>
        </w:rPr>
      </w:pPr>
    </w:p>
    <w:p w14:paraId="5C612130">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乙方：                               </w:t>
      </w:r>
    </w:p>
    <w:p w14:paraId="3CB71758">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法定代表人或                        </w:t>
      </w:r>
    </w:p>
    <w:p w14:paraId="438BE572">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委托代理人：                        </w:t>
      </w:r>
    </w:p>
    <w:p w14:paraId="0A310FCB">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签订日期：  年  月   日    </w:t>
      </w:r>
    </w:p>
    <w:p w14:paraId="24FEEFDC">
      <w:pPr>
        <w:pStyle w:val="6"/>
        <w:spacing w:line="360" w:lineRule="auto"/>
        <w:rPr>
          <w:rFonts w:asciiTheme="minorEastAsia" w:hAnsiTheme="minorEastAsia" w:eastAsiaTheme="minorEastAsia" w:cstheme="minorEastAsia"/>
          <w:bCs/>
          <w:color w:val="auto"/>
          <w:szCs w:val="21"/>
          <w:lang w:val="de-DE"/>
        </w:rPr>
      </w:pPr>
    </w:p>
    <w:p w14:paraId="5D150A52">
      <w:pPr>
        <w:pStyle w:val="6"/>
        <w:spacing w:line="360" w:lineRule="auto"/>
        <w:rPr>
          <w:rFonts w:asciiTheme="minorEastAsia" w:hAnsiTheme="minorEastAsia" w:eastAsiaTheme="minorEastAsia" w:cstheme="minorEastAsia"/>
          <w:bCs/>
          <w:color w:val="auto"/>
          <w:szCs w:val="21"/>
          <w:lang w:val="de-DE"/>
        </w:rPr>
      </w:pPr>
    </w:p>
    <w:p w14:paraId="1CC2A6C3">
      <w:pPr>
        <w:pStyle w:val="6"/>
        <w:spacing w:line="360" w:lineRule="auto"/>
        <w:rPr>
          <w:rFonts w:asciiTheme="minorEastAsia" w:hAnsiTheme="minorEastAsia" w:eastAsiaTheme="minorEastAsia" w:cstheme="minorEastAsia"/>
          <w:bCs/>
          <w:color w:val="auto"/>
          <w:szCs w:val="21"/>
          <w:lang w:val="de-DE"/>
        </w:rPr>
      </w:pPr>
    </w:p>
    <w:p w14:paraId="7BDF6E4C">
      <w:pPr>
        <w:pStyle w:val="6"/>
        <w:spacing w:line="360" w:lineRule="auto"/>
        <w:rPr>
          <w:rFonts w:asciiTheme="minorEastAsia" w:hAnsiTheme="minorEastAsia" w:eastAsiaTheme="minorEastAsia" w:cstheme="minorEastAsia"/>
          <w:bCs/>
          <w:color w:val="auto"/>
          <w:szCs w:val="21"/>
          <w:lang w:val="de-DE"/>
        </w:rPr>
      </w:pPr>
    </w:p>
    <w:p w14:paraId="7C3AC2C5">
      <w:pPr>
        <w:pStyle w:val="6"/>
        <w:spacing w:line="360" w:lineRule="auto"/>
        <w:rPr>
          <w:rFonts w:asciiTheme="minorEastAsia" w:hAnsiTheme="minorEastAsia" w:eastAsiaTheme="minorEastAsia" w:cstheme="minorEastAsia"/>
          <w:bCs/>
          <w:color w:val="auto"/>
          <w:szCs w:val="21"/>
          <w:lang w:val="de-DE"/>
        </w:rPr>
      </w:pPr>
    </w:p>
    <w:p w14:paraId="0A1CA192">
      <w:pPr>
        <w:adjustRightInd w:val="0"/>
        <w:snapToGrid w:val="0"/>
        <w:spacing w:line="360" w:lineRule="auto"/>
        <w:outlineLvl w:val="1"/>
        <w:rPr>
          <w:rFonts w:asciiTheme="minorEastAsia" w:hAnsiTheme="minorEastAsia" w:eastAsiaTheme="minorEastAsia" w:cstheme="minorEastAsia"/>
          <w:bCs/>
          <w:color w:val="auto"/>
          <w:szCs w:val="21"/>
        </w:rPr>
        <w:sectPr>
          <w:pgSz w:w="11906" w:h="16838"/>
          <w:pgMar w:top="1440" w:right="1800" w:bottom="1440" w:left="1800" w:header="794" w:footer="992" w:gutter="0"/>
          <w:cols w:space="425" w:num="1"/>
          <w:docGrid w:type="lines" w:linePitch="312" w:charSpace="0"/>
        </w:sectPr>
      </w:pPr>
    </w:p>
    <w:p w14:paraId="1D26F6FD">
      <w:pPr>
        <w:adjustRightInd w:val="0"/>
        <w:snapToGrid w:val="0"/>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第六章  响应文件格式及附件</w:t>
      </w:r>
    </w:p>
    <w:p w14:paraId="580D3725">
      <w:pPr>
        <w:rPr>
          <w:rFonts w:ascii="宋体" w:cs="宋体"/>
          <w:b/>
          <w:color w:val="auto"/>
          <w:kern w:val="0"/>
          <w:sz w:val="52"/>
          <w:szCs w:val="52"/>
          <w:lang w:bidi="ar"/>
        </w:rPr>
      </w:pPr>
    </w:p>
    <w:p w14:paraId="7AC08B1A">
      <w:pPr>
        <w:pStyle w:val="7"/>
        <w:rPr>
          <w:color w:val="auto"/>
        </w:rPr>
      </w:pPr>
    </w:p>
    <w:p w14:paraId="6844E6F3">
      <w:pPr>
        <w:pStyle w:val="15"/>
        <w:ind w:left="0" w:leftChars="0" w:firstLine="0" w:firstLineChars="0"/>
        <w:rPr>
          <w:rFonts w:ascii="宋体" w:cs="宋体"/>
          <w:b/>
          <w:color w:val="auto"/>
          <w:kern w:val="0"/>
          <w:sz w:val="52"/>
          <w:szCs w:val="52"/>
          <w:lang w:bidi="ar"/>
        </w:rPr>
      </w:pPr>
    </w:p>
    <w:p w14:paraId="67F26248">
      <w:pPr>
        <w:pStyle w:val="15"/>
        <w:ind w:left="0" w:leftChars="0" w:firstLine="0" w:firstLineChars="0"/>
        <w:rPr>
          <w:rFonts w:ascii="宋体" w:cs="宋体"/>
          <w:b/>
          <w:color w:val="auto"/>
          <w:kern w:val="0"/>
          <w:sz w:val="52"/>
          <w:szCs w:val="52"/>
          <w:lang w:bidi="ar"/>
        </w:rPr>
      </w:pPr>
    </w:p>
    <w:p w14:paraId="1790FC9C">
      <w:pPr>
        <w:widowControl/>
        <w:spacing w:line="360" w:lineRule="auto"/>
        <w:jc w:val="center"/>
        <w:rPr>
          <w:rFonts w:ascii="宋体" w:cs="宋体"/>
          <w:b/>
          <w:color w:val="auto"/>
          <w:kern w:val="0"/>
          <w:sz w:val="52"/>
          <w:szCs w:val="52"/>
          <w:lang w:bidi="ar"/>
        </w:rPr>
      </w:pPr>
      <w:r>
        <w:rPr>
          <w:rFonts w:hint="eastAsia" w:ascii="宋体" w:cs="宋体"/>
          <w:b/>
          <w:color w:val="auto"/>
          <w:kern w:val="0"/>
          <w:sz w:val="52"/>
          <w:szCs w:val="52"/>
          <w:lang w:bidi="ar"/>
        </w:rPr>
        <w:t>响 应 文 件</w:t>
      </w:r>
    </w:p>
    <w:p w14:paraId="423BC867">
      <w:pPr>
        <w:widowControl/>
        <w:spacing w:line="360" w:lineRule="auto"/>
        <w:jc w:val="center"/>
        <w:rPr>
          <w:color w:val="auto"/>
        </w:rPr>
      </w:pPr>
      <w:r>
        <w:rPr>
          <w:rFonts w:hint="eastAsia" w:ascii="宋体" w:cs="宋体"/>
          <w:b/>
          <w:color w:val="auto"/>
          <w:kern w:val="0"/>
          <w:sz w:val="43"/>
          <w:szCs w:val="43"/>
          <w:lang w:bidi="ar"/>
        </w:rPr>
        <w:t>（封面）</w:t>
      </w:r>
    </w:p>
    <w:p w14:paraId="5A83CED9">
      <w:pPr>
        <w:spacing w:line="360" w:lineRule="auto"/>
        <w:rPr>
          <w:rFonts w:ascii="宋体" w:cs="宋体"/>
          <w:b/>
          <w:color w:val="auto"/>
          <w:sz w:val="30"/>
          <w:szCs w:val="30"/>
          <w:lang w:val="en-GB"/>
        </w:rPr>
      </w:pPr>
    </w:p>
    <w:p w14:paraId="21E5B36F">
      <w:pPr>
        <w:widowControl/>
        <w:spacing w:line="360" w:lineRule="auto"/>
        <w:rPr>
          <w:rFonts w:ascii="宋体" w:cs="宋体"/>
          <w:b/>
          <w:color w:val="auto"/>
          <w:kern w:val="0"/>
          <w:sz w:val="28"/>
          <w:szCs w:val="28"/>
          <w:lang w:bidi="ar"/>
        </w:rPr>
      </w:pPr>
    </w:p>
    <w:p w14:paraId="3507DF04">
      <w:pPr>
        <w:widowControl/>
        <w:spacing w:line="360" w:lineRule="auto"/>
        <w:rPr>
          <w:rFonts w:ascii="宋体" w:cs="宋体"/>
          <w:b/>
          <w:color w:val="auto"/>
          <w:kern w:val="0"/>
          <w:sz w:val="28"/>
          <w:szCs w:val="28"/>
          <w:lang w:bidi="ar"/>
        </w:rPr>
      </w:pPr>
    </w:p>
    <w:p w14:paraId="13FCC56D">
      <w:pPr>
        <w:widowControl/>
        <w:spacing w:line="360" w:lineRule="auto"/>
        <w:ind w:firstLine="1405" w:firstLineChars="500"/>
        <w:rPr>
          <w:rFonts w:ascii="宋体" w:cs="宋体"/>
          <w:b/>
          <w:color w:val="auto"/>
          <w:kern w:val="0"/>
          <w:sz w:val="28"/>
          <w:szCs w:val="28"/>
          <w:lang w:bidi="ar"/>
        </w:rPr>
      </w:pPr>
      <w:r>
        <w:rPr>
          <w:rFonts w:hint="eastAsia" w:ascii="宋体" w:cs="宋体"/>
          <w:b/>
          <w:color w:val="auto"/>
          <w:kern w:val="0"/>
          <w:sz w:val="28"/>
          <w:szCs w:val="28"/>
          <w:lang w:bidi="ar"/>
        </w:rPr>
        <w:t>项目名称：</w:t>
      </w:r>
      <w:r>
        <w:rPr>
          <w:rFonts w:hint="eastAsia" w:ascii="宋体" w:cs="宋体"/>
          <w:b/>
          <w:color w:val="auto"/>
          <w:kern w:val="0"/>
          <w:sz w:val="28"/>
          <w:szCs w:val="28"/>
          <w:u w:val="single"/>
          <w:lang w:bidi="ar"/>
        </w:rPr>
        <w:t xml:space="preserve">                </w:t>
      </w:r>
    </w:p>
    <w:p w14:paraId="31240327">
      <w:pPr>
        <w:widowControl/>
        <w:spacing w:line="360" w:lineRule="auto"/>
        <w:ind w:firstLine="1405" w:firstLineChars="500"/>
        <w:rPr>
          <w:rFonts w:ascii="宋体" w:cs="宋体"/>
          <w:b/>
          <w:color w:val="auto"/>
          <w:kern w:val="0"/>
          <w:sz w:val="28"/>
          <w:szCs w:val="28"/>
          <w:u w:val="single"/>
          <w:lang w:bidi="ar"/>
        </w:rPr>
      </w:pPr>
      <w:r>
        <w:rPr>
          <w:rFonts w:hint="eastAsia" w:ascii="宋体" w:cs="宋体"/>
          <w:b/>
          <w:color w:val="auto"/>
          <w:kern w:val="0"/>
          <w:sz w:val="28"/>
          <w:szCs w:val="28"/>
          <w:lang w:bidi="ar"/>
        </w:rPr>
        <w:t>项目编号：</w:t>
      </w:r>
      <w:r>
        <w:rPr>
          <w:rFonts w:hint="eastAsia" w:ascii="宋体" w:cs="宋体"/>
          <w:b/>
          <w:color w:val="auto"/>
          <w:kern w:val="0"/>
          <w:sz w:val="28"/>
          <w:szCs w:val="28"/>
          <w:u w:val="single"/>
          <w:lang w:bidi="ar"/>
        </w:rPr>
        <w:t xml:space="preserve">                </w:t>
      </w:r>
    </w:p>
    <w:p w14:paraId="0C7495CD">
      <w:pPr>
        <w:spacing w:line="360" w:lineRule="auto"/>
        <w:rPr>
          <w:rFonts w:ascii="宋体" w:cs="宋体"/>
          <w:b/>
          <w:color w:val="auto"/>
          <w:sz w:val="30"/>
          <w:szCs w:val="30"/>
          <w:lang w:val="en-GB"/>
        </w:rPr>
      </w:pPr>
    </w:p>
    <w:p w14:paraId="02F86956">
      <w:pPr>
        <w:spacing w:line="360" w:lineRule="auto"/>
        <w:jc w:val="center"/>
        <w:rPr>
          <w:rFonts w:ascii="宋体" w:cs="宋体"/>
          <w:b/>
          <w:color w:val="auto"/>
          <w:sz w:val="30"/>
          <w:szCs w:val="30"/>
          <w:lang w:val="en-GB"/>
        </w:rPr>
      </w:pPr>
      <w:r>
        <w:rPr>
          <w:rFonts w:hint="eastAsia" w:ascii="宋体" w:cs="宋体"/>
          <w:b/>
          <w:color w:val="auto"/>
          <w:sz w:val="30"/>
          <w:szCs w:val="30"/>
          <w:lang w:val="en-GB"/>
        </w:rPr>
        <w:t>（正本</w:t>
      </w:r>
      <w:r>
        <w:rPr>
          <w:rFonts w:hint="eastAsia" w:ascii="宋体" w:cs="宋体"/>
          <w:b/>
          <w:color w:val="auto"/>
          <w:sz w:val="30"/>
          <w:szCs w:val="30"/>
        </w:rPr>
        <w:t>/副本</w:t>
      </w:r>
      <w:r>
        <w:rPr>
          <w:rFonts w:hint="eastAsia" w:ascii="宋体" w:cs="宋体"/>
          <w:b/>
          <w:color w:val="auto"/>
          <w:sz w:val="30"/>
          <w:szCs w:val="30"/>
          <w:lang w:val="en-GB"/>
        </w:rPr>
        <w:t>）</w:t>
      </w:r>
    </w:p>
    <w:p w14:paraId="04CE8C71">
      <w:pPr>
        <w:pStyle w:val="15"/>
        <w:spacing w:line="360" w:lineRule="auto"/>
        <w:ind w:firstLine="0" w:firstLineChars="0"/>
        <w:rPr>
          <w:color w:val="auto"/>
          <w:lang w:val="en-GB"/>
        </w:rPr>
      </w:pPr>
    </w:p>
    <w:p w14:paraId="5300F92F">
      <w:pPr>
        <w:spacing w:line="360" w:lineRule="auto"/>
        <w:rPr>
          <w:rFonts w:ascii="宋体" w:cs="宋体"/>
          <w:b/>
          <w:color w:val="auto"/>
          <w:sz w:val="30"/>
          <w:szCs w:val="30"/>
          <w:lang w:val="en-GB"/>
        </w:rPr>
      </w:pPr>
    </w:p>
    <w:p w14:paraId="01A67E4C">
      <w:pPr>
        <w:widowControl/>
        <w:spacing w:line="360" w:lineRule="auto"/>
        <w:ind w:firstLine="1405" w:firstLineChars="500"/>
        <w:rPr>
          <w:rFonts w:ascii="宋体" w:cs="宋体"/>
          <w:b/>
          <w:color w:val="auto"/>
          <w:kern w:val="0"/>
          <w:sz w:val="28"/>
          <w:szCs w:val="28"/>
          <w:lang w:bidi="ar"/>
        </w:rPr>
      </w:pPr>
      <w:r>
        <w:rPr>
          <w:rFonts w:hint="eastAsia" w:ascii="宋体" w:cs="宋体"/>
          <w:b/>
          <w:color w:val="auto"/>
          <w:kern w:val="0"/>
          <w:sz w:val="28"/>
          <w:szCs w:val="28"/>
          <w:lang w:bidi="ar"/>
        </w:rPr>
        <w:t>供应商名称 ：</w:t>
      </w:r>
      <w:r>
        <w:rPr>
          <w:rFonts w:hint="eastAsia" w:ascii="宋体" w:cs="宋体"/>
          <w:b/>
          <w:color w:val="auto"/>
          <w:kern w:val="0"/>
          <w:sz w:val="28"/>
          <w:szCs w:val="28"/>
          <w:u w:val="single"/>
          <w:lang w:bidi="ar"/>
        </w:rPr>
        <w:t xml:space="preserve">                        </w:t>
      </w:r>
      <w:r>
        <w:rPr>
          <w:rFonts w:hint="eastAsia" w:ascii="宋体" w:cs="宋体"/>
          <w:b/>
          <w:color w:val="auto"/>
          <w:kern w:val="0"/>
          <w:sz w:val="28"/>
          <w:szCs w:val="28"/>
          <w:lang w:bidi="ar"/>
        </w:rPr>
        <w:t xml:space="preserve">（盖章） </w:t>
      </w:r>
    </w:p>
    <w:p w14:paraId="5F3A6A44">
      <w:pPr>
        <w:widowControl/>
        <w:ind w:firstLine="1405" w:firstLineChars="500"/>
        <w:rPr>
          <w:rFonts w:ascii="宋体" w:cs="宋体"/>
          <w:b/>
          <w:color w:val="auto"/>
          <w:kern w:val="0"/>
          <w:sz w:val="28"/>
          <w:szCs w:val="28"/>
          <w:u w:val="single"/>
          <w:lang w:bidi="ar"/>
        </w:rPr>
      </w:pPr>
      <w:r>
        <w:rPr>
          <w:rFonts w:hint="eastAsia" w:ascii="宋体" w:cs="宋体"/>
          <w:b/>
          <w:color w:val="auto"/>
          <w:kern w:val="0"/>
          <w:sz w:val="28"/>
          <w:szCs w:val="28"/>
          <w:lang w:bidi="ar"/>
        </w:rPr>
        <w:t>响应代表人：</w:t>
      </w:r>
      <w:r>
        <w:rPr>
          <w:rFonts w:hint="eastAsia" w:ascii="宋体" w:cs="宋体"/>
          <w:b/>
          <w:color w:val="auto"/>
          <w:kern w:val="0"/>
          <w:sz w:val="28"/>
          <w:szCs w:val="28"/>
          <w:u w:val="single"/>
          <w:lang w:bidi="ar"/>
        </w:rPr>
        <w:t xml:space="preserve">         </w:t>
      </w:r>
      <w:r>
        <w:rPr>
          <w:rFonts w:hint="eastAsia" w:ascii="宋体" w:cs="宋体"/>
          <w:b/>
          <w:color w:val="auto"/>
          <w:kern w:val="0"/>
          <w:sz w:val="28"/>
          <w:szCs w:val="28"/>
          <w:lang w:bidi="ar"/>
        </w:rPr>
        <w:t xml:space="preserve"> 签字：</w:t>
      </w:r>
      <w:r>
        <w:rPr>
          <w:rFonts w:hint="eastAsia" w:ascii="宋体" w:cs="宋体"/>
          <w:b/>
          <w:color w:val="auto"/>
          <w:kern w:val="0"/>
          <w:sz w:val="28"/>
          <w:szCs w:val="28"/>
          <w:u w:val="single"/>
          <w:lang w:bidi="ar"/>
        </w:rPr>
        <w:t xml:space="preserve">         </w:t>
      </w:r>
    </w:p>
    <w:p w14:paraId="317BBD7E">
      <w:pPr>
        <w:widowControl/>
        <w:ind w:firstLine="1405" w:firstLineChars="500"/>
        <w:rPr>
          <w:rFonts w:ascii="宋体" w:cs="宋体"/>
          <w:b/>
          <w:color w:val="auto"/>
          <w:kern w:val="0"/>
          <w:sz w:val="28"/>
          <w:szCs w:val="28"/>
          <w:u w:val="single"/>
          <w:lang w:bidi="ar"/>
        </w:rPr>
      </w:pPr>
      <w:r>
        <w:rPr>
          <w:rFonts w:hint="eastAsia" w:ascii="宋体" w:cs="宋体"/>
          <w:b/>
          <w:color w:val="auto"/>
          <w:kern w:val="0"/>
          <w:sz w:val="28"/>
          <w:szCs w:val="28"/>
          <w:lang w:bidi="ar"/>
        </w:rPr>
        <w:t>手      机：</w:t>
      </w:r>
      <w:r>
        <w:rPr>
          <w:rFonts w:hint="eastAsia" w:ascii="宋体" w:cs="宋体"/>
          <w:b/>
          <w:color w:val="auto"/>
          <w:kern w:val="0"/>
          <w:sz w:val="28"/>
          <w:szCs w:val="28"/>
          <w:u w:val="single"/>
          <w:lang w:bidi="ar"/>
        </w:rPr>
        <w:t xml:space="preserve">                     </w:t>
      </w:r>
    </w:p>
    <w:p w14:paraId="0B08D363">
      <w:pPr>
        <w:widowControl/>
        <w:ind w:firstLine="1405" w:firstLineChars="500"/>
        <w:rPr>
          <w:rFonts w:ascii="宋体" w:cs="宋体"/>
          <w:b/>
          <w:color w:val="auto"/>
          <w:kern w:val="0"/>
          <w:sz w:val="28"/>
          <w:szCs w:val="28"/>
          <w:lang w:bidi="ar"/>
        </w:rPr>
      </w:pPr>
      <w:r>
        <w:rPr>
          <w:rFonts w:hint="eastAsia" w:ascii="宋体" w:cs="宋体"/>
          <w:b/>
          <w:color w:val="auto"/>
          <w:kern w:val="0"/>
          <w:sz w:val="28"/>
          <w:szCs w:val="28"/>
          <w:lang w:bidi="ar"/>
        </w:rPr>
        <w:t>日      期：       年   月   日</w:t>
      </w:r>
    </w:p>
    <w:p w14:paraId="46A2CD8C">
      <w:pPr>
        <w:adjustRightInd w:val="0"/>
        <w:snapToGrid w:val="0"/>
        <w:spacing w:line="360" w:lineRule="auto"/>
        <w:rPr>
          <w:rFonts w:asciiTheme="minorEastAsia" w:hAnsiTheme="minorEastAsia" w:eastAsiaTheme="minorEastAsia" w:cstheme="minorEastAsia"/>
          <w:b/>
          <w:color w:val="auto"/>
          <w:szCs w:val="21"/>
        </w:rPr>
      </w:pPr>
    </w:p>
    <w:p w14:paraId="73530539">
      <w:pPr>
        <w:adjustRightInd w:val="0"/>
        <w:snapToGrid w:val="0"/>
        <w:spacing w:line="360" w:lineRule="auto"/>
        <w:rPr>
          <w:rFonts w:asciiTheme="minorEastAsia" w:hAnsiTheme="minorEastAsia" w:eastAsiaTheme="minorEastAsia" w:cstheme="minorEastAsia"/>
          <w:b/>
          <w:color w:val="auto"/>
          <w:szCs w:val="21"/>
        </w:rPr>
      </w:pPr>
    </w:p>
    <w:p w14:paraId="26AD9DD9">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
          <w:color w:val="auto"/>
          <w:szCs w:val="21"/>
        </w:rPr>
        <w:t>格式1:                           响 应 声 明 函</w:t>
      </w:r>
    </w:p>
    <w:p w14:paraId="2B2D167B">
      <w:pPr>
        <w:adjustRightInd w:val="0"/>
        <w:snapToGrid w:val="0"/>
        <w:spacing w:line="360" w:lineRule="auto"/>
        <w:ind w:firstLine="420" w:firstLineChars="200"/>
        <w:rPr>
          <w:rFonts w:asciiTheme="minorEastAsia" w:hAnsiTheme="minorEastAsia" w:eastAsiaTheme="minorEastAsia" w:cstheme="minorEastAsia"/>
          <w:bCs/>
          <w:color w:val="auto"/>
          <w:szCs w:val="21"/>
        </w:rPr>
      </w:pPr>
    </w:p>
    <w:p w14:paraId="14FFF3D7">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致：（</w:t>
      </w:r>
      <w:r>
        <w:rPr>
          <w:rFonts w:hint="eastAsia" w:asciiTheme="minorEastAsia" w:hAnsiTheme="minorEastAsia" w:eastAsiaTheme="minorEastAsia" w:cstheme="minorEastAsia"/>
          <w:bCs/>
          <w:i/>
          <w:iCs/>
          <w:color w:val="auto"/>
          <w:szCs w:val="21"/>
          <w:u w:val="single"/>
        </w:rPr>
        <w:t>采购人）</w:t>
      </w:r>
    </w:p>
    <w:p w14:paraId="79D38479">
      <w:pPr>
        <w:pStyle w:val="6"/>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根据贵方</w:t>
      </w:r>
      <w:r>
        <w:rPr>
          <w:rFonts w:hint="eastAsia" w:asciiTheme="minorEastAsia" w:hAnsiTheme="minorEastAsia" w:eastAsiaTheme="minorEastAsia" w:cstheme="minorEastAsia"/>
          <w:bCs/>
          <w:color w:val="auto"/>
          <w:szCs w:val="21"/>
          <w:u w:val="single"/>
        </w:rPr>
        <w:t xml:space="preserve">  （项目名称） </w:t>
      </w:r>
      <w:r>
        <w:rPr>
          <w:rFonts w:hint="eastAsia" w:asciiTheme="minorEastAsia" w:hAnsiTheme="minorEastAsia" w:eastAsiaTheme="minorEastAsia" w:cstheme="minorEastAsia"/>
          <w:bCs/>
          <w:color w:val="auto"/>
          <w:szCs w:val="21"/>
        </w:rPr>
        <w:t>项目（项目编号：</w:t>
      </w:r>
      <w:r>
        <w:rPr>
          <w:rFonts w:hint="eastAsia"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rPr>
        <w:t>）的采购比选文件要求，本签字代表</w:t>
      </w:r>
      <w:r>
        <w:rPr>
          <w:rFonts w:hint="eastAsia" w:asciiTheme="minorEastAsia" w:hAnsiTheme="minorEastAsia" w:eastAsiaTheme="minorEastAsia" w:cstheme="minorEastAsia"/>
          <w:bCs/>
          <w:color w:val="auto"/>
          <w:szCs w:val="21"/>
          <w:u w:val="single"/>
        </w:rPr>
        <w:t>（全名、职务）</w:t>
      </w:r>
      <w:r>
        <w:rPr>
          <w:rFonts w:hint="eastAsia" w:asciiTheme="minorEastAsia" w:hAnsiTheme="minorEastAsia" w:eastAsiaTheme="minorEastAsia" w:cstheme="minorEastAsia"/>
          <w:bCs/>
          <w:color w:val="auto"/>
          <w:szCs w:val="21"/>
        </w:rPr>
        <w:t>代表供应商</w:t>
      </w:r>
      <w:r>
        <w:rPr>
          <w:rFonts w:hint="eastAsia" w:asciiTheme="minorEastAsia" w:hAnsiTheme="minorEastAsia" w:eastAsiaTheme="minorEastAsia" w:cstheme="minorEastAsia"/>
          <w:bCs/>
          <w:color w:val="auto"/>
          <w:szCs w:val="21"/>
          <w:u w:val="single"/>
        </w:rPr>
        <w:t>（供应商单位名称、地址）</w:t>
      </w:r>
      <w:r>
        <w:rPr>
          <w:rFonts w:hint="eastAsia" w:asciiTheme="minorEastAsia" w:hAnsiTheme="minorEastAsia" w:eastAsiaTheme="minorEastAsia" w:cstheme="minorEastAsia"/>
          <w:bCs/>
          <w:color w:val="auto"/>
          <w:szCs w:val="21"/>
        </w:rPr>
        <w:t>提交下述文件正本壹份和副本</w:t>
      </w:r>
      <w:r>
        <w:rPr>
          <w:rFonts w:hint="eastAsia" w:asciiTheme="minorEastAsia" w:hAnsiTheme="minorEastAsia" w:eastAsiaTheme="minorEastAsia" w:cstheme="minorEastAsia"/>
          <w:bCs/>
          <w:color w:val="auto"/>
          <w:szCs w:val="21"/>
          <w:u w:val="single"/>
        </w:rPr>
        <w:t>贰</w:t>
      </w:r>
      <w:r>
        <w:rPr>
          <w:rFonts w:hint="eastAsia" w:asciiTheme="minorEastAsia" w:hAnsiTheme="minorEastAsia" w:eastAsiaTheme="minorEastAsia" w:cstheme="minorEastAsia"/>
          <w:bCs/>
          <w:color w:val="auto"/>
          <w:szCs w:val="21"/>
        </w:rPr>
        <w:t>份。</w:t>
      </w:r>
    </w:p>
    <w:p w14:paraId="171A6B85">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据此函，签字代表承诺如下内容（本承诺内容为响应基本要求，如不满足或有缺漏项的，视为响应无效）：</w:t>
      </w:r>
    </w:p>
    <w:p w14:paraId="612178B4">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1、我们愿意遵守采购比选文件中的各项规定，提供符合采购比选文件所要求的各项服务。</w:t>
      </w:r>
    </w:p>
    <w:p w14:paraId="609310DB">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2、我们同意本响应文件自响应文件接收截止日起90天内有效。</w:t>
      </w:r>
    </w:p>
    <w:p w14:paraId="134FE5E2">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3、我们已经详细地阅读了全部采购比选文件及附件，包括澄清及参考文件（若有），我们完全理解并同意放弃对这方面有不明及误解的权利。</w:t>
      </w:r>
    </w:p>
    <w:p w14:paraId="33BC8211">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4.我们同意按贵司的要求提供有关资料，并保证真实性。</w:t>
      </w:r>
    </w:p>
    <w:p w14:paraId="27869AD7">
      <w:pPr>
        <w:adjustRightInd w:val="0"/>
        <w:snapToGrid w:val="0"/>
        <w:spacing w:line="360" w:lineRule="auto"/>
        <w:rPr>
          <w:rFonts w:asciiTheme="minorEastAsia" w:hAnsiTheme="minorEastAsia" w:eastAsiaTheme="minorEastAsia" w:cstheme="minorEastAsia"/>
          <w:bCs/>
          <w:color w:val="auto"/>
          <w:szCs w:val="21"/>
        </w:rPr>
      </w:pPr>
    </w:p>
    <w:p w14:paraId="114D68E3">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供应商代表签字：                 </w:t>
      </w:r>
    </w:p>
    <w:p w14:paraId="412F6D79">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供应商（全称并加盖公章）：            </w:t>
      </w:r>
    </w:p>
    <w:p w14:paraId="0784FE07">
      <w:pPr>
        <w:adjustRightInd w:val="0"/>
        <w:snapToGrid w:val="0"/>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Cs/>
          <w:color w:val="auto"/>
          <w:szCs w:val="21"/>
        </w:rPr>
        <w:t>日  期：</w:t>
      </w:r>
    </w:p>
    <w:p w14:paraId="434C34D0">
      <w:pPr>
        <w:adjustRightInd w:val="0"/>
        <w:snapToGrid w:val="0"/>
        <w:spacing w:line="360" w:lineRule="auto"/>
        <w:rPr>
          <w:rFonts w:asciiTheme="minorEastAsia" w:hAnsiTheme="minorEastAsia" w:eastAsiaTheme="minorEastAsia" w:cstheme="minorEastAsia"/>
          <w:b/>
          <w:color w:val="auto"/>
          <w:szCs w:val="21"/>
        </w:rPr>
        <w:sectPr>
          <w:pgSz w:w="11906" w:h="16838"/>
          <w:pgMar w:top="1440" w:right="1800" w:bottom="1440" w:left="1800" w:header="794" w:footer="992" w:gutter="0"/>
          <w:cols w:space="425" w:num="1"/>
          <w:docGrid w:type="lines" w:linePitch="312" w:charSpace="0"/>
        </w:sectPr>
      </w:pPr>
    </w:p>
    <w:p w14:paraId="2FB75460">
      <w:pPr>
        <w:adjustRightInd w:val="0"/>
        <w:snapToGrid w:val="0"/>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 xml:space="preserve">格式2:                        </w:t>
      </w:r>
    </w:p>
    <w:p w14:paraId="1FE7C168">
      <w:pPr>
        <w:adjustRightInd w:val="0"/>
        <w:snapToGrid w:val="0"/>
        <w:spacing w:line="360" w:lineRule="auto"/>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开标一览表</w:t>
      </w:r>
    </w:p>
    <w:p w14:paraId="0FAD7CCB">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项目名称：                             项目编号（分包号）：</w:t>
      </w:r>
    </w:p>
    <w:tbl>
      <w:tblPr>
        <w:tblStyle w:val="16"/>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2823"/>
        <w:gridCol w:w="1527"/>
      </w:tblGrid>
      <w:tr w14:paraId="68C6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73" w:type="dxa"/>
            <w:noWrap/>
            <w:vAlign w:val="center"/>
          </w:tcPr>
          <w:p w14:paraId="17136C0A">
            <w:pPr>
              <w:adjustRightInd w:val="0"/>
              <w:snapToGrid w:val="0"/>
              <w:spacing w:line="360" w:lineRule="auto"/>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响应总价(小写)（元）</w:t>
            </w:r>
          </w:p>
        </w:tc>
        <w:tc>
          <w:tcPr>
            <w:tcW w:w="2823" w:type="dxa"/>
            <w:noWrap/>
            <w:vAlign w:val="center"/>
          </w:tcPr>
          <w:p w14:paraId="7741E338">
            <w:pPr>
              <w:adjustRightInd w:val="0"/>
              <w:snapToGrid w:val="0"/>
              <w:spacing w:line="360" w:lineRule="auto"/>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服务期限</w:t>
            </w:r>
          </w:p>
        </w:tc>
        <w:tc>
          <w:tcPr>
            <w:tcW w:w="1527" w:type="dxa"/>
            <w:noWrap/>
            <w:vAlign w:val="center"/>
          </w:tcPr>
          <w:p w14:paraId="35B0BCB1">
            <w:pPr>
              <w:adjustRightInd w:val="0"/>
              <w:snapToGrid w:val="0"/>
              <w:spacing w:line="360" w:lineRule="auto"/>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响应有效期</w:t>
            </w:r>
          </w:p>
        </w:tc>
      </w:tr>
      <w:tr w14:paraId="77BD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173" w:type="dxa"/>
            <w:noWrap/>
          </w:tcPr>
          <w:p w14:paraId="3B888B8A">
            <w:pPr>
              <w:adjustRightInd w:val="0"/>
              <w:snapToGrid w:val="0"/>
              <w:spacing w:line="360" w:lineRule="auto"/>
              <w:jc w:val="center"/>
              <w:rPr>
                <w:rFonts w:asciiTheme="minorEastAsia" w:hAnsiTheme="minorEastAsia" w:eastAsiaTheme="minorEastAsia" w:cstheme="minorEastAsia"/>
                <w:bCs/>
                <w:color w:val="auto"/>
                <w:szCs w:val="21"/>
              </w:rPr>
            </w:pPr>
          </w:p>
        </w:tc>
        <w:tc>
          <w:tcPr>
            <w:tcW w:w="2823" w:type="dxa"/>
            <w:noWrap/>
          </w:tcPr>
          <w:p w14:paraId="2B275676">
            <w:pPr>
              <w:adjustRightInd w:val="0"/>
              <w:snapToGrid w:val="0"/>
              <w:spacing w:line="360" w:lineRule="auto"/>
              <w:jc w:val="center"/>
              <w:rPr>
                <w:rFonts w:asciiTheme="minorEastAsia" w:hAnsiTheme="minorEastAsia" w:eastAsiaTheme="minorEastAsia" w:cstheme="minorEastAsia"/>
                <w:bCs/>
                <w:color w:val="auto"/>
                <w:szCs w:val="21"/>
              </w:rPr>
            </w:pPr>
          </w:p>
        </w:tc>
        <w:tc>
          <w:tcPr>
            <w:tcW w:w="1527" w:type="dxa"/>
            <w:noWrap/>
          </w:tcPr>
          <w:p w14:paraId="6BA393D6">
            <w:pPr>
              <w:adjustRightInd w:val="0"/>
              <w:snapToGrid w:val="0"/>
              <w:spacing w:line="360" w:lineRule="auto"/>
              <w:jc w:val="center"/>
              <w:rPr>
                <w:rFonts w:asciiTheme="minorEastAsia" w:hAnsiTheme="minorEastAsia" w:eastAsiaTheme="minorEastAsia" w:cstheme="minorEastAsia"/>
                <w:bCs/>
                <w:color w:val="auto"/>
                <w:szCs w:val="21"/>
              </w:rPr>
            </w:pPr>
          </w:p>
        </w:tc>
      </w:tr>
      <w:tr w14:paraId="243F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3" w:type="dxa"/>
            <w:gridSpan w:val="3"/>
            <w:noWrap/>
            <w:vAlign w:val="bottom"/>
          </w:tcPr>
          <w:p w14:paraId="3D0749B6">
            <w:pPr>
              <w:adjustRightInd w:val="0"/>
              <w:snapToGrid w:val="0"/>
              <w:spacing w:line="360" w:lineRule="auto"/>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响应总价（大写）：</w:t>
            </w:r>
          </w:p>
        </w:tc>
      </w:tr>
      <w:tr w14:paraId="203E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3" w:type="dxa"/>
            <w:gridSpan w:val="3"/>
            <w:noWrap/>
            <w:vAlign w:val="bottom"/>
          </w:tcPr>
          <w:p w14:paraId="4ECC583B">
            <w:pPr>
              <w:adjustRightInd w:val="0"/>
              <w:snapToGrid w:val="0"/>
              <w:spacing w:line="360" w:lineRule="auto"/>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质量标准：符合采购人要求</w:t>
            </w:r>
          </w:p>
        </w:tc>
      </w:tr>
      <w:tr w14:paraId="57F4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3" w:type="dxa"/>
            <w:gridSpan w:val="3"/>
            <w:noWrap/>
            <w:vAlign w:val="bottom"/>
          </w:tcPr>
          <w:p w14:paraId="7B026E53">
            <w:pPr>
              <w:adjustRightInd w:val="0"/>
              <w:snapToGrid w:val="0"/>
              <w:spacing w:line="360" w:lineRule="auto"/>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是否为符合条件的小微企业:是（   ）；否（   ）</w:t>
            </w:r>
          </w:p>
        </w:tc>
      </w:tr>
      <w:tr w14:paraId="0F73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3" w:type="dxa"/>
            <w:gridSpan w:val="3"/>
            <w:noWrap/>
            <w:vAlign w:val="bottom"/>
          </w:tcPr>
          <w:p w14:paraId="71987E7E">
            <w:pPr>
              <w:adjustRightInd w:val="0"/>
              <w:snapToGrid w:val="0"/>
              <w:spacing w:line="360" w:lineRule="auto"/>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备注：（其他需要说明的情形）</w:t>
            </w:r>
          </w:p>
        </w:tc>
      </w:tr>
    </w:tbl>
    <w:p w14:paraId="612C5B89">
      <w:pPr>
        <w:adjustRightInd w:val="0"/>
        <w:snapToGrid w:val="0"/>
        <w:spacing w:line="360" w:lineRule="auto"/>
        <w:ind w:firstLine="560"/>
        <w:rPr>
          <w:rFonts w:asciiTheme="minorEastAsia" w:hAnsiTheme="minorEastAsia" w:eastAsiaTheme="minorEastAsia" w:cstheme="minorEastAsia"/>
          <w:bCs/>
          <w:color w:val="auto"/>
          <w:szCs w:val="21"/>
        </w:rPr>
      </w:pPr>
    </w:p>
    <w:p w14:paraId="48181DD0">
      <w:pPr>
        <w:pStyle w:val="6"/>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供应商名称：                 （公章）</w:t>
      </w:r>
    </w:p>
    <w:p w14:paraId="044C92CE">
      <w:pPr>
        <w:pStyle w:val="6"/>
        <w:adjustRightInd w:val="0"/>
        <w:snapToGrid w:val="0"/>
        <w:spacing w:line="360" w:lineRule="auto"/>
        <w:ind w:firstLine="420" w:firstLineChars="200"/>
        <w:rPr>
          <w:rFonts w:asciiTheme="minorEastAsia" w:hAnsiTheme="minorEastAsia" w:eastAsiaTheme="minorEastAsia" w:cstheme="minorEastAsia"/>
          <w:bCs/>
          <w:color w:val="auto"/>
          <w:szCs w:val="21"/>
        </w:rPr>
      </w:pPr>
    </w:p>
    <w:p w14:paraId="23F695F6">
      <w:pPr>
        <w:pStyle w:val="6"/>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供应商代表签名：                日期：  </w:t>
      </w:r>
    </w:p>
    <w:p w14:paraId="35630EA9">
      <w:pPr>
        <w:adjustRightInd w:val="0"/>
        <w:snapToGrid w:val="0"/>
        <w:spacing w:line="360" w:lineRule="auto"/>
        <w:ind w:firstLine="420" w:firstLineChars="200"/>
        <w:rPr>
          <w:rFonts w:asciiTheme="minorEastAsia" w:hAnsiTheme="minorEastAsia" w:eastAsiaTheme="minorEastAsia" w:cstheme="minorEastAsia"/>
          <w:bCs/>
          <w:color w:val="auto"/>
          <w:szCs w:val="21"/>
        </w:rPr>
        <w:sectPr>
          <w:pgSz w:w="11906" w:h="16838"/>
          <w:pgMar w:top="1440" w:right="1800" w:bottom="1440" w:left="1800" w:header="794" w:footer="992" w:gutter="0"/>
          <w:cols w:space="425" w:num="1"/>
          <w:docGrid w:type="lines" w:linePitch="312" w:charSpace="0"/>
        </w:sectPr>
      </w:pPr>
    </w:p>
    <w:p w14:paraId="43B152DA">
      <w:pPr>
        <w:adjustRightInd w:val="0"/>
        <w:snapToGrid w:val="0"/>
        <w:spacing w:line="360" w:lineRule="auto"/>
        <w:rPr>
          <w:rFonts w:ascii="宋体" w:hAnsi="宋体" w:cs="宋体"/>
          <w:b/>
          <w:color w:val="auto"/>
          <w:szCs w:val="21"/>
        </w:rPr>
      </w:pPr>
      <w:r>
        <w:rPr>
          <w:rFonts w:hint="eastAsia" w:ascii="宋体" w:hAnsi="宋体" w:cs="宋体"/>
          <w:b/>
          <w:color w:val="auto"/>
          <w:szCs w:val="21"/>
        </w:rPr>
        <w:t>格式3:</w:t>
      </w:r>
      <w:r>
        <w:rPr>
          <w:rFonts w:hint="eastAsia" w:ascii="宋体" w:hAnsi="宋体" w:cs="宋体"/>
          <w:bCs/>
          <w:color w:val="auto"/>
          <w:szCs w:val="21"/>
        </w:rPr>
        <w:t xml:space="preserve">                            </w:t>
      </w:r>
      <w:r>
        <w:rPr>
          <w:rFonts w:hint="eastAsia" w:ascii="宋体" w:hAnsi="宋体" w:cs="宋体"/>
          <w:b/>
          <w:color w:val="auto"/>
          <w:szCs w:val="21"/>
        </w:rPr>
        <w:t>响应报价明细表</w:t>
      </w:r>
    </w:p>
    <w:p w14:paraId="75D54B55">
      <w:pPr>
        <w:adjustRightInd w:val="0"/>
        <w:snapToGrid w:val="0"/>
        <w:spacing w:line="240" w:lineRule="exact"/>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项目名称：                         项目编号（分包号）∶ </w:t>
      </w:r>
    </w:p>
    <w:tbl>
      <w:tblPr>
        <w:tblStyle w:val="16"/>
        <w:tblpPr w:leftFromText="180" w:rightFromText="180" w:vertAnchor="text" w:horzAnchor="page" w:tblpX="1885" w:tblpY="376"/>
        <w:tblOverlap w:val="never"/>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40"/>
        <w:gridCol w:w="1009"/>
        <w:gridCol w:w="974"/>
        <w:gridCol w:w="2399"/>
        <w:gridCol w:w="2035"/>
      </w:tblGrid>
      <w:tr w14:paraId="0B22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3CEAF1B4">
            <w:pPr>
              <w:adjustRightInd w:val="0"/>
              <w:snapToGrid w:val="0"/>
              <w:spacing w:line="240" w:lineRule="exact"/>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序号</w:t>
            </w:r>
          </w:p>
        </w:tc>
        <w:tc>
          <w:tcPr>
            <w:tcW w:w="2340" w:type="dxa"/>
            <w:tcBorders>
              <w:top w:val="single" w:color="auto" w:sz="4" w:space="0"/>
              <w:left w:val="single" w:color="auto" w:sz="4" w:space="0"/>
              <w:bottom w:val="single" w:color="auto" w:sz="4" w:space="0"/>
              <w:right w:val="single" w:color="auto" w:sz="4" w:space="0"/>
            </w:tcBorders>
            <w:noWrap/>
            <w:vAlign w:val="center"/>
          </w:tcPr>
          <w:p w14:paraId="3BDA46DF">
            <w:pPr>
              <w:adjustRightInd w:val="0"/>
              <w:snapToGrid w:val="0"/>
              <w:spacing w:line="240" w:lineRule="exact"/>
              <w:jc w:val="left"/>
              <w:rPr>
                <w:rFonts w:asciiTheme="minorEastAsia" w:hAnsiTheme="minorEastAsia" w:eastAsiaTheme="minorEastAsia" w:cstheme="minorEastAsia"/>
                <w:bCs/>
                <w:color w:val="auto"/>
                <w:szCs w:val="21"/>
              </w:rPr>
            </w:pPr>
            <w:r>
              <w:rPr>
                <w:rFonts w:hint="eastAsia" w:ascii="宋体" w:hAnsi="宋体" w:cs="宋体"/>
                <w:bCs/>
                <w:color w:val="auto"/>
                <w:szCs w:val="21"/>
              </w:rPr>
              <w:t>服务费用明细</w:t>
            </w:r>
          </w:p>
        </w:tc>
        <w:tc>
          <w:tcPr>
            <w:tcW w:w="1009" w:type="dxa"/>
            <w:tcBorders>
              <w:top w:val="single" w:color="auto" w:sz="4" w:space="0"/>
              <w:left w:val="single" w:color="auto" w:sz="4" w:space="0"/>
              <w:bottom w:val="single" w:color="auto" w:sz="4" w:space="0"/>
              <w:right w:val="single" w:color="auto" w:sz="4" w:space="0"/>
            </w:tcBorders>
            <w:noWrap/>
            <w:vAlign w:val="center"/>
          </w:tcPr>
          <w:p w14:paraId="518F08F4">
            <w:pPr>
              <w:adjustRightInd w:val="0"/>
              <w:snapToGrid w:val="0"/>
              <w:spacing w:line="240" w:lineRule="exact"/>
              <w:jc w:val="left"/>
              <w:rPr>
                <w:rFonts w:ascii="宋体" w:hAnsi="宋体" w:cs="宋体"/>
                <w:bCs/>
                <w:color w:val="auto"/>
                <w:szCs w:val="21"/>
              </w:rPr>
            </w:pPr>
            <w:r>
              <w:rPr>
                <w:rFonts w:hint="eastAsia" w:ascii="宋体" w:hAnsi="宋体" w:cs="宋体"/>
                <w:bCs/>
                <w:color w:val="auto"/>
                <w:szCs w:val="21"/>
              </w:rPr>
              <w:t>单价</w:t>
            </w:r>
          </w:p>
        </w:tc>
        <w:tc>
          <w:tcPr>
            <w:tcW w:w="974" w:type="dxa"/>
            <w:tcBorders>
              <w:top w:val="single" w:color="auto" w:sz="4" w:space="0"/>
              <w:left w:val="single" w:color="auto" w:sz="4" w:space="0"/>
              <w:bottom w:val="single" w:color="auto" w:sz="4" w:space="0"/>
              <w:right w:val="single" w:color="auto" w:sz="4" w:space="0"/>
            </w:tcBorders>
            <w:noWrap/>
            <w:vAlign w:val="center"/>
          </w:tcPr>
          <w:p w14:paraId="26D5F2CC">
            <w:pPr>
              <w:adjustRightInd w:val="0"/>
              <w:snapToGrid w:val="0"/>
              <w:spacing w:line="240" w:lineRule="exact"/>
              <w:jc w:val="left"/>
              <w:rPr>
                <w:rFonts w:ascii="宋体" w:hAnsi="宋体" w:cs="宋体"/>
                <w:bCs/>
                <w:color w:val="auto"/>
                <w:szCs w:val="21"/>
              </w:rPr>
            </w:pPr>
            <w:r>
              <w:rPr>
                <w:rFonts w:hint="eastAsia" w:ascii="宋体" w:hAnsi="宋体" w:cs="宋体"/>
                <w:bCs/>
                <w:color w:val="auto"/>
                <w:szCs w:val="21"/>
              </w:rPr>
              <w:t>数量</w:t>
            </w:r>
          </w:p>
        </w:tc>
        <w:tc>
          <w:tcPr>
            <w:tcW w:w="2399" w:type="dxa"/>
            <w:tcBorders>
              <w:top w:val="single" w:color="auto" w:sz="4" w:space="0"/>
              <w:left w:val="single" w:color="auto" w:sz="4" w:space="0"/>
              <w:bottom w:val="single" w:color="auto" w:sz="4" w:space="0"/>
              <w:right w:val="single" w:color="auto" w:sz="4" w:space="0"/>
            </w:tcBorders>
            <w:noWrap/>
            <w:vAlign w:val="center"/>
          </w:tcPr>
          <w:p w14:paraId="40F61F8D">
            <w:pPr>
              <w:adjustRightInd w:val="0"/>
              <w:snapToGrid w:val="0"/>
              <w:spacing w:line="240" w:lineRule="exact"/>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单项总价</w:t>
            </w:r>
          </w:p>
        </w:tc>
        <w:tc>
          <w:tcPr>
            <w:tcW w:w="2035" w:type="dxa"/>
            <w:tcBorders>
              <w:top w:val="single" w:color="auto" w:sz="4" w:space="0"/>
              <w:left w:val="single" w:color="auto" w:sz="4" w:space="0"/>
              <w:bottom w:val="single" w:color="auto" w:sz="4" w:space="0"/>
              <w:right w:val="single" w:color="auto" w:sz="4" w:space="0"/>
            </w:tcBorders>
            <w:noWrap/>
            <w:vAlign w:val="center"/>
          </w:tcPr>
          <w:p w14:paraId="439007D9">
            <w:pPr>
              <w:adjustRightInd w:val="0"/>
              <w:snapToGrid w:val="0"/>
              <w:spacing w:line="240" w:lineRule="exact"/>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备注</w:t>
            </w:r>
          </w:p>
        </w:tc>
      </w:tr>
      <w:tr w14:paraId="009C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4AD30F05">
            <w:pPr>
              <w:adjustRightInd w:val="0"/>
              <w:snapToGrid w:val="0"/>
              <w:spacing w:line="240" w:lineRule="exact"/>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w:t>
            </w:r>
          </w:p>
        </w:tc>
        <w:tc>
          <w:tcPr>
            <w:tcW w:w="2340" w:type="dxa"/>
            <w:tcBorders>
              <w:top w:val="single" w:color="auto" w:sz="4" w:space="0"/>
              <w:left w:val="single" w:color="auto" w:sz="4" w:space="0"/>
              <w:bottom w:val="single" w:color="auto" w:sz="4" w:space="0"/>
              <w:right w:val="single" w:color="auto" w:sz="4" w:space="0"/>
            </w:tcBorders>
            <w:noWrap/>
            <w:vAlign w:val="center"/>
          </w:tcPr>
          <w:p w14:paraId="35159F79">
            <w:pPr>
              <w:adjustRightInd w:val="0"/>
              <w:snapToGrid w:val="0"/>
              <w:spacing w:line="240" w:lineRule="exact"/>
              <w:ind w:firstLine="561"/>
              <w:jc w:val="left"/>
              <w:rPr>
                <w:rFonts w:asciiTheme="minorEastAsia" w:hAnsiTheme="minorEastAsia" w:eastAsiaTheme="minorEastAsia" w:cstheme="minorEastAsia"/>
                <w:bCs/>
                <w:color w:val="auto"/>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1AA5B311">
            <w:pPr>
              <w:adjustRightInd w:val="0"/>
              <w:snapToGrid w:val="0"/>
              <w:spacing w:line="240" w:lineRule="exact"/>
              <w:ind w:firstLine="561"/>
              <w:jc w:val="left"/>
              <w:rPr>
                <w:rFonts w:asciiTheme="minorEastAsia" w:hAnsiTheme="minorEastAsia" w:eastAsiaTheme="minorEastAsia" w:cstheme="minorEastAsia"/>
                <w:bCs/>
                <w:color w:val="auto"/>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0E762559">
            <w:pPr>
              <w:adjustRightInd w:val="0"/>
              <w:snapToGrid w:val="0"/>
              <w:spacing w:line="240" w:lineRule="exact"/>
              <w:ind w:firstLine="561"/>
              <w:jc w:val="left"/>
              <w:rPr>
                <w:rFonts w:asciiTheme="minorEastAsia" w:hAnsiTheme="minorEastAsia" w:eastAsiaTheme="minorEastAsia" w:cstheme="minorEastAsia"/>
                <w:bCs/>
                <w:color w:val="auto"/>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70F1F9C7">
            <w:pPr>
              <w:adjustRightInd w:val="0"/>
              <w:snapToGrid w:val="0"/>
              <w:spacing w:line="240" w:lineRule="exact"/>
              <w:ind w:firstLine="561"/>
              <w:jc w:val="left"/>
              <w:rPr>
                <w:rFonts w:asciiTheme="minorEastAsia" w:hAnsiTheme="minorEastAsia" w:eastAsiaTheme="minorEastAsia" w:cstheme="minorEastAsia"/>
                <w:bCs/>
                <w:color w:val="auto"/>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14:paraId="55DDFC1D">
            <w:pPr>
              <w:adjustRightInd w:val="0"/>
              <w:snapToGrid w:val="0"/>
              <w:spacing w:line="240" w:lineRule="exact"/>
              <w:ind w:firstLine="561"/>
              <w:jc w:val="left"/>
              <w:rPr>
                <w:rFonts w:asciiTheme="minorEastAsia" w:hAnsiTheme="minorEastAsia" w:eastAsiaTheme="minorEastAsia" w:cstheme="minorEastAsia"/>
                <w:bCs/>
                <w:color w:val="auto"/>
                <w:szCs w:val="21"/>
              </w:rPr>
            </w:pPr>
          </w:p>
        </w:tc>
      </w:tr>
      <w:tr w14:paraId="70CD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26402D7B">
            <w:pPr>
              <w:adjustRightInd w:val="0"/>
              <w:snapToGrid w:val="0"/>
              <w:spacing w:line="240" w:lineRule="exact"/>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w:t>
            </w:r>
          </w:p>
        </w:tc>
        <w:tc>
          <w:tcPr>
            <w:tcW w:w="2340" w:type="dxa"/>
            <w:tcBorders>
              <w:top w:val="single" w:color="auto" w:sz="4" w:space="0"/>
              <w:left w:val="single" w:color="auto" w:sz="4" w:space="0"/>
              <w:bottom w:val="single" w:color="auto" w:sz="4" w:space="0"/>
              <w:right w:val="single" w:color="auto" w:sz="4" w:space="0"/>
            </w:tcBorders>
            <w:noWrap/>
            <w:vAlign w:val="center"/>
          </w:tcPr>
          <w:p w14:paraId="3126AB86">
            <w:pPr>
              <w:adjustRightInd w:val="0"/>
              <w:snapToGrid w:val="0"/>
              <w:spacing w:line="240" w:lineRule="exact"/>
              <w:ind w:firstLine="561"/>
              <w:jc w:val="left"/>
              <w:rPr>
                <w:rFonts w:asciiTheme="minorEastAsia" w:hAnsiTheme="minorEastAsia" w:eastAsiaTheme="minorEastAsia" w:cstheme="minorEastAsia"/>
                <w:bCs/>
                <w:color w:val="auto"/>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3416882A">
            <w:pPr>
              <w:adjustRightInd w:val="0"/>
              <w:snapToGrid w:val="0"/>
              <w:spacing w:line="240" w:lineRule="exact"/>
              <w:ind w:firstLine="561"/>
              <w:jc w:val="left"/>
              <w:rPr>
                <w:rFonts w:asciiTheme="minorEastAsia" w:hAnsiTheme="minorEastAsia" w:eastAsiaTheme="minorEastAsia" w:cstheme="minorEastAsia"/>
                <w:bCs/>
                <w:color w:val="auto"/>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4B1C1C01">
            <w:pPr>
              <w:adjustRightInd w:val="0"/>
              <w:snapToGrid w:val="0"/>
              <w:spacing w:line="240" w:lineRule="exact"/>
              <w:ind w:firstLine="561"/>
              <w:jc w:val="left"/>
              <w:rPr>
                <w:rFonts w:asciiTheme="minorEastAsia" w:hAnsiTheme="minorEastAsia" w:eastAsiaTheme="minorEastAsia" w:cstheme="minorEastAsia"/>
                <w:bCs/>
                <w:color w:val="auto"/>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1771B6BA">
            <w:pPr>
              <w:adjustRightInd w:val="0"/>
              <w:snapToGrid w:val="0"/>
              <w:spacing w:line="240" w:lineRule="exact"/>
              <w:ind w:firstLine="561"/>
              <w:jc w:val="left"/>
              <w:rPr>
                <w:rFonts w:asciiTheme="minorEastAsia" w:hAnsiTheme="minorEastAsia" w:eastAsiaTheme="minorEastAsia" w:cstheme="minorEastAsia"/>
                <w:bCs/>
                <w:color w:val="auto"/>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14:paraId="53E9F756">
            <w:pPr>
              <w:adjustRightInd w:val="0"/>
              <w:snapToGrid w:val="0"/>
              <w:spacing w:line="240" w:lineRule="exact"/>
              <w:ind w:firstLine="561"/>
              <w:jc w:val="left"/>
              <w:rPr>
                <w:rFonts w:asciiTheme="minorEastAsia" w:hAnsiTheme="minorEastAsia" w:eastAsiaTheme="minorEastAsia" w:cstheme="minorEastAsia"/>
                <w:bCs/>
                <w:color w:val="auto"/>
                <w:szCs w:val="21"/>
              </w:rPr>
            </w:pPr>
          </w:p>
        </w:tc>
      </w:tr>
      <w:tr w14:paraId="5DA2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00AB3E47">
            <w:pPr>
              <w:adjustRightInd w:val="0"/>
              <w:snapToGrid w:val="0"/>
              <w:spacing w:line="240" w:lineRule="exact"/>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w:t>
            </w:r>
          </w:p>
        </w:tc>
        <w:tc>
          <w:tcPr>
            <w:tcW w:w="2340" w:type="dxa"/>
            <w:tcBorders>
              <w:top w:val="single" w:color="auto" w:sz="4" w:space="0"/>
              <w:left w:val="single" w:color="auto" w:sz="4" w:space="0"/>
              <w:bottom w:val="single" w:color="auto" w:sz="4" w:space="0"/>
              <w:right w:val="single" w:color="auto" w:sz="4" w:space="0"/>
            </w:tcBorders>
            <w:noWrap/>
            <w:vAlign w:val="center"/>
          </w:tcPr>
          <w:p w14:paraId="5A70E4AC">
            <w:pPr>
              <w:adjustRightInd w:val="0"/>
              <w:snapToGrid w:val="0"/>
              <w:spacing w:line="240" w:lineRule="exact"/>
              <w:ind w:firstLine="561"/>
              <w:jc w:val="left"/>
              <w:rPr>
                <w:rFonts w:asciiTheme="minorEastAsia" w:hAnsiTheme="minorEastAsia" w:eastAsiaTheme="minorEastAsia" w:cstheme="minorEastAsia"/>
                <w:bCs/>
                <w:color w:val="auto"/>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6D3D6AF8">
            <w:pPr>
              <w:adjustRightInd w:val="0"/>
              <w:snapToGrid w:val="0"/>
              <w:spacing w:line="240" w:lineRule="exact"/>
              <w:ind w:firstLine="561"/>
              <w:jc w:val="left"/>
              <w:rPr>
                <w:rFonts w:asciiTheme="minorEastAsia" w:hAnsiTheme="minorEastAsia" w:eastAsiaTheme="minorEastAsia" w:cstheme="minorEastAsia"/>
                <w:bCs/>
                <w:color w:val="auto"/>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010DAEB3">
            <w:pPr>
              <w:adjustRightInd w:val="0"/>
              <w:snapToGrid w:val="0"/>
              <w:spacing w:line="240" w:lineRule="exact"/>
              <w:ind w:firstLine="561"/>
              <w:jc w:val="left"/>
              <w:rPr>
                <w:rFonts w:asciiTheme="minorEastAsia" w:hAnsiTheme="minorEastAsia" w:eastAsiaTheme="minorEastAsia" w:cstheme="minorEastAsia"/>
                <w:bCs/>
                <w:color w:val="auto"/>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59243C46">
            <w:pPr>
              <w:adjustRightInd w:val="0"/>
              <w:snapToGrid w:val="0"/>
              <w:spacing w:line="240" w:lineRule="exact"/>
              <w:ind w:firstLine="561"/>
              <w:jc w:val="left"/>
              <w:rPr>
                <w:rFonts w:asciiTheme="minorEastAsia" w:hAnsiTheme="minorEastAsia" w:eastAsiaTheme="minorEastAsia" w:cstheme="minorEastAsia"/>
                <w:bCs/>
                <w:color w:val="auto"/>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14:paraId="2F145585">
            <w:pPr>
              <w:adjustRightInd w:val="0"/>
              <w:snapToGrid w:val="0"/>
              <w:spacing w:line="240" w:lineRule="exact"/>
              <w:ind w:firstLine="561"/>
              <w:jc w:val="left"/>
              <w:rPr>
                <w:rFonts w:asciiTheme="minorEastAsia" w:hAnsiTheme="minorEastAsia" w:eastAsiaTheme="minorEastAsia" w:cstheme="minorEastAsia"/>
                <w:bCs/>
                <w:color w:val="auto"/>
                <w:szCs w:val="21"/>
              </w:rPr>
            </w:pPr>
          </w:p>
        </w:tc>
      </w:tr>
      <w:tr w14:paraId="51C0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2CAF6CE4">
            <w:pPr>
              <w:adjustRightInd w:val="0"/>
              <w:snapToGrid w:val="0"/>
              <w:spacing w:line="240" w:lineRule="exact"/>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w:t>
            </w:r>
          </w:p>
        </w:tc>
        <w:tc>
          <w:tcPr>
            <w:tcW w:w="2340" w:type="dxa"/>
            <w:tcBorders>
              <w:top w:val="single" w:color="auto" w:sz="4" w:space="0"/>
              <w:left w:val="single" w:color="auto" w:sz="4" w:space="0"/>
              <w:bottom w:val="single" w:color="auto" w:sz="4" w:space="0"/>
              <w:right w:val="single" w:color="auto" w:sz="4" w:space="0"/>
            </w:tcBorders>
            <w:noWrap/>
            <w:vAlign w:val="center"/>
          </w:tcPr>
          <w:p w14:paraId="21D73E08">
            <w:pPr>
              <w:adjustRightInd w:val="0"/>
              <w:snapToGrid w:val="0"/>
              <w:spacing w:line="240" w:lineRule="exact"/>
              <w:ind w:firstLine="561"/>
              <w:jc w:val="left"/>
              <w:rPr>
                <w:rFonts w:asciiTheme="minorEastAsia" w:hAnsiTheme="minorEastAsia" w:eastAsiaTheme="minorEastAsia" w:cstheme="minorEastAsia"/>
                <w:bCs/>
                <w:color w:val="auto"/>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50FC1BD1">
            <w:pPr>
              <w:adjustRightInd w:val="0"/>
              <w:snapToGrid w:val="0"/>
              <w:spacing w:line="240" w:lineRule="exact"/>
              <w:ind w:firstLine="561"/>
              <w:jc w:val="left"/>
              <w:rPr>
                <w:rFonts w:asciiTheme="minorEastAsia" w:hAnsiTheme="minorEastAsia" w:eastAsiaTheme="minorEastAsia" w:cstheme="minorEastAsia"/>
                <w:bCs/>
                <w:color w:val="auto"/>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75A02942">
            <w:pPr>
              <w:adjustRightInd w:val="0"/>
              <w:snapToGrid w:val="0"/>
              <w:spacing w:line="240" w:lineRule="exact"/>
              <w:ind w:firstLine="561"/>
              <w:jc w:val="left"/>
              <w:rPr>
                <w:rFonts w:asciiTheme="minorEastAsia" w:hAnsiTheme="minorEastAsia" w:eastAsiaTheme="minorEastAsia" w:cstheme="minorEastAsia"/>
                <w:bCs/>
                <w:color w:val="auto"/>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1BD62450">
            <w:pPr>
              <w:adjustRightInd w:val="0"/>
              <w:snapToGrid w:val="0"/>
              <w:spacing w:line="240" w:lineRule="exact"/>
              <w:ind w:firstLine="561"/>
              <w:jc w:val="left"/>
              <w:rPr>
                <w:rFonts w:asciiTheme="minorEastAsia" w:hAnsiTheme="minorEastAsia" w:eastAsiaTheme="minorEastAsia" w:cstheme="minorEastAsia"/>
                <w:bCs/>
                <w:color w:val="auto"/>
                <w:szCs w:val="21"/>
              </w:rPr>
            </w:pPr>
          </w:p>
        </w:tc>
        <w:tc>
          <w:tcPr>
            <w:tcW w:w="2035" w:type="dxa"/>
            <w:tcBorders>
              <w:top w:val="single" w:color="auto" w:sz="4" w:space="0"/>
              <w:left w:val="single" w:color="auto" w:sz="4" w:space="0"/>
              <w:bottom w:val="single" w:color="auto" w:sz="4" w:space="0"/>
              <w:right w:val="single" w:color="auto" w:sz="4" w:space="0"/>
            </w:tcBorders>
            <w:noWrap/>
            <w:vAlign w:val="center"/>
          </w:tcPr>
          <w:p w14:paraId="72AEAD6F">
            <w:pPr>
              <w:adjustRightInd w:val="0"/>
              <w:snapToGrid w:val="0"/>
              <w:spacing w:line="240" w:lineRule="exact"/>
              <w:ind w:firstLine="561"/>
              <w:jc w:val="left"/>
              <w:rPr>
                <w:rFonts w:asciiTheme="minorEastAsia" w:hAnsiTheme="minorEastAsia" w:eastAsiaTheme="minorEastAsia" w:cstheme="minorEastAsia"/>
                <w:bCs/>
                <w:color w:val="auto"/>
                <w:szCs w:val="21"/>
              </w:rPr>
            </w:pPr>
          </w:p>
        </w:tc>
      </w:tr>
      <w:tr w14:paraId="7E2D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516" w:type="dxa"/>
            <w:gridSpan w:val="6"/>
            <w:tcBorders>
              <w:top w:val="single" w:color="auto" w:sz="4" w:space="0"/>
              <w:left w:val="single" w:color="auto" w:sz="4" w:space="0"/>
              <w:bottom w:val="single" w:color="auto" w:sz="4" w:space="0"/>
              <w:right w:val="single" w:color="auto" w:sz="4" w:space="0"/>
            </w:tcBorders>
            <w:noWrap/>
            <w:vAlign w:val="center"/>
          </w:tcPr>
          <w:p w14:paraId="11A06B24">
            <w:pPr>
              <w:adjustRightInd w:val="0"/>
              <w:snapToGrid w:val="0"/>
              <w:spacing w:line="240" w:lineRule="exact"/>
              <w:jc w:val="left"/>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总价（大小写）：</w:t>
            </w:r>
          </w:p>
        </w:tc>
      </w:tr>
    </w:tbl>
    <w:p w14:paraId="344B7056">
      <w:pPr>
        <w:adjustRightInd w:val="0"/>
        <w:snapToGrid w:val="0"/>
        <w:spacing w:line="360" w:lineRule="auto"/>
        <w:ind w:firstLine="561"/>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w:t>
      </w:r>
    </w:p>
    <w:p w14:paraId="5D4410E4">
      <w:pPr>
        <w:pStyle w:val="6"/>
        <w:adjustRightInd w:val="0"/>
        <w:snapToGrid w:val="0"/>
        <w:spacing w:line="360" w:lineRule="auto"/>
        <w:ind w:firstLine="210" w:firstLineChars="1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供应商名称：                 （公章）</w:t>
      </w:r>
    </w:p>
    <w:p w14:paraId="5119C903">
      <w:pPr>
        <w:pStyle w:val="6"/>
        <w:adjustRightInd w:val="0"/>
        <w:snapToGrid w:val="0"/>
        <w:spacing w:line="360" w:lineRule="auto"/>
        <w:rPr>
          <w:rFonts w:asciiTheme="minorEastAsia" w:hAnsiTheme="minorEastAsia" w:eastAsiaTheme="minorEastAsia" w:cstheme="minorEastAsia"/>
          <w:bCs/>
          <w:color w:val="auto"/>
          <w:szCs w:val="21"/>
        </w:rPr>
      </w:pPr>
    </w:p>
    <w:p w14:paraId="77127C11">
      <w:pPr>
        <w:pStyle w:val="6"/>
        <w:adjustRightInd w:val="0"/>
        <w:snapToGrid w:val="0"/>
        <w:spacing w:line="360" w:lineRule="auto"/>
        <w:ind w:firstLine="210" w:firstLineChars="1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供应商代表签名：                日期：</w:t>
      </w:r>
    </w:p>
    <w:p w14:paraId="77DAE167">
      <w:pPr>
        <w:adjustRightInd w:val="0"/>
        <w:snapToGrid w:val="0"/>
        <w:spacing w:line="360" w:lineRule="auto"/>
        <w:rPr>
          <w:rFonts w:asciiTheme="minorEastAsia" w:hAnsiTheme="minorEastAsia" w:eastAsiaTheme="minorEastAsia" w:cstheme="minorEastAsia"/>
          <w:bCs/>
          <w:color w:val="auto"/>
          <w:szCs w:val="21"/>
        </w:rPr>
        <w:sectPr>
          <w:pgSz w:w="11906" w:h="16838"/>
          <w:pgMar w:top="1440" w:right="1800" w:bottom="1440" w:left="1800" w:header="794" w:footer="992" w:gutter="0"/>
          <w:cols w:space="425" w:num="1"/>
          <w:docGrid w:type="lines" w:linePitch="312" w:charSpace="0"/>
        </w:sectPr>
      </w:pPr>
    </w:p>
    <w:p w14:paraId="469C9037">
      <w:pPr>
        <w:pStyle w:val="15"/>
        <w:rPr>
          <w:color w:val="auto"/>
        </w:rPr>
      </w:pPr>
    </w:p>
    <w:p w14:paraId="24FF387A">
      <w:pPr>
        <w:adjustRightInd w:val="0"/>
        <w:snapToGrid w:val="0"/>
        <w:spacing w:line="360" w:lineRule="auto"/>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格式4： 法定代表人授权委托书</w:t>
      </w:r>
    </w:p>
    <w:p w14:paraId="2F40A27A">
      <w:pPr>
        <w:jc w:val="center"/>
        <w:rPr>
          <w:color w:val="auto"/>
        </w:rPr>
      </w:pPr>
      <w:r>
        <w:rPr>
          <w:rFonts w:hint="eastAsia"/>
          <w:color w:val="auto"/>
        </w:rPr>
        <w:t>法定代表人授权委托书</w:t>
      </w:r>
    </w:p>
    <w:p w14:paraId="33029A92">
      <w:pPr>
        <w:rPr>
          <w:color w:val="auto"/>
        </w:rPr>
      </w:pPr>
    </w:p>
    <w:p w14:paraId="159E1B79">
      <w:pPr>
        <w:rPr>
          <w:color w:val="auto"/>
        </w:rPr>
      </w:pPr>
      <w:r>
        <w:rPr>
          <w:rFonts w:hint="eastAsia"/>
          <w:color w:val="auto"/>
          <w:u w:val="single"/>
        </w:rPr>
        <w:t xml:space="preserve">     （供应商名称）     </w:t>
      </w:r>
      <w:r>
        <w:rPr>
          <w:rFonts w:hint="eastAsia"/>
          <w:color w:val="auto"/>
        </w:rPr>
        <w:t>法定代表人授权我司员工全权负责项目的一切相关事宜。本授权书于_______年_____月_____日签字生效，特此声明。</w:t>
      </w:r>
    </w:p>
    <w:p w14:paraId="6F79889B">
      <w:pPr>
        <w:rPr>
          <w:color w:val="auto"/>
        </w:rPr>
      </w:pPr>
    </w:p>
    <w:p w14:paraId="70669E94">
      <w:pPr>
        <w:rPr>
          <w:color w:val="auto"/>
        </w:rPr>
      </w:pPr>
    </w:p>
    <w:p w14:paraId="497C1C9F">
      <w:pPr>
        <w:rPr>
          <w:color w:val="auto"/>
        </w:rPr>
      </w:pPr>
    </w:p>
    <w:p w14:paraId="37715F42">
      <w:pPr>
        <w:rPr>
          <w:color w:val="auto"/>
        </w:rPr>
      </w:pPr>
      <w:r>
        <w:rPr>
          <w:rFonts w:hint="eastAsia"/>
          <w:color w:val="auto"/>
        </w:rPr>
        <w:t xml:space="preserve">供应商（公章）：                                                         </w:t>
      </w:r>
    </w:p>
    <w:p w14:paraId="73231E6E">
      <w:pPr>
        <w:rPr>
          <w:color w:val="auto"/>
        </w:rPr>
      </w:pPr>
      <w:r>
        <w:rPr>
          <w:rFonts w:hint="eastAsia"/>
          <w:color w:val="auto"/>
        </w:rPr>
        <w:t>法定代表人签字：（或法人章）</w:t>
      </w:r>
    </w:p>
    <w:p w14:paraId="36B323ED">
      <w:pPr>
        <w:rPr>
          <w:color w:val="auto"/>
        </w:rPr>
      </w:pPr>
      <w:r>
        <w:rPr>
          <w:rFonts w:hint="eastAsia"/>
          <w:color w:val="auto"/>
        </w:rPr>
        <w:t>被授权人签字：</w:t>
      </w:r>
    </w:p>
    <w:p w14:paraId="696715E7">
      <w:pPr>
        <w:pStyle w:val="15"/>
        <w:ind w:left="0" w:leftChars="0" w:firstLine="0" w:firstLineChars="0"/>
        <w:rPr>
          <w:color w:val="auto"/>
        </w:rPr>
      </w:pPr>
    </w:p>
    <w:p w14:paraId="3ECB10EF">
      <w:pPr>
        <w:pStyle w:val="15"/>
        <w:ind w:left="0" w:leftChars="0" w:firstLine="0" w:firstLineChars="0"/>
        <w:rPr>
          <w:color w:val="auto"/>
        </w:rPr>
      </w:pPr>
    </w:p>
    <w:p w14:paraId="7B3F4809">
      <w:pPr>
        <w:pStyle w:val="15"/>
        <w:ind w:left="0" w:leftChars="0" w:firstLine="0" w:firstLineChars="0"/>
        <w:rPr>
          <w:rFonts w:ascii="宋体" w:hAnsi="宋体" w:eastAsia="宋体" w:cs="宋体"/>
          <w:color w:val="auto"/>
        </w:rPr>
      </w:pPr>
      <w:r>
        <w:rPr>
          <w:rFonts w:hint="eastAsia" w:ascii="宋体" w:hAnsi="宋体" w:eastAsia="宋体" w:cs="宋体"/>
          <w:color w:val="auto"/>
        </w:rPr>
        <w:t>附：法定代表人身份证复印件</w:t>
      </w:r>
    </w:p>
    <w:p w14:paraId="2F5E2DEB">
      <w:pPr>
        <w:adjustRightInd w:val="0"/>
        <w:snapToGrid w:val="0"/>
        <w:spacing w:line="360" w:lineRule="auto"/>
        <w:rPr>
          <w:rFonts w:ascii="宋体" w:hAnsi="宋体" w:cs="宋体"/>
          <w:color w:val="auto"/>
        </w:rPr>
        <w:sectPr>
          <w:pgSz w:w="11906" w:h="16838"/>
          <w:pgMar w:top="1440" w:right="1800" w:bottom="1440" w:left="1800" w:header="794" w:footer="992" w:gutter="0"/>
          <w:cols w:space="425" w:num="1"/>
          <w:docGrid w:type="lines" w:linePitch="312" w:charSpace="0"/>
        </w:sectPr>
      </w:pPr>
      <w:r>
        <w:rPr>
          <w:rFonts w:hint="eastAsia" w:ascii="宋体" w:hAnsi="宋体" w:cs="宋体"/>
          <w:color w:val="auto"/>
        </w:rPr>
        <w:t xml:space="preserve">    授权委托人身份证复印件</w:t>
      </w:r>
    </w:p>
    <w:p w14:paraId="0212AAF4">
      <w:pPr>
        <w:pStyle w:val="15"/>
        <w:rPr>
          <w:color w:val="auto"/>
        </w:rPr>
      </w:pPr>
    </w:p>
    <w:p w14:paraId="778F0077">
      <w:pPr>
        <w:pStyle w:val="31"/>
        <w:adjustRightInd w:val="0"/>
        <w:snapToGrid w:val="0"/>
        <w:spacing w:line="360" w:lineRule="auto"/>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格式5：法定代表人身份证明书</w:t>
      </w:r>
    </w:p>
    <w:p w14:paraId="6C41F327">
      <w:pPr>
        <w:adjustRightInd w:val="0"/>
        <w:snapToGrid w:val="0"/>
        <w:spacing w:line="360" w:lineRule="auto"/>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法定代表人身份证明书</w:t>
      </w:r>
    </w:p>
    <w:p w14:paraId="16DD5CA5">
      <w:pPr>
        <w:adjustRightInd w:val="0"/>
        <w:snapToGrid w:val="0"/>
        <w:spacing w:line="360" w:lineRule="auto"/>
        <w:rPr>
          <w:rFonts w:asciiTheme="minorEastAsia" w:hAnsiTheme="minorEastAsia" w:eastAsiaTheme="minorEastAsia" w:cstheme="minorEastAsia"/>
          <w:bCs/>
          <w:color w:val="auto"/>
          <w:szCs w:val="21"/>
        </w:rPr>
      </w:pPr>
    </w:p>
    <w:p w14:paraId="6033A15D">
      <w:pPr>
        <w:adjustRightInd w:val="0"/>
        <w:snapToGrid w:val="0"/>
        <w:spacing w:line="360" w:lineRule="auto"/>
        <w:rPr>
          <w:rFonts w:asciiTheme="minorEastAsia" w:hAnsiTheme="minorEastAsia" w:eastAsiaTheme="minorEastAsia" w:cstheme="minorEastAsia"/>
          <w:bCs/>
          <w:color w:val="auto"/>
          <w:szCs w:val="21"/>
          <w:u w:val="single"/>
        </w:rPr>
      </w:pPr>
      <w:r>
        <w:rPr>
          <w:rFonts w:hint="eastAsia" w:asciiTheme="minorEastAsia" w:hAnsiTheme="minorEastAsia" w:eastAsiaTheme="minorEastAsia" w:cstheme="minorEastAsia"/>
          <w:bCs/>
          <w:color w:val="auto"/>
          <w:szCs w:val="21"/>
        </w:rPr>
        <w:t xml:space="preserve">姓    名：性别：    年龄：    职务：    </w:t>
      </w:r>
    </w:p>
    <w:p w14:paraId="05A661B2">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系</w:t>
      </w:r>
      <w:r>
        <w:rPr>
          <w:rFonts w:hint="eastAsia" w:asciiTheme="minorEastAsia" w:hAnsiTheme="minorEastAsia" w:eastAsiaTheme="minorEastAsia" w:cstheme="minorEastAsia"/>
          <w:bCs/>
          <w:color w:val="auto"/>
          <w:szCs w:val="21"/>
          <w:u w:val="single"/>
        </w:rPr>
        <w:t xml:space="preserve">    （供应商名称）   </w:t>
      </w:r>
      <w:r>
        <w:rPr>
          <w:rFonts w:hint="eastAsia" w:asciiTheme="minorEastAsia" w:hAnsiTheme="minorEastAsia" w:eastAsiaTheme="minorEastAsia" w:cstheme="minorEastAsia"/>
          <w:bCs/>
          <w:color w:val="auto"/>
          <w:szCs w:val="21"/>
        </w:rPr>
        <w:t>的法定代表人。</w:t>
      </w:r>
    </w:p>
    <w:p w14:paraId="3BF923F8">
      <w:pPr>
        <w:adjustRightInd w:val="0"/>
        <w:snapToGrid w:val="0"/>
        <w:spacing w:line="360" w:lineRule="auto"/>
        <w:rPr>
          <w:rFonts w:asciiTheme="minorEastAsia" w:hAnsiTheme="minorEastAsia" w:eastAsiaTheme="minorEastAsia" w:cstheme="minorEastAsia"/>
          <w:bCs/>
          <w:color w:val="auto"/>
          <w:szCs w:val="21"/>
        </w:rPr>
      </w:pPr>
    </w:p>
    <w:p w14:paraId="6B4D70F5">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特此证明。</w:t>
      </w:r>
    </w:p>
    <w:p w14:paraId="3981ED03">
      <w:pPr>
        <w:adjustRightInd w:val="0"/>
        <w:snapToGrid w:val="0"/>
        <w:spacing w:line="360" w:lineRule="auto"/>
        <w:rPr>
          <w:rFonts w:asciiTheme="minorEastAsia" w:hAnsiTheme="minorEastAsia" w:eastAsiaTheme="minorEastAsia" w:cstheme="minorEastAsia"/>
          <w:bCs/>
          <w:color w:val="auto"/>
          <w:szCs w:val="21"/>
        </w:rPr>
      </w:pPr>
    </w:p>
    <w:p w14:paraId="4D2BD4B4">
      <w:pPr>
        <w:adjustRightInd w:val="0"/>
        <w:snapToGrid w:val="0"/>
        <w:spacing w:line="360" w:lineRule="auto"/>
        <w:rPr>
          <w:rFonts w:asciiTheme="minorEastAsia" w:hAnsiTheme="minorEastAsia" w:eastAsiaTheme="minorEastAsia" w:cstheme="minorEastAsia"/>
          <w:bCs/>
          <w:color w:val="auto"/>
          <w:szCs w:val="21"/>
        </w:rPr>
      </w:pPr>
    </w:p>
    <w:p w14:paraId="207DA18B">
      <w:pPr>
        <w:adjustRightInd w:val="0"/>
        <w:snapToGrid w:val="0"/>
        <w:spacing w:line="360" w:lineRule="auto"/>
        <w:rPr>
          <w:rFonts w:asciiTheme="minorEastAsia" w:hAnsiTheme="minorEastAsia" w:eastAsiaTheme="minorEastAsia" w:cstheme="minorEastAsia"/>
          <w:bCs/>
          <w:color w:val="auto"/>
          <w:szCs w:val="21"/>
        </w:rPr>
      </w:pPr>
    </w:p>
    <w:p w14:paraId="538C8A97">
      <w:pPr>
        <w:adjustRightInd w:val="0"/>
        <w:snapToGrid w:val="0"/>
        <w:spacing w:line="360" w:lineRule="auto"/>
        <w:rPr>
          <w:rFonts w:asciiTheme="minorEastAsia" w:hAnsiTheme="minorEastAsia" w:eastAsiaTheme="minorEastAsia" w:cstheme="minorEastAsia"/>
          <w:bCs/>
          <w:color w:val="auto"/>
          <w:szCs w:val="21"/>
        </w:rPr>
      </w:pPr>
    </w:p>
    <w:p w14:paraId="668FECC9">
      <w:pPr>
        <w:adjustRightInd w:val="0"/>
        <w:snapToGrid w:val="0"/>
        <w:spacing w:line="360" w:lineRule="auto"/>
        <w:rPr>
          <w:rFonts w:asciiTheme="minorEastAsia" w:hAnsiTheme="minorEastAsia" w:eastAsiaTheme="minorEastAsia" w:cstheme="minorEastAsia"/>
          <w:bCs/>
          <w:color w:val="auto"/>
          <w:szCs w:val="21"/>
        </w:rPr>
      </w:pPr>
    </w:p>
    <w:p w14:paraId="5097DDC5">
      <w:pPr>
        <w:adjustRightInd w:val="0"/>
        <w:snapToGrid w:val="0"/>
        <w:spacing w:line="360" w:lineRule="auto"/>
        <w:rPr>
          <w:rFonts w:asciiTheme="minorEastAsia" w:hAnsiTheme="minorEastAsia" w:eastAsiaTheme="minorEastAsia" w:cstheme="minorEastAsia"/>
          <w:bCs/>
          <w:color w:val="auto"/>
          <w:szCs w:val="21"/>
        </w:rPr>
      </w:pPr>
    </w:p>
    <w:p w14:paraId="18E11F6B">
      <w:pPr>
        <w:adjustRightInd w:val="0"/>
        <w:snapToGrid w:val="0"/>
        <w:spacing w:line="360" w:lineRule="auto"/>
        <w:rPr>
          <w:rFonts w:asciiTheme="minorEastAsia" w:hAnsiTheme="minorEastAsia" w:eastAsiaTheme="minorEastAsia" w:cstheme="minorEastAsia"/>
          <w:bCs/>
          <w:color w:val="auto"/>
          <w:szCs w:val="21"/>
        </w:rPr>
      </w:pPr>
    </w:p>
    <w:p w14:paraId="22444A20">
      <w:pPr>
        <w:adjustRightInd w:val="0"/>
        <w:snapToGrid w:val="0"/>
        <w:spacing w:line="360" w:lineRule="auto"/>
        <w:rPr>
          <w:rFonts w:asciiTheme="minorEastAsia" w:hAnsiTheme="minorEastAsia" w:eastAsiaTheme="minorEastAsia" w:cstheme="minorEastAsia"/>
          <w:bCs/>
          <w:color w:val="auto"/>
          <w:szCs w:val="21"/>
        </w:rPr>
      </w:pPr>
    </w:p>
    <w:p w14:paraId="7DFDFF3A">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供应商（公章）：                </w:t>
      </w:r>
    </w:p>
    <w:p w14:paraId="3BFCFF36">
      <w:pPr>
        <w:adjustRightInd w:val="0"/>
        <w:snapToGrid w:val="0"/>
        <w:spacing w:line="360" w:lineRule="auto"/>
        <w:rPr>
          <w:rFonts w:asciiTheme="minorEastAsia" w:hAnsiTheme="minorEastAsia" w:eastAsiaTheme="minorEastAsia" w:cstheme="minorEastAsia"/>
          <w:bCs/>
          <w:color w:val="auto"/>
          <w:szCs w:val="21"/>
        </w:rPr>
      </w:pPr>
    </w:p>
    <w:p w14:paraId="27DC7277">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日期：  2022 年  月  日</w:t>
      </w:r>
    </w:p>
    <w:p w14:paraId="42049B99">
      <w:pPr>
        <w:adjustRightInd w:val="0"/>
        <w:snapToGrid w:val="0"/>
        <w:spacing w:line="360" w:lineRule="auto"/>
        <w:rPr>
          <w:rFonts w:asciiTheme="minorEastAsia" w:hAnsiTheme="minorEastAsia" w:eastAsiaTheme="minorEastAsia" w:cstheme="minorEastAsia"/>
          <w:b/>
          <w:color w:val="auto"/>
          <w:szCs w:val="21"/>
        </w:rPr>
        <w:sectPr>
          <w:pgSz w:w="11906" w:h="16838"/>
          <w:pgMar w:top="1440" w:right="1800" w:bottom="1440" w:left="1800" w:header="794" w:footer="992" w:gutter="0"/>
          <w:cols w:space="425" w:num="1"/>
          <w:docGrid w:type="lines" w:linePitch="312" w:charSpace="0"/>
        </w:sectPr>
      </w:pPr>
    </w:p>
    <w:p w14:paraId="64FD3A5A">
      <w:pPr>
        <w:pStyle w:val="15"/>
        <w:ind w:left="0" w:leftChars="0" w:firstLine="0" w:firstLineChars="0"/>
        <w:rPr>
          <w:color w:val="auto"/>
        </w:rPr>
      </w:pPr>
      <w:r>
        <w:rPr>
          <w:rFonts w:hint="eastAsia" w:ascii="宋体" w:hAnsi="宋体" w:eastAsia="宋体" w:cs="宋体"/>
          <w:b/>
          <w:color w:val="auto"/>
        </w:rPr>
        <w:t xml:space="preserve">格式6：  </w:t>
      </w:r>
    </w:p>
    <w:p w14:paraId="1D970B86">
      <w:pPr>
        <w:spacing w:line="360" w:lineRule="auto"/>
        <w:jc w:val="center"/>
        <w:rPr>
          <w:rFonts w:ascii="宋体" w:hAnsi="宋体" w:cs="宋体"/>
          <w:b/>
          <w:bCs/>
          <w:color w:val="auto"/>
          <w:szCs w:val="21"/>
        </w:rPr>
      </w:pPr>
      <w:r>
        <w:rPr>
          <w:rFonts w:hint="eastAsia" w:ascii="宋体" w:hAnsi="宋体" w:cs="宋体"/>
          <w:b/>
          <w:bCs/>
          <w:color w:val="auto"/>
          <w:szCs w:val="21"/>
        </w:rPr>
        <w:t>资格承诺函</w:t>
      </w:r>
    </w:p>
    <w:p w14:paraId="5183D4F9">
      <w:pPr>
        <w:spacing w:line="360" w:lineRule="auto"/>
        <w:jc w:val="left"/>
        <w:rPr>
          <w:rFonts w:ascii="宋体" w:hAnsi="宋体" w:cs="宋体"/>
          <w:color w:val="auto"/>
          <w:szCs w:val="21"/>
        </w:rPr>
      </w:pPr>
    </w:p>
    <w:p w14:paraId="077DB566">
      <w:pPr>
        <w:spacing w:line="360" w:lineRule="auto"/>
        <w:jc w:val="left"/>
        <w:rPr>
          <w:rFonts w:ascii="宋体" w:hAnsi="宋体" w:cs="宋体"/>
          <w:color w:val="auto"/>
          <w:szCs w:val="21"/>
        </w:rPr>
      </w:pPr>
      <w:r>
        <w:rPr>
          <w:rFonts w:hint="eastAsia" w:ascii="宋体" w:hAnsi="宋体" w:cs="宋体"/>
          <w:color w:val="auto"/>
          <w:szCs w:val="21"/>
        </w:rPr>
        <w:t>致：</w:t>
      </w:r>
      <w:r>
        <w:rPr>
          <w:rFonts w:hint="eastAsia" w:ascii="宋体" w:hAnsi="宋体" w:cs="宋体"/>
          <w:color w:val="auto"/>
          <w:szCs w:val="21"/>
          <w:u w:val="single"/>
        </w:rPr>
        <w:t>（采购人、采购人）</w:t>
      </w:r>
    </w:p>
    <w:p w14:paraId="26AADDDC">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我单位参与</w:t>
      </w:r>
      <w:r>
        <w:rPr>
          <w:rFonts w:hint="eastAsia" w:ascii="宋体" w:hAnsi="宋体" w:cs="宋体"/>
          <w:color w:val="auto"/>
          <w:szCs w:val="21"/>
          <w:u w:val="single"/>
        </w:rPr>
        <w:t>（项目名称）（项目编号（分包号）： ）</w:t>
      </w:r>
      <w:r>
        <w:rPr>
          <w:rFonts w:hint="eastAsia" w:ascii="宋体" w:hAnsi="宋体" w:cs="宋体"/>
          <w:color w:val="auto"/>
          <w:szCs w:val="21"/>
        </w:rPr>
        <w:t>项目的采购活动，现承诺如下：</w:t>
      </w:r>
    </w:p>
    <w:p w14:paraId="5C43B7EC">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1.我单位具有符合《中华人民共和国政府采购法》《中华人民共和国政府采购法实施条例》及采购比选文件资格要求规定的良好的商业信誉和健全的财务会计制度。</w:t>
      </w:r>
    </w:p>
    <w:p w14:paraId="52BB9BF7">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2.我单位具有符合《中华人民共和国政府采购法》《中华人民共和国政府采购法实施条例》及采购比选文件资格要求规定的履行合同所必需的设备和专业技术能力。</w:t>
      </w:r>
    </w:p>
    <w:p w14:paraId="1D67CEDA">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3.我单位具有符合《中华人民共和国政府采购法》《中华人民共和国政府采购法实施条例》及采购比选文件资格要求规定的依法缴纳税收和社会保障资金的相关证明材料。</w:t>
      </w:r>
    </w:p>
    <w:p w14:paraId="32FF7AE9">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4.我单位符合《中华人民共和国政府采购法》《中华人民共和国政府采购法实施条例》及采购比选文件资格要求规定的在参加政府采购活动前三年内，在经营活动中没有重大违法记录。</w:t>
      </w:r>
    </w:p>
    <w:p w14:paraId="5C75B51B">
      <w:pPr>
        <w:spacing w:line="360" w:lineRule="auto"/>
        <w:ind w:firstLine="420" w:firstLineChars="200"/>
        <w:jc w:val="left"/>
        <w:rPr>
          <w:rFonts w:ascii="宋体" w:hAnsi="宋体" w:cs="宋体"/>
          <w:color w:val="auto"/>
          <w:szCs w:val="21"/>
        </w:rPr>
      </w:pPr>
      <w:r>
        <w:rPr>
          <w:rFonts w:hint="eastAsia" w:ascii="宋体" w:hAnsi="宋体" w:cs="宋体"/>
          <w:color w:val="auto"/>
          <w:szCs w:val="21"/>
        </w:rPr>
        <w:t>5.如违反上述承诺，同意将相关失信行为纳入海口市信用信息共享平台。</w:t>
      </w:r>
    </w:p>
    <w:p w14:paraId="41E89F88">
      <w:pPr>
        <w:spacing w:line="360" w:lineRule="auto"/>
        <w:ind w:firstLine="420" w:firstLineChars="200"/>
        <w:jc w:val="left"/>
        <w:rPr>
          <w:rFonts w:ascii="宋体" w:hAnsi="宋体" w:cs="宋体"/>
          <w:color w:val="auto"/>
          <w:szCs w:val="21"/>
        </w:rPr>
      </w:pPr>
      <w:r>
        <w:rPr>
          <w:rFonts w:hint="eastAsia" w:ascii="宋体" w:hAnsi="宋体" w:cs="宋体"/>
          <w:color w:val="auto"/>
          <w:szCs w:val="21"/>
        </w:rPr>
        <w:t>6.同意此承诺书在市公共资源中心的政府采购信息发布平台公示，接受社会各界监督。</w:t>
      </w:r>
    </w:p>
    <w:p w14:paraId="6228076C">
      <w:pPr>
        <w:spacing w:line="360" w:lineRule="auto"/>
        <w:ind w:firstLine="420" w:firstLineChars="200"/>
        <w:jc w:val="left"/>
        <w:rPr>
          <w:rFonts w:ascii="宋体" w:hAnsi="宋体" w:cs="宋体"/>
          <w:color w:val="auto"/>
          <w:szCs w:val="21"/>
        </w:rPr>
      </w:pPr>
      <w:r>
        <w:rPr>
          <w:rFonts w:hint="eastAsia" w:ascii="宋体" w:hAnsi="宋体" w:cs="宋体"/>
          <w:color w:val="auto"/>
          <w:szCs w:val="21"/>
        </w:rPr>
        <w:t>若我单位以上承诺不实，自愿承担提供虚假材料谋取中标、成交的法律责任。</w:t>
      </w:r>
    </w:p>
    <w:p w14:paraId="124C4775">
      <w:pPr>
        <w:spacing w:line="360" w:lineRule="auto"/>
        <w:rPr>
          <w:rFonts w:ascii="宋体" w:hAnsi="宋体" w:cs="宋体"/>
          <w:color w:val="auto"/>
          <w:szCs w:val="21"/>
        </w:rPr>
      </w:pPr>
    </w:p>
    <w:p w14:paraId="78AB2600">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承诺供应商（全称并加盖公章）：</w:t>
      </w:r>
    </w:p>
    <w:p w14:paraId="3770FA0E">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单位负责人或授权代表（签字）：</w:t>
      </w:r>
    </w:p>
    <w:p w14:paraId="2428809E">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日期：</w:t>
      </w:r>
    </w:p>
    <w:p w14:paraId="6AD3B4A6">
      <w:pPr>
        <w:adjustRightInd w:val="0"/>
        <w:snapToGrid w:val="0"/>
        <w:spacing w:line="360" w:lineRule="auto"/>
        <w:ind w:firstLine="420" w:firstLineChars="200"/>
        <w:rPr>
          <w:rFonts w:ascii="宋体" w:hAnsi="宋体" w:cs="宋体"/>
          <w:color w:val="auto"/>
          <w:szCs w:val="21"/>
        </w:rPr>
      </w:pPr>
    </w:p>
    <w:p w14:paraId="1D9DEFF3">
      <w:pPr>
        <w:pStyle w:val="15"/>
        <w:rPr>
          <w:rFonts w:ascii="宋体" w:hAnsi="宋体" w:eastAsia="宋体" w:cs="宋体"/>
          <w:bCs w:val="0"/>
          <w:color w:val="auto"/>
        </w:rPr>
        <w:sectPr>
          <w:pgSz w:w="11906" w:h="16838"/>
          <w:pgMar w:top="1440" w:right="1800" w:bottom="1440" w:left="1800" w:header="794" w:footer="992" w:gutter="0"/>
          <w:cols w:space="425" w:num="1"/>
          <w:docGrid w:type="lines" w:linePitch="312" w:charSpace="0"/>
        </w:sectPr>
      </w:pPr>
    </w:p>
    <w:p w14:paraId="76FD0860">
      <w:pPr>
        <w:adjustRightInd w:val="0"/>
        <w:snapToGrid w:val="0"/>
        <w:spacing w:line="360" w:lineRule="auto"/>
        <w:rPr>
          <w:rFonts w:asciiTheme="minorEastAsia" w:hAnsiTheme="minorEastAsia" w:eastAsiaTheme="minorEastAsia" w:cstheme="minorEastAsia"/>
          <w:b/>
          <w:color w:val="auto"/>
          <w:szCs w:val="21"/>
        </w:rPr>
      </w:pPr>
    </w:p>
    <w:p w14:paraId="24F6CA06">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
          <w:color w:val="auto"/>
          <w:szCs w:val="21"/>
        </w:rPr>
        <w:t>附件1：                     中小企业声明函（服务类）</w:t>
      </w:r>
    </w:p>
    <w:p w14:paraId="61499640">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w:t>
      </w:r>
    </w:p>
    <w:p w14:paraId="5FD0EAB1">
      <w:pPr>
        <w:adjustRightInd w:val="0"/>
        <w:snapToGrid w:val="0"/>
        <w:spacing w:line="360" w:lineRule="auto"/>
        <w:ind w:firstLine="630" w:firstLineChars="3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本公司郑重声明，根据《政府采购促进中小企业发展管理办法》（财库﹝2020﹞46 号）的规定，本公司参加</w:t>
      </w:r>
      <w:r>
        <w:rPr>
          <w:rFonts w:hint="eastAsia" w:asciiTheme="minorEastAsia" w:hAnsiTheme="minorEastAsia" w:eastAsiaTheme="minorEastAsia" w:cstheme="minorEastAsia"/>
          <w:bCs/>
          <w:color w:val="auto"/>
          <w:szCs w:val="21"/>
          <w:u w:val="single"/>
        </w:rPr>
        <w:t>（单位名称）</w:t>
      </w:r>
      <w:r>
        <w:rPr>
          <w:rFonts w:hint="eastAsia" w:asciiTheme="minorEastAsia" w:hAnsiTheme="minorEastAsia" w:eastAsiaTheme="minorEastAsia" w:cstheme="minorEastAsia"/>
          <w:bCs/>
          <w:color w:val="auto"/>
          <w:szCs w:val="21"/>
        </w:rPr>
        <w:t>的</w:t>
      </w:r>
      <w:r>
        <w:rPr>
          <w:rFonts w:hint="eastAsia" w:asciiTheme="minorEastAsia" w:hAnsiTheme="minorEastAsia" w:eastAsiaTheme="minorEastAsia" w:cstheme="minorEastAsia"/>
          <w:bCs/>
          <w:color w:val="auto"/>
          <w:szCs w:val="21"/>
          <w:u w:val="single"/>
        </w:rPr>
        <w:t>（项目名称、项目编号、包号）</w:t>
      </w:r>
      <w:r>
        <w:rPr>
          <w:rFonts w:hint="eastAsia" w:asciiTheme="minorEastAsia" w:hAnsiTheme="minorEastAsia" w:eastAsiaTheme="minorEastAsia" w:cstheme="minorEastAsia"/>
          <w:bCs/>
          <w:color w:val="auto"/>
          <w:szCs w:val="21"/>
        </w:rPr>
        <w:t>采购活动，服务全部由符合政策要求的中小企业承接。相关企业的具体情况如下：</w:t>
      </w:r>
    </w:p>
    <w:p w14:paraId="20E0911B">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w:t>
      </w:r>
      <w:r>
        <w:rPr>
          <w:rFonts w:hint="eastAsia" w:asciiTheme="minorEastAsia" w:hAnsiTheme="minorEastAsia" w:eastAsiaTheme="minorEastAsia" w:cstheme="minorEastAsia"/>
          <w:bCs/>
          <w:color w:val="auto"/>
          <w:szCs w:val="21"/>
          <w:u w:val="single"/>
        </w:rPr>
        <w:t>（标的名称）</w:t>
      </w:r>
      <w:r>
        <w:rPr>
          <w:rFonts w:hint="eastAsia" w:asciiTheme="minorEastAsia" w:hAnsiTheme="minorEastAsia" w:eastAsiaTheme="minorEastAsia" w:cstheme="minorEastAsia"/>
          <w:bCs/>
          <w:color w:val="auto"/>
          <w:szCs w:val="21"/>
        </w:rPr>
        <w:t>，属于</w:t>
      </w:r>
      <w:r>
        <w:rPr>
          <w:rFonts w:hint="eastAsia" w:asciiTheme="minorEastAsia" w:hAnsiTheme="minorEastAsia" w:eastAsiaTheme="minorEastAsia" w:cstheme="minorEastAsia"/>
          <w:bCs/>
          <w:color w:val="auto"/>
          <w:szCs w:val="21"/>
          <w:u w:val="single"/>
        </w:rPr>
        <w:t>（采购比选文件中明确的所属行业）</w:t>
      </w:r>
      <w:r>
        <w:rPr>
          <w:rFonts w:hint="eastAsia" w:asciiTheme="minorEastAsia" w:hAnsiTheme="minorEastAsia" w:eastAsiaTheme="minorEastAsia" w:cstheme="minorEastAsia"/>
          <w:bCs/>
          <w:color w:val="auto"/>
          <w:szCs w:val="21"/>
        </w:rPr>
        <w:t>；承接企业为</w:t>
      </w:r>
      <w:r>
        <w:rPr>
          <w:rFonts w:hint="eastAsia" w:asciiTheme="minorEastAsia" w:hAnsiTheme="minorEastAsia" w:eastAsiaTheme="minorEastAsia" w:cstheme="minorEastAsia"/>
          <w:bCs/>
          <w:color w:val="auto"/>
          <w:szCs w:val="21"/>
          <w:u w:val="single"/>
        </w:rPr>
        <w:t>（企业名称）</w:t>
      </w:r>
      <w:r>
        <w:rPr>
          <w:rFonts w:hint="eastAsia" w:asciiTheme="minorEastAsia" w:hAnsiTheme="minorEastAsia" w:eastAsiaTheme="minorEastAsia" w:cstheme="minorEastAsia"/>
          <w:bCs/>
          <w:color w:val="auto"/>
          <w:szCs w:val="21"/>
        </w:rPr>
        <w:t>，从业人员</w:t>
      </w:r>
      <w:r>
        <w:rPr>
          <w:rFonts w:hint="eastAsia"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rPr>
        <w:t>人，营业收入为</w:t>
      </w:r>
      <w:r>
        <w:rPr>
          <w:rFonts w:hint="eastAsia"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rPr>
        <w:t>万元，资产总额为</w:t>
      </w:r>
      <w:r>
        <w:rPr>
          <w:rFonts w:hint="eastAsia"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rPr>
        <w:t>万元，属于</w:t>
      </w:r>
      <w:r>
        <w:rPr>
          <w:rFonts w:hint="eastAsia" w:asciiTheme="minorEastAsia" w:hAnsiTheme="minorEastAsia" w:eastAsiaTheme="minorEastAsia" w:cstheme="minorEastAsia"/>
          <w:bCs/>
          <w:color w:val="auto"/>
          <w:szCs w:val="21"/>
          <w:u w:val="single"/>
        </w:rPr>
        <w:t>（中型企业、小型企业、微型企业）</w:t>
      </w:r>
      <w:r>
        <w:rPr>
          <w:rFonts w:hint="eastAsia" w:asciiTheme="minorEastAsia" w:hAnsiTheme="minorEastAsia" w:eastAsiaTheme="minorEastAsia" w:cstheme="minorEastAsia"/>
          <w:bCs/>
          <w:color w:val="auto"/>
          <w:szCs w:val="21"/>
        </w:rPr>
        <w:t>；</w:t>
      </w:r>
    </w:p>
    <w:p w14:paraId="080EDB3C">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以上企业，不属于大企业的分支机构，不存在控股股东为大企业的情形，也不存在与大企业的负责人为同一人的情形。</w:t>
      </w:r>
    </w:p>
    <w:p w14:paraId="0105B525">
      <w:pPr>
        <w:adjustRightInd w:val="0"/>
        <w:snapToGrid w:val="0"/>
        <w:spacing w:line="360" w:lineRule="auto"/>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本企业对上述声明内容的真实性负责。如有虚假，将依法承担相应责任。</w:t>
      </w:r>
    </w:p>
    <w:p w14:paraId="2EC55126">
      <w:pPr>
        <w:adjustRightInd w:val="0"/>
        <w:snapToGrid w:val="0"/>
        <w:spacing w:line="360" w:lineRule="auto"/>
        <w:ind w:firstLine="2940" w:firstLineChars="1400"/>
        <w:rPr>
          <w:rFonts w:asciiTheme="minorEastAsia" w:hAnsiTheme="minorEastAsia" w:eastAsiaTheme="minorEastAsia" w:cstheme="minorEastAsia"/>
          <w:bCs/>
          <w:color w:val="auto"/>
          <w:szCs w:val="21"/>
        </w:rPr>
      </w:pPr>
    </w:p>
    <w:p w14:paraId="38BBDFC8">
      <w:pPr>
        <w:pStyle w:val="6"/>
        <w:adjustRightInd w:val="0"/>
        <w:snapToGrid w:val="0"/>
        <w:spacing w:line="360" w:lineRule="auto"/>
        <w:ind w:firstLine="3990" w:firstLineChars="19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供应商名称（盖章）：</w:t>
      </w:r>
    </w:p>
    <w:p w14:paraId="4101281D">
      <w:pPr>
        <w:adjustRightInd w:val="0"/>
        <w:snapToGrid w:val="0"/>
        <w:spacing w:line="360" w:lineRule="auto"/>
        <w:ind w:firstLine="3990" w:firstLineChars="19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日期：</w:t>
      </w:r>
    </w:p>
    <w:p w14:paraId="78AE3C15">
      <w:pPr>
        <w:adjustRightInd w:val="0"/>
        <w:snapToGrid w:val="0"/>
        <w:spacing w:line="360" w:lineRule="auto"/>
        <w:rPr>
          <w:rFonts w:asciiTheme="minorEastAsia" w:hAnsiTheme="minorEastAsia" w:eastAsiaTheme="minorEastAsia" w:cstheme="minorEastAsia"/>
          <w:bCs/>
          <w:color w:val="auto"/>
          <w:szCs w:val="21"/>
        </w:rPr>
      </w:pPr>
    </w:p>
    <w:p w14:paraId="3AF767C9">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备注：</w:t>
      </w:r>
    </w:p>
    <w:p w14:paraId="73359D16">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①从业人员、营业收入、资产总额填报上一年度数据，无上一年度数据的新成立企业可不填报。</w:t>
      </w:r>
    </w:p>
    <w:p w14:paraId="2ED6F71C">
      <w:pPr>
        <w:adjustRightInd w:val="0"/>
        <w:snapToGrid w:val="0"/>
        <w:spacing w:line="360" w:lineRule="auto"/>
        <w:rPr>
          <w:rFonts w:asciiTheme="minorEastAsia" w:hAnsiTheme="minorEastAsia" w:eastAsiaTheme="minorEastAsia" w:cstheme="minorEastAsia"/>
          <w:bCs/>
          <w:color w:val="auto"/>
          <w:szCs w:val="21"/>
        </w:rPr>
        <w:sectPr>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color w:val="auto"/>
          <w:szCs w:val="21"/>
        </w:rPr>
        <w:t xml:space="preserve">②供应商提供《中小企业声明函》内容不实的，属于“隐瞒真实情况，提供虚假资料的” 情形，依照有关规定追究相应责任。 </w:t>
      </w:r>
    </w:p>
    <w:p w14:paraId="70852FF1">
      <w:pPr>
        <w:spacing w:after="156" w:afterLines="50" w:line="440" w:lineRule="exact"/>
        <w:outlineLvl w:val="1"/>
        <w:rPr>
          <w:rFonts w:ascii="宋体" w:hAnsi="宋体" w:cs="宋体"/>
          <w:b/>
          <w:bCs/>
          <w:color w:val="auto"/>
          <w:kern w:val="0"/>
          <w:sz w:val="30"/>
          <w:szCs w:val="30"/>
        </w:rPr>
      </w:pPr>
      <w:r>
        <w:rPr>
          <w:rFonts w:hint="eastAsia" w:asciiTheme="minorEastAsia" w:hAnsiTheme="minorEastAsia" w:eastAsiaTheme="minorEastAsia" w:cstheme="minorEastAsia"/>
          <w:b/>
          <w:color w:val="auto"/>
          <w:szCs w:val="21"/>
        </w:rPr>
        <w:t xml:space="preserve">附件2：  </w:t>
      </w:r>
      <w:r>
        <w:rPr>
          <w:rFonts w:hint="eastAsia" w:asciiTheme="minorEastAsia" w:hAnsiTheme="minorEastAsia" w:eastAsiaTheme="minorEastAsia" w:cstheme="minorEastAsia"/>
          <w:bCs/>
          <w:color w:val="auto"/>
          <w:szCs w:val="21"/>
        </w:rPr>
        <w:t xml:space="preserve">                     </w:t>
      </w:r>
      <w:r>
        <w:rPr>
          <w:rFonts w:hint="eastAsia" w:ascii="宋体" w:hAnsi="宋体" w:cs="宋体"/>
          <w:b/>
          <w:bCs/>
          <w:color w:val="auto"/>
          <w:sz w:val="30"/>
          <w:szCs w:val="30"/>
        </w:rPr>
        <w:t>监狱企业证明文件</w:t>
      </w:r>
    </w:p>
    <w:p w14:paraId="54CF013C">
      <w:pPr>
        <w:spacing w:after="156" w:afterLines="50" w:line="440" w:lineRule="exact"/>
        <w:rPr>
          <w:rFonts w:ascii="宋体" w:hAnsi="宋体" w:cs="宋体"/>
          <w:b/>
          <w:bCs/>
          <w:color w:val="auto"/>
          <w:kern w:val="0"/>
          <w:sz w:val="30"/>
          <w:szCs w:val="30"/>
        </w:rPr>
      </w:pPr>
    </w:p>
    <w:p w14:paraId="2864E2E8">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享受政策优惠的监狱企业须提供由省级以上监狱管理局、戒毒管理局（含新疆生产建设兵团）出具的属于监狱企业的证明文件。</w:t>
      </w:r>
    </w:p>
    <w:p w14:paraId="3295BC09">
      <w:pPr>
        <w:rPr>
          <w:color w:val="auto"/>
          <w:sz w:val="21"/>
          <w:szCs w:val="21"/>
        </w:rPr>
      </w:pPr>
    </w:p>
    <w:p w14:paraId="2A434C6A">
      <w:pPr>
        <w:rPr>
          <w:color w:val="auto"/>
        </w:rPr>
      </w:pPr>
    </w:p>
    <w:p w14:paraId="72D4360F">
      <w:pPr>
        <w:rPr>
          <w:color w:val="auto"/>
        </w:rPr>
      </w:pPr>
    </w:p>
    <w:p w14:paraId="01CD5AA6">
      <w:pPr>
        <w:rPr>
          <w:color w:val="auto"/>
        </w:rPr>
      </w:pPr>
    </w:p>
    <w:p w14:paraId="2C844D2E">
      <w:pPr>
        <w:rPr>
          <w:color w:val="auto"/>
        </w:rPr>
      </w:pPr>
    </w:p>
    <w:p w14:paraId="5479FE51">
      <w:pPr>
        <w:rPr>
          <w:color w:val="auto"/>
        </w:rPr>
      </w:pPr>
    </w:p>
    <w:p w14:paraId="6EF5D199">
      <w:pPr>
        <w:rPr>
          <w:color w:val="auto"/>
        </w:rPr>
      </w:pPr>
    </w:p>
    <w:p w14:paraId="06C81F91">
      <w:pPr>
        <w:rPr>
          <w:color w:val="auto"/>
        </w:rPr>
      </w:pPr>
    </w:p>
    <w:p w14:paraId="0F6133D8">
      <w:pPr>
        <w:rPr>
          <w:color w:val="auto"/>
        </w:rPr>
      </w:pPr>
    </w:p>
    <w:p w14:paraId="3668DD80">
      <w:pPr>
        <w:rPr>
          <w:color w:val="auto"/>
        </w:rPr>
      </w:pPr>
    </w:p>
    <w:p w14:paraId="27770BC7">
      <w:pPr>
        <w:rPr>
          <w:color w:val="auto"/>
        </w:rPr>
      </w:pPr>
    </w:p>
    <w:p w14:paraId="298CA909">
      <w:pPr>
        <w:rPr>
          <w:color w:val="auto"/>
        </w:rPr>
      </w:pPr>
    </w:p>
    <w:p w14:paraId="158AB16B">
      <w:pPr>
        <w:rPr>
          <w:color w:val="auto"/>
        </w:rPr>
      </w:pPr>
    </w:p>
    <w:p w14:paraId="1DB9D747">
      <w:pPr>
        <w:rPr>
          <w:color w:val="auto"/>
        </w:rPr>
      </w:pPr>
    </w:p>
    <w:p w14:paraId="0980DB7B">
      <w:pPr>
        <w:rPr>
          <w:color w:val="auto"/>
        </w:rPr>
      </w:pPr>
    </w:p>
    <w:p w14:paraId="5130F99C">
      <w:pPr>
        <w:rPr>
          <w:color w:val="auto"/>
        </w:rPr>
      </w:pPr>
    </w:p>
    <w:p w14:paraId="0B1FCD19">
      <w:pPr>
        <w:rPr>
          <w:color w:val="auto"/>
        </w:rPr>
      </w:pPr>
    </w:p>
    <w:p w14:paraId="694C3093">
      <w:pPr>
        <w:rPr>
          <w:color w:val="auto"/>
        </w:rPr>
      </w:pPr>
    </w:p>
    <w:p w14:paraId="16E794BB">
      <w:pPr>
        <w:rPr>
          <w:color w:val="auto"/>
        </w:rPr>
      </w:pPr>
    </w:p>
    <w:p w14:paraId="35702B9B">
      <w:pPr>
        <w:rPr>
          <w:color w:val="auto"/>
        </w:rPr>
      </w:pPr>
    </w:p>
    <w:p w14:paraId="2738016E">
      <w:pPr>
        <w:rPr>
          <w:color w:val="auto"/>
        </w:rPr>
      </w:pPr>
    </w:p>
    <w:p w14:paraId="2B8448F4">
      <w:pPr>
        <w:rPr>
          <w:color w:val="auto"/>
        </w:rPr>
      </w:pPr>
    </w:p>
    <w:p w14:paraId="06E4EF65">
      <w:pPr>
        <w:rPr>
          <w:color w:val="auto"/>
        </w:rPr>
      </w:pPr>
    </w:p>
    <w:p w14:paraId="0D9E6AEE">
      <w:pPr>
        <w:rPr>
          <w:color w:val="auto"/>
        </w:rPr>
      </w:pPr>
    </w:p>
    <w:p w14:paraId="38D9FC02">
      <w:pPr>
        <w:rPr>
          <w:color w:val="auto"/>
        </w:rPr>
      </w:pPr>
    </w:p>
    <w:p w14:paraId="4F270802">
      <w:pPr>
        <w:rPr>
          <w:color w:val="auto"/>
        </w:rPr>
      </w:pPr>
    </w:p>
    <w:p w14:paraId="58060E14">
      <w:pPr>
        <w:rPr>
          <w:color w:val="auto"/>
        </w:rPr>
      </w:pPr>
      <w:r>
        <w:rPr>
          <w:color w:val="auto"/>
        </w:rPr>
        <w:tab/>
      </w:r>
    </w:p>
    <w:p w14:paraId="46BF7A9D">
      <w:pPr>
        <w:rPr>
          <w:color w:val="auto"/>
        </w:rPr>
      </w:pPr>
    </w:p>
    <w:p w14:paraId="02263CD5">
      <w:pPr>
        <w:rPr>
          <w:color w:val="auto"/>
        </w:rPr>
      </w:pPr>
    </w:p>
    <w:p w14:paraId="2E2CFEF7">
      <w:pPr>
        <w:rPr>
          <w:color w:val="auto"/>
        </w:rPr>
      </w:pPr>
    </w:p>
    <w:p w14:paraId="13940EE4">
      <w:pPr>
        <w:rPr>
          <w:color w:val="auto"/>
        </w:rPr>
      </w:pPr>
    </w:p>
    <w:p w14:paraId="6843AB21">
      <w:pPr>
        <w:rPr>
          <w:color w:val="auto"/>
        </w:rPr>
      </w:pPr>
    </w:p>
    <w:p w14:paraId="42C6C7C1">
      <w:pPr>
        <w:rPr>
          <w:color w:val="auto"/>
        </w:rPr>
      </w:pPr>
    </w:p>
    <w:p w14:paraId="20140CBA">
      <w:pPr>
        <w:rPr>
          <w:color w:val="auto"/>
        </w:rPr>
      </w:pPr>
    </w:p>
    <w:p w14:paraId="24202CAA">
      <w:pPr>
        <w:pStyle w:val="7"/>
        <w:rPr>
          <w:rFonts w:asciiTheme="minorEastAsia" w:hAnsiTheme="minorEastAsia" w:eastAsiaTheme="minorEastAsia" w:cstheme="minorEastAsia"/>
          <w:bCs/>
          <w:color w:val="auto"/>
          <w:szCs w:val="21"/>
        </w:rPr>
      </w:pPr>
    </w:p>
    <w:p w14:paraId="4750E4B5">
      <w:pPr>
        <w:rPr>
          <w:color w:val="auto"/>
        </w:rPr>
      </w:pPr>
    </w:p>
    <w:p w14:paraId="793C802C">
      <w:pPr>
        <w:outlineLvl w:val="1"/>
        <w:rPr>
          <w:rFonts w:ascii="宋体" w:hAnsi="宋体" w:cs="宋体"/>
          <w:b/>
          <w:bCs/>
          <w:color w:val="auto"/>
          <w:sz w:val="30"/>
          <w:szCs w:val="30"/>
        </w:rPr>
      </w:pPr>
      <w:r>
        <w:rPr>
          <w:rFonts w:hint="eastAsia" w:asciiTheme="minorEastAsia" w:hAnsiTheme="minorEastAsia" w:eastAsiaTheme="minorEastAsia" w:cstheme="minorEastAsia"/>
          <w:b/>
          <w:color w:val="auto"/>
          <w:szCs w:val="21"/>
        </w:rPr>
        <w:t xml:space="preserve">附件3： </w:t>
      </w:r>
      <w:r>
        <w:rPr>
          <w:rFonts w:hint="eastAsia" w:asciiTheme="minorEastAsia" w:hAnsiTheme="minorEastAsia" w:eastAsiaTheme="minorEastAsia" w:cstheme="minorEastAsia"/>
          <w:bCs/>
          <w:color w:val="auto"/>
          <w:szCs w:val="21"/>
        </w:rPr>
        <w:t xml:space="preserve"> </w:t>
      </w:r>
      <w:r>
        <w:rPr>
          <w:rFonts w:hint="eastAsia" w:ascii="宋体" w:hAnsi="宋体" w:cs="宋体"/>
          <w:b/>
          <w:bCs/>
          <w:color w:val="auto"/>
          <w:sz w:val="30"/>
          <w:szCs w:val="30"/>
        </w:rPr>
        <w:t xml:space="preserve">       残疾人福利性单位声明函</w:t>
      </w:r>
    </w:p>
    <w:p w14:paraId="232AD457">
      <w:pPr>
        <w:spacing w:line="588" w:lineRule="exact"/>
        <w:ind w:firstLine="444" w:firstLineChars="200"/>
        <w:rPr>
          <w:rFonts w:ascii="宋体" w:hAnsi="宋体" w:cs="宋体"/>
          <w:color w:val="auto"/>
          <w:spacing w:val="6"/>
          <w:sz w:val="21"/>
          <w:szCs w:val="21"/>
        </w:rPr>
      </w:pPr>
      <w:r>
        <w:rPr>
          <w:rFonts w:hint="eastAsia" w:ascii="宋体" w:hAnsi="宋体" w:cs="宋体"/>
          <w:color w:val="auto"/>
          <w:spacing w:val="6"/>
          <w:sz w:val="21"/>
          <w:szCs w:val="21"/>
        </w:rPr>
        <w:t>本单位郑重声明，根据《财政部 民政部 中国残疾人联合会关于促进残疾人就业政府采购政策的通知》（财库</w:t>
      </w:r>
      <w:r>
        <w:rPr>
          <w:rFonts w:hint="eastAsia" w:ascii="宋体" w:hAnsi="宋体" w:cs="宋体"/>
          <w:color w:val="auto"/>
          <w:sz w:val="21"/>
          <w:szCs w:val="21"/>
        </w:rPr>
        <w:t>〔2017〕 141</w:t>
      </w:r>
      <w:r>
        <w:rPr>
          <w:rFonts w:hint="eastAsia" w:ascii="宋体" w:hAnsi="宋体" w:cs="宋体"/>
          <w:color w:val="auto"/>
          <w:spacing w:val="6"/>
          <w:sz w:val="21"/>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BBD5D87">
      <w:pPr>
        <w:spacing w:line="588" w:lineRule="exact"/>
        <w:ind w:firstLine="444" w:firstLineChars="200"/>
        <w:rPr>
          <w:rFonts w:ascii="宋体" w:hAnsi="宋体" w:cs="宋体"/>
          <w:color w:val="auto"/>
          <w:spacing w:val="6"/>
          <w:sz w:val="21"/>
          <w:szCs w:val="21"/>
        </w:rPr>
      </w:pPr>
      <w:r>
        <w:rPr>
          <w:rFonts w:hint="eastAsia" w:ascii="宋体" w:hAnsi="宋体" w:cs="宋体"/>
          <w:color w:val="auto"/>
          <w:spacing w:val="6"/>
          <w:sz w:val="21"/>
          <w:szCs w:val="21"/>
        </w:rPr>
        <w:t>本单位对上述声明的真实性负责。如有虚假，将依法承担相应责任。</w:t>
      </w:r>
    </w:p>
    <w:p w14:paraId="060A7112">
      <w:pPr>
        <w:spacing w:after="156" w:afterLines="50" w:line="440" w:lineRule="exact"/>
        <w:rPr>
          <w:rFonts w:ascii="宋体" w:hAnsi="宋体" w:cs="宋体"/>
          <w:b/>
          <w:bCs/>
          <w:color w:val="auto"/>
          <w:kern w:val="0"/>
          <w:sz w:val="21"/>
          <w:szCs w:val="21"/>
        </w:rPr>
      </w:pPr>
    </w:p>
    <w:p w14:paraId="6D1A81AD">
      <w:pPr>
        <w:spacing w:after="156" w:afterLines="50" w:line="440" w:lineRule="exact"/>
        <w:jc w:val="center"/>
        <w:rPr>
          <w:rFonts w:ascii="宋体" w:hAnsi="宋体" w:cs="宋体"/>
          <w:b/>
          <w:bCs/>
          <w:color w:val="auto"/>
          <w:kern w:val="0"/>
          <w:sz w:val="30"/>
          <w:szCs w:val="30"/>
        </w:rPr>
      </w:pPr>
    </w:p>
    <w:p w14:paraId="53F6E5B3">
      <w:pPr>
        <w:spacing w:after="156" w:afterLines="50" w:line="440" w:lineRule="exact"/>
        <w:jc w:val="center"/>
        <w:rPr>
          <w:rFonts w:ascii="宋体" w:hAnsi="宋体" w:cs="宋体"/>
          <w:b/>
          <w:bCs/>
          <w:color w:val="auto"/>
          <w:kern w:val="0"/>
          <w:sz w:val="30"/>
          <w:szCs w:val="30"/>
        </w:rPr>
      </w:pPr>
    </w:p>
    <w:p w14:paraId="738115D5">
      <w:pPr>
        <w:spacing w:after="140" w:line="360" w:lineRule="auto"/>
        <w:ind w:left="-5" w:hanging="10"/>
        <w:jc w:val="center"/>
        <w:rPr>
          <w:rFonts w:ascii="宋体" w:hAnsi="宋体" w:cs="宋体"/>
          <w:color w:val="auto"/>
        </w:rPr>
      </w:pPr>
      <w:r>
        <w:rPr>
          <w:rFonts w:hint="eastAsia" w:ascii="宋体" w:hAnsi="宋体" w:cs="宋体"/>
          <w:color w:val="auto"/>
          <w:sz w:val="24"/>
        </w:rPr>
        <w:t xml:space="preserve">         </w:t>
      </w:r>
      <w:r>
        <w:rPr>
          <w:rFonts w:hint="eastAsia" w:ascii="宋体" w:hAnsi="宋体" w:cs="宋体"/>
          <w:color w:val="auto"/>
          <w:sz w:val="24"/>
          <w:lang w:val="en-GB"/>
        </w:rPr>
        <w:t>供应商（全称并盖章）</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u w:val="single" w:color="000000"/>
        </w:rPr>
        <w:t xml:space="preserve">            </w:t>
      </w:r>
      <w:r>
        <w:rPr>
          <w:rFonts w:hint="eastAsia" w:ascii="宋体" w:hAnsi="宋体" w:cs="宋体"/>
          <w:color w:val="auto"/>
          <w:sz w:val="24"/>
        </w:rPr>
        <w:t xml:space="preserve"> </w:t>
      </w:r>
    </w:p>
    <w:p w14:paraId="285D0D56">
      <w:pPr>
        <w:spacing w:after="94" w:line="360" w:lineRule="auto"/>
        <w:ind w:left="480"/>
        <w:rPr>
          <w:rFonts w:ascii="宋体" w:hAnsi="宋体" w:cs="宋体"/>
          <w:color w:val="auto"/>
        </w:rPr>
      </w:pPr>
      <w:r>
        <w:rPr>
          <w:rFonts w:hint="eastAsia" w:ascii="宋体" w:hAnsi="宋体" w:cs="宋体"/>
          <w:color w:val="auto"/>
          <w:sz w:val="24"/>
        </w:rPr>
        <w:t xml:space="preserve"> </w:t>
      </w:r>
    </w:p>
    <w:p w14:paraId="37B0CF43">
      <w:pPr>
        <w:adjustRightInd w:val="0"/>
        <w:snapToGrid w:val="0"/>
        <w:spacing w:line="360" w:lineRule="auto"/>
        <w:rPr>
          <w:rFonts w:asciiTheme="minorEastAsia" w:hAnsiTheme="minorEastAsia" w:eastAsiaTheme="minorEastAsia" w:cstheme="minorEastAsia"/>
          <w:bCs/>
          <w:color w:val="auto"/>
          <w:szCs w:val="21"/>
        </w:rPr>
      </w:pPr>
      <w:r>
        <w:rPr>
          <w:rFonts w:hint="eastAsia" w:ascii="宋体" w:hAnsi="宋体" w:cs="宋体"/>
          <w:color w:val="auto"/>
          <w:sz w:val="24"/>
        </w:rPr>
        <w:t xml:space="preserve">                                 日 期：</w:t>
      </w:r>
    </w:p>
    <w:sectPr>
      <w:pgSz w:w="11906" w:h="16838"/>
      <w:pgMar w:top="1440" w:right="1800" w:bottom="1440" w:left="180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22C52">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D7854">
                          <w:pPr>
                            <w:pStyle w:val="11"/>
                          </w:pPr>
                          <w:r>
                            <w:rPr>
                              <w:rFonts w:hint="eastAsia"/>
                              <w:color w:val="000000"/>
                            </w:rPr>
                            <w:t xml:space="preserve">第 </w:t>
                          </w:r>
                          <w:r>
                            <w:rPr>
                              <w:rFonts w:hint="eastAsia"/>
                              <w:color w:val="000000"/>
                            </w:rPr>
                            <w:fldChar w:fldCharType="begin"/>
                          </w:r>
                          <w:r>
                            <w:rPr>
                              <w:rFonts w:hint="eastAsia"/>
                              <w:color w:val="000000"/>
                            </w:rPr>
                            <w:instrText xml:space="preserve"> PAGE  \* MERGEFORMAT </w:instrText>
                          </w:r>
                          <w:r>
                            <w:rPr>
                              <w:rFonts w:hint="eastAsia"/>
                              <w:color w:val="000000"/>
                            </w:rPr>
                            <w:fldChar w:fldCharType="separate"/>
                          </w:r>
                          <w:r>
                            <w:rPr>
                              <w:rFonts w:hint="eastAsia"/>
                              <w:color w:val="000000"/>
                            </w:rPr>
                            <w:t>1</w:t>
                          </w:r>
                          <w:r>
                            <w:rPr>
                              <w:rFonts w:hint="eastAsia"/>
                              <w:color w:val="000000"/>
                            </w:rPr>
                            <w:fldChar w:fldCharType="end"/>
                          </w:r>
                          <w:r>
                            <w:rPr>
                              <w:rFonts w:hint="eastAsia"/>
                              <w:color w:val="000000"/>
                            </w:rPr>
                            <w:t xml:space="preserve"> 页 共 </w:t>
                          </w:r>
                          <w:r>
                            <w:fldChar w:fldCharType="begin"/>
                          </w:r>
                          <w:r>
                            <w:instrText xml:space="preserve"> NUMPAGES  \* MERGEFORMAT </w:instrText>
                          </w:r>
                          <w:r>
                            <w:fldChar w:fldCharType="separate"/>
                          </w:r>
                          <w:r>
                            <w:rPr>
                              <w:rFonts w:hint="eastAsia"/>
                              <w:color w:val="000000"/>
                            </w:rPr>
                            <w:t>47</w:t>
                          </w:r>
                          <w:r>
                            <w:rPr>
                              <w:rFonts w:hint="eastAsia"/>
                              <w:color w:val="000000"/>
                            </w:rPr>
                            <w:fldChar w:fldCharType="end"/>
                          </w:r>
                          <w:r>
                            <w:rPr>
                              <w:rFonts w:hint="eastAsia"/>
                              <w:color w:val="00000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s2tsrAgAAVQQAAA4AAABkcnMvZTJvRG9jLnhtbK1UzY7TMBC+I/EO&#10;lu802QKrKmq6KlsVIVXsSgVxdh2nieQ/2W6T8gDwBpy4cN/n6nPwOT9dtHDYAxdn7Bl/M98348xv&#10;WiXJUThfG53Tq0lKidDcFLXe5/Tzp/WrGSU+MF0wabTI6Ul4erN4+WLe2ExMTWVkIRwBiPZZY3Na&#10;hWCzJPG8Eor5ibFCw1kap1jA1u2TwrEG6Eom0zS9ThrjCusMF97jdNU76YDongNoyrLmYmX4QQkd&#10;elQnJAug5Kvaerroqi1LwcNdWXoRiMwpmIZuRRLYu7gmiznL9o7ZquZDCew5JTzhpFitkfQCtWKB&#10;kYOr/4JSNXfGmzJMuFFJT6RTBCyu0ifabCtmRccFUnt7Ed3/P1j+8XjvSF1gEijRTKHh5x/fzz8f&#10;zr++kTdRnsb6DFFbi7jQvjNtDB3OPQ4j67Z0Kn7Bh8APcU8XcUUbCI+XZtPZLIWLwzdugJM8XrfO&#10;h/fCKBKNnDp0rxOVHTc+9KFjSMymzbqWEucsk5o0Ob1+/TbtLlw8AJcaOSKJvthohXbXDgx2pjiB&#10;mDP9ZHjL1zWSb5gP98xhFFAwHku4w1JKgyRmsCipjPv6r/MYjw7BS0mD0cqpxkuiRH7Q6BwAw2i4&#10;0diNhj6oW4NZRTdQS2figgtyNEtn1Be8oGXMARfTHJlyGkbzNvTjjRfIxXLZBWHWLAsbvbU8QkfF&#10;vF0eAgTsdI2i9EoMWmHaus4MLyOO85/7Lurxb7D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bNrbKwIAAFUEAAAOAAAAAAAAAAEAIAAAAB8BAABkcnMvZTJvRG9jLnhtbFBLBQYAAAAABgAG&#10;AFkBAAC8BQAAAAA=&#10;">
              <v:fill on="f" focussize="0,0"/>
              <v:stroke on="f" weight="0.5pt"/>
              <v:imagedata o:title=""/>
              <o:lock v:ext="edit" aspectratio="f"/>
              <v:textbox inset="0mm,0mm,0mm,0mm" style="mso-fit-shape-to-text:t;">
                <w:txbxContent>
                  <w:p w14:paraId="605D7854">
                    <w:pPr>
                      <w:pStyle w:val="11"/>
                    </w:pPr>
                    <w:r>
                      <w:rPr>
                        <w:rFonts w:hint="eastAsia"/>
                        <w:color w:val="000000"/>
                      </w:rPr>
                      <w:t xml:space="preserve">第 </w:t>
                    </w:r>
                    <w:r>
                      <w:rPr>
                        <w:rFonts w:hint="eastAsia"/>
                        <w:color w:val="000000"/>
                      </w:rPr>
                      <w:fldChar w:fldCharType="begin"/>
                    </w:r>
                    <w:r>
                      <w:rPr>
                        <w:rFonts w:hint="eastAsia"/>
                        <w:color w:val="000000"/>
                      </w:rPr>
                      <w:instrText xml:space="preserve"> PAGE  \* MERGEFORMAT </w:instrText>
                    </w:r>
                    <w:r>
                      <w:rPr>
                        <w:rFonts w:hint="eastAsia"/>
                        <w:color w:val="000000"/>
                      </w:rPr>
                      <w:fldChar w:fldCharType="separate"/>
                    </w:r>
                    <w:r>
                      <w:rPr>
                        <w:rFonts w:hint="eastAsia"/>
                        <w:color w:val="000000"/>
                      </w:rPr>
                      <w:t>1</w:t>
                    </w:r>
                    <w:r>
                      <w:rPr>
                        <w:rFonts w:hint="eastAsia"/>
                        <w:color w:val="000000"/>
                      </w:rPr>
                      <w:fldChar w:fldCharType="end"/>
                    </w:r>
                    <w:r>
                      <w:rPr>
                        <w:rFonts w:hint="eastAsia"/>
                        <w:color w:val="000000"/>
                      </w:rPr>
                      <w:t xml:space="preserve"> 页 共 </w:t>
                    </w:r>
                    <w:r>
                      <w:fldChar w:fldCharType="begin"/>
                    </w:r>
                    <w:r>
                      <w:instrText xml:space="preserve"> NUMPAGES  \* MERGEFORMAT </w:instrText>
                    </w:r>
                    <w:r>
                      <w:fldChar w:fldCharType="separate"/>
                    </w:r>
                    <w:r>
                      <w:rPr>
                        <w:rFonts w:hint="eastAsia"/>
                        <w:color w:val="000000"/>
                      </w:rPr>
                      <w:t>47</w:t>
                    </w:r>
                    <w:r>
                      <w:rPr>
                        <w:rFonts w:hint="eastAsia"/>
                        <w:color w:val="000000"/>
                      </w:rPr>
                      <w:fldChar w:fldCharType="end"/>
                    </w:r>
                    <w:r>
                      <w:rPr>
                        <w:rFonts w:hint="eastAsia"/>
                        <w:color w:val="000000"/>
                      </w:rPr>
                      <w:t xml:space="preserve"> 页</w:t>
                    </w:r>
                  </w:p>
                </w:txbxContent>
              </v:textbox>
            </v:shape>
          </w:pict>
        </mc:Fallback>
      </mc:AlternateContent>
    </w:r>
  </w:p>
  <w:p w14:paraId="26781C15">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4F561">
    <w:pPr>
      <w:pStyle w:val="1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98C6E">
                          <w:pPr>
                            <w:pStyle w:val="11"/>
                          </w:pPr>
                          <w:r>
                            <w:rPr>
                              <w:rFonts w:hint="eastAsia"/>
                              <w:color w:val="000000"/>
                            </w:rPr>
                            <w:t xml:space="preserve">第 </w:t>
                          </w:r>
                          <w:r>
                            <w:rPr>
                              <w:rFonts w:hint="eastAsia"/>
                              <w:color w:val="000000"/>
                            </w:rPr>
                            <w:fldChar w:fldCharType="begin"/>
                          </w:r>
                          <w:r>
                            <w:rPr>
                              <w:rFonts w:hint="eastAsia"/>
                              <w:color w:val="000000"/>
                            </w:rPr>
                            <w:instrText xml:space="preserve"> PAGE  \* MERGEFORMAT </w:instrText>
                          </w:r>
                          <w:r>
                            <w:rPr>
                              <w:rFonts w:hint="eastAsia"/>
                              <w:color w:val="000000"/>
                            </w:rPr>
                            <w:fldChar w:fldCharType="separate"/>
                          </w:r>
                          <w:r>
                            <w:rPr>
                              <w:rFonts w:hint="eastAsia"/>
                              <w:color w:val="000000"/>
                            </w:rPr>
                            <w:t>1</w:t>
                          </w:r>
                          <w:r>
                            <w:rPr>
                              <w:rFonts w:hint="eastAsia"/>
                              <w:color w:val="000000"/>
                            </w:rPr>
                            <w:fldChar w:fldCharType="end"/>
                          </w:r>
                          <w:r>
                            <w:rPr>
                              <w:rFonts w:hint="eastAsia"/>
                              <w:color w:val="000000"/>
                            </w:rPr>
                            <w:t xml:space="preserve"> 页 共 </w:t>
                          </w:r>
                          <w:r>
                            <w:fldChar w:fldCharType="begin"/>
                          </w:r>
                          <w:r>
                            <w:instrText xml:space="preserve"> NUMPAGES  \* MERGEFORMAT </w:instrText>
                          </w:r>
                          <w:r>
                            <w:fldChar w:fldCharType="separate"/>
                          </w:r>
                          <w:r>
                            <w:rPr>
                              <w:rFonts w:hint="eastAsia"/>
                              <w:color w:val="000000"/>
                            </w:rPr>
                            <w:t>47</w:t>
                          </w:r>
                          <w:r>
                            <w:rPr>
                              <w:rFonts w:hint="eastAsia"/>
                              <w:color w:val="000000"/>
                            </w:rPr>
                            <w:fldChar w:fldCharType="end"/>
                          </w:r>
                          <w:r>
                            <w:rPr>
                              <w:rFonts w:hint="eastAsia"/>
                              <w:color w:val="00000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etssAgAAV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pJZopFPz84/v5&#10;5+/zr2/kKsrTWD9H1INFXGjfmRZNM5x7HEbWbelU/IIPgR/ini7iijYQHi/NprPZGC4O37ABfvZ0&#10;3Tof3gujSDRy6lC9JCo7bn3oQoeQmE2bTS1lqqDUpMnp9durcbpw8QBcauSIJLrHRiu0u7ZntjPF&#10;CcSc6TrDW76pkXzLfLhnDq2AB2NYwh2WUhokMb1FSWXc13+dx3hUCF5KGrRWTjUmiRL5QaNyAAyD&#10;4QZjNxj6oG4NenWCIbQ8mbjgghzM0hn1BRO0ijngYpojU07DYN6Grr0xgVysVikIvWZZ2OoHyyN0&#10;FM/b1SFAwKRrFKVTotcK3ZYq009GbOc/9ynq6W+wf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z562ywCAABVBAAADgAAAAAAAAABACAAAAAfAQAAZHJzL2Uyb0RvYy54bWxQSwUGAAAAAAYA&#10;BgBZAQAAvQUAAAAA&#10;">
              <v:fill on="f" focussize="0,0"/>
              <v:stroke on="f" weight="0.5pt"/>
              <v:imagedata o:title=""/>
              <o:lock v:ext="edit" aspectratio="f"/>
              <v:textbox inset="0mm,0mm,0mm,0mm" style="mso-fit-shape-to-text:t;">
                <w:txbxContent>
                  <w:p w14:paraId="0F298C6E">
                    <w:pPr>
                      <w:pStyle w:val="11"/>
                    </w:pPr>
                    <w:r>
                      <w:rPr>
                        <w:rFonts w:hint="eastAsia"/>
                        <w:color w:val="000000"/>
                      </w:rPr>
                      <w:t xml:space="preserve">第 </w:t>
                    </w:r>
                    <w:r>
                      <w:rPr>
                        <w:rFonts w:hint="eastAsia"/>
                        <w:color w:val="000000"/>
                      </w:rPr>
                      <w:fldChar w:fldCharType="begin"/>
                    </w:r>
                    <w:r>
                      <w:rPr>
                        <w:rFonts w:hint="eastAsia"/>
                        <w:color w:val="000000"/>
                      </w:rPr>
                      <w:instrText xml:space="preserve"> PAGE  \* MERGEFORMAT </w:instrText>
                    </w:r>
                    <w:r>
                      <w:rPr>
                        <w:rFonts w:hint="eastAsia"/>
                        <w:color w:val="000000"/>
                      </w:rPr>
                      <w:fldChar w:fldCharType="separate"/>
                    </w:r>
                    <w:r>
                      <w:rPr>
                        <w:rFonts w:hint="eastAsia"/>
                        <w:color w:val="000000"/>
                      </w:rPr>
                      <w:t>1</w:t>
                    </w:r>
                    <w:r>
                      <w:rPr>
                        <w:rFonts w:hint="eastAsia"/>
                        <w:color w:val="000000"/>
                      </w:rPr>
                      <w:fldChar w:fldCharType="end"/>
                    </w:r>
                    <w:r>
                      <w:rPr>
                        <w:rFonts w:hint="eastAsia"/>
                        <w:color w:val="000000"/>
                      </w:rPr>
                      <w:t xml:space="preserve"> 页 共 </w:t>
                    </w:r>
                    <w:r>
                      <w:fldChar w:fldCharType="begin"/>
                    </w:r>
                    <w:r>
                      <w:instrText xml:space="preserve"> NUMPAGES  \* MERGEFORMAT </w:instrText>
                    </w:r>
                    <w:r>
                      <w:fldChar w:fldCharType="separate"/>
                    </w:r>
                    <w:r>
                      <w:rPr>
                        <w:rFonts w:hint="eastAsia"/>
                        <w:color w:val="000000"/>
                      </w:rPr>
                      <w:t>47</w:t>
                    </w:r>
                    <w:r>
                      <w:rPr>
                        <w:rFonts w:hint="eastAsia"/>
                        <w:color w:val="000000"/>
                      </w:rPr>
                      <w:fldChar w:fldCharType="end"/>
                    </w:r>
                    <w:r>
                      <w:rPr>
                        <w:rFonts w:hint="eastAsia"/>
                        <w:color w:val="000000"/>
                      </w:rPr>
                      <w:t xml:space="preserve"> 页</w:t>
                    </w:r>
                  </w:p>
                </w:txbxContent>
              </v:textbox>
            </v:shape>
          </w:pict>
        </mc:Fallback>
      </mc:AlternateContent>
    </w:r>
  </w:p>
  <w:p w14:paraId="72E46915">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43B0D">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670640">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fill on="f" focussize="0,0"/>
              <v:stroke on="f" weight="0.5pt"/>
              <v:imagedata o:title=""/>
              <o:lock v:ext="edit" aspectratio="f"/>
              <v:textbox inset="0mm,0mm,0mm,0mm" style="mso-fit-shape-to-text:t;">
                <w:txbxContent>
                  <w:p w14:paraId="7D670640">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v:textbox>
            </v:shape>
          </w:pict>
        </mc:Fallback>
      </mc:AlternateContent>
    </w:r>
  </w:p>
  <w:p w14:paraId="39EE7996">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E8DE5">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0039B">
                          <w:pPr>
                            <w:pStyle w:val="11"/>
                          </w:pPr>
                          <w:r>
                            <w:rPr>
                              <w:rFonts w:hint="eastAsia"/>
                              <w:color w:val="000000"/>
                            </w:rPr>
                            <w:t xml:space="preserve">第 </w:t>
                          </w:r>
                          <w:r>
                            <w:rPr>
                              <w:rFonts w:hint="eastAsia"/>
                              <w:color w:val="000000"/>
                            </w:rPr>
                            <w:fldChar w:fldCharType="begin"/>
                          </w:r>
                          <w:r>
                            <w:rPr>
                              <w:rFonts w:hint="eastAsia"/>
                              <w:color w:val="000000"/>
                            </w:rPr>
                            <w:instrText xml:space="preserve"> PAGE  \* MERGEFORMAT </w:instrText>
                          </w:r>
                          <w:r>
                            <w:rPr>
                              <w:rFonts w:hint="eastAsia"/>
                              <w:color w:val="000000"/>
                            </w:rPr>
                            <w:fldChar w:fldCharType="separate"/>
                          </w:r>
                          <w:r>
                            <w:rPr>
                              <w:rFonts w:hint="eastAsia"/>
                              <w:color w:val="000000"/>
                            </w:rPr>
                            <w:t>1</w:t>
                          </w:r>
                          <w:r>
                            <w:rPr>
                              <w:rFonts w:hint="eastAsia"/>
                              <w:color w:val="000000"/>
                            </w:rPr>
                            <w:fldChar w:fldCharType="end"/>
                          </w:r>
                          <w:r>
                            <w:rPr>
                              <w:rFonts w:hint="eastAsia"/>
                              <w:color w:val="000000"/>
                            </w:rPr>
                            <w:t xml:space="preserve"> 页 共 </w:t>
                          </w:r>
                          <w:r>
                            <w:fldChar w:fldCharType="begin"/>
                          </w:r>
                          <w:r>
                            <w:instrText xml:space="preserve"> NUMPAGES  \* MERGEFORMAT </w:instrText>
                          </w:r>
                          <w:r>
                            <w:fldChar w:fldCharType="separate"/>
                          </w:r>
                          <w:r>
                            <w:rPr>
                              <w:rFonts w:hint="eastAsia"/>
                              <w:color w:val="000000"/>
                            </w:rPr>
                            <w:t>47</w:t>
                          </w:r>
                          <w:r>
                            <w:rPr>
                              <w:rFonts w:hint="eastAsia"/>
                              <w:color w:val="000000"/>
                            </w:rPr>
                            <w:fldChar w:fldCharType="end"/>
                          </w:r>
                          <w:r>
                            <w:rPr>
                              <w:rFonts w:hint="eastAsia"/>
                              <w:color w:val="000000"/>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oq/srAgAAV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eUaKZQ8MuP75ef&#10;D5df38g0ylNbP0fUziIuNO9Mg6YZzj0OI+umcCp+wYfAD3HPV3FFEwiPl2aT2SyFi8M3bICfPF63&#10;zof3wigSjYw6VK8VlZ22PnShQ0jMps2mkrKtoNSkzuj09du0vXD1AFxq5IgkusdGKzT7pme2N/kZ&#10;xJzpOsNbvqmQfMt8uGcOrYAHY1jCHZZCGiQxvUVJadzXf53HeFQIXkpqtFZGNSaJEvlBo3IADIPh&#10;BmM/GPqobg16dYwhtLw1ccEFOZiFM+oLJmgVc8DFNEemjIbBvA1de2MCuVit2iD0mmVhq3eWR+go&#10;nrerY4CAra5RlE6JXit0W1uZfjJiO/+5b6Me/wb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b6Kv7KwIAAFUEAAAOAAAAAAAAAAEAIAAAAB8BAABkcnMvZTJvRG9jLnhtbFBLBQYAAAAABgAG&#10;AFkBAAC8BQAAAAA=&#10;">
              <v:fill on="f" focussize="0,0"/>
              <v:stroke on="f" weight="0.5pt"/>
              <v:imagedata o:title=""/>
              <o:lock v:ext="edit" aspectratio="f"/>
              <v:textbox inset="0mm,0mm,0mm,0mm" style="mso-fit-shape-to-text:t;">
                <w:txbxContent>
                  <w:p w14:paraId="0D70039B">
                    <w:pPr>
                      <w:pStyle w:val="11"/>
                    </w:pPr>
                    <w:r>
                      <w:rPr>
                        <w:rFonts w:hint="eastAsia"/>
                        <w:color w:val="000000"/>
                      </w:rPr>
                      <w:t xml:space="preserve">第 </w:t>
                    </w:r>
                    <w:r>
                      <w:rPr>
                        <w:rFonts w:hint="eastAsia"/>
                        <w:color w:val="000000"/>
                      </w:rPr>
                      <w:fldChar w:fldCharType="begin"/>
                    </w:r>
                    <w:r>
                      <w:rPr>
                        <w:rFonts w:hint="eastAsia"/>
                        <w:color w:val="000000"/>
                      </w:rPr>
                      <w:instrText xml:space="preserve"> PAGE  \* MERGEFORMAT </w:instrText>
                    </w:r>
                    <w:r>
                      <w:rPr>
                        <w:rFonts w:hint="eastAsia"/>
                        <w:color w:val="000000"/>
                      </w:rPr>
                      <w:fldChar w:fldCharType="separate"/>
                    </w:r>
                    <w:r>
                      <w:rPr>
                        <w:rFonts w:hint="eastAsia"/>
                        <w:color w:val="000000"/>
                      </w:rPr>
                      <w:t>1</w:t>
                    </w:r>
                    <w:r>
                      <w:rPr>
                        <w:rFonts w:hint="eastAsia"/>
                        <w:color w:val="000000"/>
                      </w:rPr>
                      <w:fldChar w:fldCharType="end"/>
                    </w:r>
                    <w:r>
                      <w:rPr>
                        <w:rFonts w:hint="eastAsia"/>
                        <w:color w:val="000000"/>
                      </w:rPr>
                      <w:t xml:space="preserve"> 页 共 </w:t>
                    </w:r>
                    <w:r>
                      <w:fldChar w:fldCharType="begin"/>
                    </w:r>
                    <w:r>
                      <w:instrText xml:space="preserve"> NUMPAGES  \* MERGEFORMAT </w:instrText>
                    </w:r>
                    <w:r>
                      <w:fldChar w:fldCharType="separate"/>
                    </w:r>
                    <w:r>
                      <w:rPr>
                        <w:rFonts w:hint="eastAsia"/>
                        <w:color w:val="000000"/>
                      </w:rPr>
                      <w:t>47</w:t>
                    </w:r>
                    <w:r>
                      <w:rPr>
                        <w:rFonts w:hint="eastAsia"/>
                        <w:color w:val="000000"/>
                      </w:rPr>
                      <w:fldChar w:fldCharType="end"/>
                    </w:r>
                    <w:r>
                      <w:rPr>
                        <w:rFonts w:hint="eastAsia"/>
                        <w:color w:val="000000"/>
                      </w:rPr>
                      <w:t xml:space="preserve"> 页</w:t>
                    </w:r>
                  </w:p>
                </w:txbxContent>
              </v:textbox>
            </v:shape>
          </w:pict>
        </mc:Fallback>
      </mc:AlternateContent>
    </w:r>
  </w:p>
  <w:p w14:paraId="338B39B4">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70745">
    <w:pPr>
      <w:pStyle w:val="12"/>
      <w:pBdr>
        <w:bottom w:val="none" w:color="auto" w:sz="0" w:space="1"/>
      </w:pBdr>
    </w:pPr>
    <w:r>
      <w:rPr>
        <w:sz w:val="21"/>
        <w:szCs w:val="21"/>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9AE7A">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75401">
    <w:pPr>
      <w:pStyle w:val="9"/>
      <w:outlineLvl w:val="0"/>
      <w:rPr>
        <w:rFonts w:hAnsi="宋体"/>
        <w:b/>
        <w:bCs/>
        <w:szCs w:val="21"/>
      </w:rPr>
    </w:pPr>
    <w:r>
      <w:rPr>
        <w:rFonts w:hint="eastAsia" w:hAnsi="宋体"/>
        <w:b/>
        <w:bCs/>
        <w:sz w:val="18"/>
        <w:szCs w:val="18"/>
      </w:rPr>
      <w:t>海</w:t>
    </w:r>
    <w:r>
      <w:rPr>
        <w:rFonts w:hint="eastAsia" w:hAnsi="宋体"/>
        <w:b/>
        <w:bCs/>
        <w:szCs w:val="21"/>
      </w:rPr>
      <w:t>口市政府采购中心                    海口市人民医院物业服务项目（C包 安保服务）</w:t>
    </w:r>
  </w:p>
  <w:p w14:paraId="314C13D5">
    <w:pPr>
      <w:pStyle w:val="9"/>
      <w:ind w:left="3975" w:leftChars="1893" w:firstLine="2741" w:firstLineChars="1300"/>
      <w:outlineLvl w:val="0"/>
      <w:rPr>
        <w:rFonts w:hAnsi="宋体"/>
        <w:b/>
        <w:bCs/>
        <w:szCs w:val="21"/>
      </w:rPr>
    </w:pPr>
    <w:r>
      <w:rPr>
        <w:rFonts w:hint="eastAsia" w:hAnsi="宋体"/>
        <w:b/>
        <w:bCs/>
        <w:szCs w:val="21"/>
      </w:rPr>
      <w:t>/HKGP-2021-0038</w:t>
    </w:r>
  </w:p>
  <w:p w14:paraId="417F704A">
    <w:pPr>
      <w:pStyle w:val="12"/>
      <w:pBdr>
        <w:bottom w:val="none" w:color="auto" w:sz="0" w:space="1"/>
      </w:pBdr>
    </w:pPr>
    <w:r>
      <w:rPr>
        <w:sz w:val="21"/>
        <w:szCs w:val="21"/>
      </w:rP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42BF8">
    <w:pPr>
      <w:pStyle w:val="9"/>
      <w:outlineLvl w:val="0"/>
      <w:rPr>
        <w:rFonts w:hAnsi="宋体"/>
        <w:b/>
        <w:bCs/>
        <w:szCs w:val="21"/>
      </w:rPr>
    </w:pPr>
    <w:r>
      <w:rPr>
        <w:rFonts w:hint="eastAsia" w:hAnsi="宋体"/>
        <w:b/>
        <w:bCs/>
        <w:sz w:val="18"/>
        <w:szCs w:val="18"/>
      </w:rPr>
      <w:t>海</w:t>
    </w:r>
    <w:r>
      <w:rPr>
        <w:rFonts w:hint="eastAsia" w:hAnsi="宋体"/>
        <w:b/>
        <w:bCs/>
        <w:szCs w:val="21"/>
      </w:rPr>
      <w:t>口市政府采购中心                    海口市人民医院物业服务项目（C包 安保服务）</w:t>
    </w:r>
  </w:p>
  <w:p w14:paraId="435BA94E">
    <w:pPr>
      <w:pStyle w:val="9"/>
      <w:ind w:left="3975" w:leftChars="1893" w:firstLine="2741" w:firstLineChars="1300"/>
      <w:outlineLvl w:val="0"/>
      <w:rPr>
        <w:rFonts w:hAnsi="宋体"/>
        <w:b/>
        <w:bCs/>
        <w:szCs w:val="21"/>
      </w:rPr>
    </w:pPr>
    <w:r>
      <w:rPr>
        <w:rFonts w:hint="eastAsia" w:hAnsi="宋体"/>
        <w:b/>
        <w:bCs/>
        <w:szCs w:val="21"/>
      </w:rPr>
      <w:t>/HKGP-2021-0038</w:t>
    </w:r>
  </w:p>
  <w:p w14:paraId="1AF183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DA633"/>
    <w:multiLevelType w:val="singleLevel"/>
    <w:tmpl w:val="0B6DA633"/>
    <w:lvl w:ilvl="0" w:tentative="0">
      <w:start w:val="7"/>
      <w:numFmt w:val="chineseCounting"/>
      <w:suff w:val="nothing"/>
      <w:lvlText w:val="%1、"/>
      <w:lvlJc w:val="left"/>
      <w:rPr>
        <w:rFonts w:hint="eastAsia"/>
      </w:rPr>
    </w:lvl>
  </w:abstractNum>
  <w:abstractNum w:abstractNumId="1">
    <w:nsid w:val="0D41D87C"/>
    <w:multiLevelType w:val="singleLevel"/>
    <w:tmpl w:val="0D41D87C"/>
    <w:lvl w:ilvl="0" w:tentative="0">
      <w:start w:val="1"/>
      <w:numFmt w:val="decimal"/>
      <w:lvlText w:val="%1."/>
      <w:lvlJc w:val="left"/>
      <w:pPr>
        <w:tabs>
          <w:tab w:val="left" w:pos="312"/>
        </w:tabs>
      </w:pPr>
    </w:lvl>
  </w:abstractNum>
  <w:abstractNum w:abstractNumId="2">
    <w:nsid w:val="1BD896DB"/>
    <w:multiLevelType w:val="singleLevel"/>
    <w:tmpl w:val="1BD896DB"/>
    <w:lvl w:ilvl="0" w:tentative="0">
      <w:start w:val="2"/>
      <w:numFmt w:val="chineseCounting"/>
      <w:suff w:val="nothing"/>
      <w:lvlText w:val="（%1）"/>
      <w:lvlJc w:val="left"/>
      <w:pPr>
        <w:ind w:left="-2"/>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xNWFhNzMwZTRkZTBkOGQ5MTUwMmVlYjFkMGFlYWMifQ=="/>
  </w:docVars>
  <w:rsids>
    <w:rsidRoot w:val="53E73F9D"/>
    <w:rsid w:val="000417AF"/>
    <w:rsid w:val="000667F7"/>
    <w:rsid w:val="000916B3"/>
    <w:rsid w:val="000B5F38"/>
    <w:rsid w:val="000B6DC9"/>
    <w:rsid w:val="000D3A08"/>
    <w:rsid w:val="000F7754"/>
    <w:rsid w:val="00116F1A"/>
    <w:rsid w:val="001556CE"/>
    <w:rsid w:val="002113B8"/>
    <w:rsid w:val="00231CAF"/>
    <w:rsid w:val="00232A6E"/>
    <w:rsid w:val="00243EAF"/>
    <w:rsid w:val="002448EE"/>
    <w:rsid w:val="0028478C"/>
    <w:rsid w:val="00296A5B"/>
    <w:rsid w:val="002A1CD8"/>
    <w:rsid w:val="002A547B"/>
    <w:rsid w:val="003127E7"/>
    <w:rsid w:val="003216DB"/>
    <w:rsid w:val="00345A22"/>
    <w:rsid w:val="003636FA"/>
    <w:rsid w:val="003958D3"/>
    <w:rsid w:val="003A7E1B"/>
    <w:rsid w:val="003C0F74"/>
    <w:rsid w:val="003C5980"/>
    <w:rsid w:val="003E2458"/>
    <w:rsid w:val="00407E90"/>
    <w:rsid w:val="00440741"/>
    <w:rsid w:val="00485BEF"/>
    <w:rsid w:val="004C1C33"/>
    <w:rsid w:val="004D498D"/>
    <w:rsid w:val="00534EA8"/>
    <w:rsid w:val="00574D66"/>
    <w:rsid w:val="005808A1"/>
    <w:rsid w:val="00597847"/>
    <w:rsid w:val="005A2B2F"/>
    <w:rsid w:val="005D103E"/>
    <w:rsid w:val="005F4489"/>
    <w:rsid w:val="006005A2"/>
    <w:rsid w:val="006256B3"/>
    <w:rsid w:val="00665ACA"/>
    <w:rsid w:val="00667859"/>
    <w:rsid w:val="006F0B13"/>
    <w:rsid w:val="0072275E"/>
    <w:rsid w:val="00722A41"/>
    <w:rsid w:val="00724A8D"/>
    <w:rsid w:val="0073425A"/>
    <w:rsid w:val="00737A5A"/>
    <w:rsid w:val="00744352"/>
    <w:rsid w:val="00747C68"/>
    <w:rsid w:val="00747E76"/>
    <w:rsid w:val="007504CE"/>
    <w:rsid w:val="00786724"/>
    <w:rsid w:val="0079248A"/>
    <w:rsid w:val="007A32CA"/>
    <w:rsid w:val="007C5C62"/>
    <w:rsid w:val="007D0BF1"/>
    <w:rsid w:val="007D0D76"/>
    <w:rsid w:val="007D2369"/>
    <w:rsid w:val="007F5C54"/>
    <w:rsid w:val="00801901"/>
    <w:rsid w:val="008102F1"/>
    <w:rsid w:val="008349E1"/>
    <w:rsid w:val="00847139"/>
    <w:rsid w:val="008B4306"/>
    <w:rsid w:val="008D5F4D"/>
    <w:rsid w:val="008D6242"/>
    <w:rsid w:val="008E3D72"/>
    <w:rsid w:val="008F3B2C"/>
    <w:rsid w:val="00923CCF"/>
    <w:rsid w:val="00960722"/>
    <w:rsid w:val="00991094"/>
    <w:rsid w:val="00997D30"/>
    <w:rsid w:val="009A08FC"/>
    <w:rsid w:val="009A1606"/>
    <w:rsid w:val="009B4088"/>
    <w:rsid w:val="009B786F"/>
    <w:rsid w:val="009C6B66"/>
    <w:rsid w:val="009F19E3"/>
    <w:rsid w:val="009F2374"/>
    <w:rsid w:val="009F3C24"/>
    <w:rsid w:val="00A01741"/>
    <w:rsid w:val="00A63F7E"/>
    <w:rsid w:val="00A70150"/>
    <w:rsid w:val="00A8066A"/>
    <w:rsid w:val="00A816E1"/>
    <w:rsid w:val="00AC500B"/>
    <w:rsid w:val="00AD201B"/>
    <w:rsid w:val="00AE1889"/>
    <w:rsid w:val="00B14591"/>
    <w:rsid w:val="00B41963"/>
    <w:rsid w:val="00B54CF6"/>
    <w:rsid w:val="00B63C81"/>
    <w:rsid w:val="00B92181"/>
    <w:rsid w:val="00BA5968"/>
    <w:rsid w:val="00BB1609"/>
    <w:rsid w:val="00BB2FB0"/>
    <w:rsid w:val="00BC4FAD"/>
    <w:rsid w:val="00BF3312"/>
    <w:rsid w:val="00C216DD"/>
    <w:rsid w:val="00C26B9D"/>
    <w:rsid w:val="00C36AC8"/>
    <w:rsid w:val="00C649A3"/>
    <w:rsid w:val="00CC1B29"/>
    <w:rsid w:val="00CD11F5"/>
    <w:rsid w:val="00CF3B3E"/>
    <w:rsid w:val="00D16F26"/>
    <w:rsid w:val="00D27D6E"/>
    <w:rsid w:val="00D32B5C"/>
    <w:rsid w:val="00D60327"/>
    <w:rsid w:val="00DA6E8D"/>
    <w:rsid w:val="00DA7A87"/>
    <w:rsid w:val="00DB5DE7"/>
    <w:rsid w:val="00DF1533"/>
    <w:rsid w:val="00DF551E"/>
    <w:rsid w:val="00E34EA2"/>
    <w:rsid w:val="00E5717F"/>
    <w:rsid w:val="00E76613"/>
    <w:rsid w:val="00E80370"/>
    <w:rsid w:val="00E8603C"/>
    <w:rsid w:val="00E865C2"/>
    <w:rsid w:val="00E97C6E"/>
    <w:rsid w:val="00EB39FC"/>
    <w:rsid w:val="00ED4FC3"/>
    <w:rsid w:val="00FA2EF1"/>
    <w:rsid w:val="00FC221A"/>
    <w:rsid w:val="00FE691B"/>
    <w:rsid w:val="012F0CEC"/>
    <w:rsid w:val="01317F69"/>
    <w:rsid w:val="014001AC"/>
    <w:rsid w:val="014E162F"/>
    <w:rsid w:val="0159347F"/>
    <w:rsid w:val="016C0FA1"/>
    <w:rsid w:val="01816A09"/>
    <w:rsid w:val="02213014"/>
    <w:rsid w:val="022D30DA"/>
    <w:rsid w:val="02455925"/>
    <w:rsid w:val="02497534"/>
    <w:rsid w:val="027C16B8"/>
    <w:rsid w:val="02D219C4"/>
    <w:rsid w:val="02D768EE"/>
    <w:rsid w:val="02DA018C"/>
    <w:rsid w:val="031B6356"/>
    <w:rsid w:val="03231259"/>
    <w:rsid w:val="033B0CFE"/>
    <w:rsid w:val="03404493"/>
    <w:rsid w:val="034F7EF4"/>
    <w:rsid w:val="03854560"/>
    <w:rsid w:val="03896828"/>
    <w:rsid w:val="03BF4CCA"/>
    <w:rsid w:val="03C14561"/>
    <w:rsid w:val="03E2554B"/>
    <w:rsid w:val="040D3C69"/>
    <w:rsid w:val="04261197"/>
    <w:rsid w:val="04630F4A"/>
    <w:rsid w:val="049B5476"/>
    <w:rsid w:val="04E03371"/>
    <w:rsid w:val="052D4ADE"/>
    <w:rsid w:val="05314529"/>
    <w:rsid w:val="05335E16"/>
    <w:rsid w:val="0539563E"/>
    <w:rsid w:val="054B711F"/>
    <w:rsid w:val="055E210C"/>
    <w:rsid w:val="056A57F8"/>
    <w:rsid w:val="058014BF"/>
    <w:rsid w:val="05856AD5"/>
    <w:rsid w:val="05940E2A"/>
    <w:rsid w:val="05E355AA"/>
    <w:rsid w:val="05F21DE6"/>
    <w:rsid w:val="05F36EF6"/>
    <w:rsid w:val="06450013"/>
    <w:rsid w:val="064E6865"/>
    <w:rsid w:val="064E6EC7"/>
    <w:rsid w:val="0661309E"/>
    <w:rsid w:val="06984B35"/>
    <w:rsid w:val="06BA5688"/>
    <w:rsid w:val="06EB2968"/>
    <w:rsid w:val="06EC4087"/>
    <w:rsid w:val="06F931DF"/>
    <w:rsid w:val="07050876"/>
    <w:rsid w:val="071D0355"/>
    <w:rsid w:val="07224C2D"/>
    <w:rsid w:val="073851BD"/>
    <w:rsid w:val="073F4A62"/>
    <w:rsid w:val="07B81042"/>
    <w:rsid w:val="07D16002"/>
    <w:rsid w:val="07D1641A"/>
    <w:rsid w:val="07D72EEC"/>
    <w:rsid w:val="07ED44BE"/>
    <w:rsid w:val="07F661BB"/>
    <w:rsid w:val="08007B78"/>
    <w:rsid w:val="080737D2"/>
    <w:rsid w:val="08105A97"/>
    <w:rsid w:val="081128A2"/>
    <w:rsid w:val="08145A20"/>
    <w:rsid w:val="082C0402"/>
    <w:rsid w:val="082C4653"/>
    <w:rsid w:val="085A2AEA"/>
    <w:rsid w:val="085A4AFD"/>
    <w:rsid w:val="08601134"/>
    <w:rsid w:val="089963F4"/>
    <w:rsid w:val="08A774AC"/>
    <w:rsid w:val="08DB2D17"/>
    <w:rsid w:val="08DC5BCE"/>
    <w:rsid w:val="08FD4BD5"/>
    <w:rsid w:val="090F409F"/>
    <w:rsid w:val="09385C0D"/>
    <w:rsid w:val="093C56FD"/>
    <w:rsid w:val="093F0D49"/>
    <w:rsid w:val="095C18FB"/>
    <w:rsid w:val="09601EFA"/>
    <w:rsid w:val="098B0432"/>
    <w:rsid w:val="09A068B5"/>
    <w:rsid w:val="09B37E23"/>
    <w:rsid w:val="09E414B0"/>
    <w:rsid w:val="09F558AC"/>
    <w:rsid w:val="09FC5A6D"/>
    <w:rsid w:val="0A026946"/>
    <w:rsid w:val="0A232419"/>
    <w:rsid w:val="0A2368BD"/>
    <w:rsid w:val="0A540824"/>
    <w:rsid w:val="0A586351"/>
    <w:rsid w:val="0A7A75DF"/>
    <w:rsid w:val="0A7B7C6C"/>
    <w:rsid w:val="0A89454C"/>
    <w:rsid w:val="0A9357F1"/>
    <w:rsid w:val="0AA52631"/>
    <w:rsid w:val="0AD87214"/>
    <w:rsid w:val="0AF21923"/>
    <w:rsid w:val="0AFD710E"/>
    <w:rsid w:val="0B00275A"/>
    <w:rsid w:val="0B882E7B"/>
    <w:rsid w:val="0B974E6D"/>
    <w:rsid w:val="0B9F6417"/>
    <w:rsid w:val="0BB7140A"/>
    <w:rsid w:val="0BBA0B5B"/>
    <w:rsid w:val="0BBC0022"/>
    <w:rsid w:val="0BD90EE9"/>
    <w:rsid w:val="0C1666D9"/>
    <w:rsid w:val="0C252478"/>
    <w:rsid w:val="0C282C80"/>
    <w:rsid w:val="0C48260B"/>
    <w:rsid w:val="0C5E3BDC"/>
    <w:rsid w:val="0C747BE1"/>
    <w:rsid w:val="0C796895"/>
    <w:rsid w:val="0C880C59"/>
    <w:rsid w:val="0C8D7232"/>
    <w:rsid w:val="0C8E2713"/>
    <w:rsid w:val="0C956CDB"/>
    <w:rsid w:val="0C9E593E"/>
    <w:rsid w:val="0CA05FA3"/>
    <w:rsid w:val="0CC7352F"/>
    <w:rsid w:val="0CC95340"/>
    <w:rsid w:val="0CE06855"/>
    <w:rsid w:val="0CF271BF"/>
    <w:rsid w:val="0D3A63F7"/>
    <w:rsid w:val="0D58062B"/>
    <w:rsid w:val="0D5F1E64"/>
    <w:rsid w:val="0D780CCE"/>
    <w:rsid w:val="0DB27913"/>
    <w:rsid w:val="0DBF06AB"/>
    <w:rsid w:val="0DCF4D92"/>
    <w:rsid w:val="0DCF60DD"/>
    <w:rsid w:val="0DFD1228"/>
    <w:rsid w:val="0E2B535C"/>
    <w:rsid w:val="0E39045D"/>
    <w:rsid w:val="0E3A41D5"/>
    <w:rsid w:val="0E603E62"/>
    <w:rsid w:val="0E7019A5"/>
    <w:rsid w:val="0E794CFD"/>
    <w:rsid w:val="0E903DF5"/>
    <w:rsid w:val="0EE26D46"/>
    <w:rsid w:val="0EEA5BFB"/>
    <w:rsid w:val="0F1A028E"/>
    <w:rsid w:val="0F242EBB"/>
    <w:rsid w:val="0F3B3D47"/>
    <w:rsid w:val="0F4814BC"/>
    <w:rsid w:val="0F4946D0"/>
    <w:rsid w:val="0FA43FFC"/>
    <w:rsid w:val="0FBF71DA"/>
    <w:rsid w:val="0FF24D67"/>
    <w:rsid w:val="100B407B"/>
    <w:rsid w:val="10234F21"/>
    <w:rsid w:val="104E667B"/>
    <w:rsid w:val="10575E20"/>
    <w:rsid w:val="105A2DDD"/>
    <w:rsid w:val="106611CB"/>
    <w:rsid w:val="10BD35C7"/>
    <w:rsid w:val="10E16B8A"/>
    <w:rsid w:val="112E6273"/>
    <w:rsid w:val="113722BE"/>
    <w:rsid w:val="113F685C"/>
    <w:rsid w:val="11601AD6"/>
    <w:rsid w:val="11621A79"/>
    <w:rsid w:val="116752E1"/>
    <w:rsid w:val="11E76422"/>
    <w:rsid w:val="12380801"/>
    <w:rsid w:val="12507C79"/>
    <w:rsid w:val="1254371D"/>
    <w:rsid w:val="125E4936"/>
    <w:rsid w:val="1262199D"/>
    <w:rsid w:val="126B7053"/>
    <w:rsid w:val="127E28E2"/>
    <w:rsid w:val="12865437"/>
    <w:rsid w:val="12943F88"/>
    <w:rsid w:val="12AB744F"/>
    <w:rsid w:val="12AF6F40"/>
    <w:rsid w:val="12BD6BF4"/>
    <w:rsid w:val="12C81DAF"/>
    <w:rsid w:val="12E070F9"/>
    <w:rsid w:val="130079F3"/>
    <w:rsid w:val="132D6E78"/>
    <w:rsid w:val="136F1CBA"/>
    <w:rsid w:val="137C0484"/>
    <w:rsid w:val="13962132"/>
    <w:rsid w:val="1399374C"/>
    <w:rsid w:val="139C4065"/>
    <w:rsid w:val="13A445CA"/>
    <w:rsid w:val="13AE71F7"/>
    <w:rsid w:val="14133E1E"/>
    <w:rsid w:val="1437327D"/>
    <w:rsid w:val="145A17F2"/>
    <w:rsid w:val="145A366F"/>
    <w:rsid w:val="14B33330"/>
    <w:rsid w:val="14B46A8F"/>
    <w:rsid w:val="14E24257"/>
    <w:rsid w:val="14F364DD"/>
    <w:rsid w:val="14FE41AE"/>
    <w:rsid w:val="150D5D06"/>
    <w:rsid w:val="1534372C"/>
    <w:rsid w:val="157F1A78"/>
    <w:rsid w:val="15AE1730"/>
    <w:rsid w:val="15D078F9"/>
    <w:rsid w:val="15DA2C5A"/>
    <w:rsid w:val="15F64E85"/>
    <w:rsid w:val="1605187F"/>
    <w:rsid w:val="16154877"/>
    <w:rsid w:val="16930926"/>
    <w:rsid w:val="16C0190D"/>
    <w:rsid w:val="16DC22CD"/>
    <w:rsid w:val="170F0CDD"/>
    <w:rsid w:val="17137D16"/>
    <w:rsid w:val="174560C4"/>
    <w:rsid w:val="179761F4"/>
    <w:rsid w:val="17B77DC6"/>
    <w:rsid w:val="17BD3EAD"/>
    <w:rsid w:val="186A144F"/>
    <w:rsid w:val="18812024"/>
    <w:rsid w:val="18866995"/>
    <w:rsid w:val="18BC5F12"/>
    <w:rsid w:val="18DA1062"/>
    <w:rsid w:val="18DF750D"/>
    <w:rsid w:val="19057B47"/>
    <w:rsid w:val="192E465C"/>
    <w:rsid w:val="19355CC5"/>
    <w:rsid w:val="19445F08"/>
    <w:rsid w:val="195A634B"/>
    <w:rsid w:val="196D1144"/>
    <w:rsid w:val="197467ED"/>
    <w:rsid w:val="199C16E9"/>
    <w:rsid w:val="199D5F29"/>
    <w:rsid w:val="19BB2F18"/>
    <w:rsid w:val="19CA28B1"/>
    <w:rsid w:val="19F3005A"/>
    <w:rsid w:val="1A0F4768"/>
    <w:rsid w:val="1A3B37AF"/>
    <w:rsid w:val="1A404921"/>
    <w:rsid w:val="1A5202FA"/>
    <w:rsid w:val="1A5F56EF"/>
    <w:rsid w:val="1A864A2A"/>
    <w:rsid w:val="1A937147"/>
    <w:rsid w:val="1A974E89"/>
    <w:rsid w:val="1AAC33FA"/>
    <w:rsid w:val="1AED0A61"/>
    <w:rsid w:val="1B056327"/>
    <w:rsid w:val="1B19589E"/>
    <w:rsid w:val="1B285AE1"/>
    <w:rsid w:val="1B4268A7"/>
    <w:rsid w:val="1B4B4FB2"/>
    <w:rsid w:val="1B4E010B"/>
    <w:rsid w:val="1B7A723A"/>
    <w:rsid w:val="1B99253B"/>
    <w:rsid w:val="1B9E715D"/>
    <w:rsid w:val="1BB9498B"/>
    <w:rsid w:val="1BCA0EFB"/>
    <w:rsid w:val="1BD6322C"/>
    <w:rsid w:val="1BDF0C37"/>
    <w:rsid w:val="1C180837"/>
    <w:rsid w:val="1C2244F6"/>
    <w:rsid w:val="1C2C33AF"/>
    <w:rsid w:val="1C362480"/>
    <w:rsid w:val="1C6670D2"/>
    <w:rsid w:val="1C9070D0"/>
    <w:rsid w:val="1CA52F76"/>
    <w:rsid w:val="1CAD6FA9"/>
    <w:rsid w:val="1CE67A02"/>
    <w:rsid w:val="1D234DCF"/>
    <w:rsid w:val="1D2D3ACF"/>
    <w:rsid w:val="1D350989"/>
    <w:rsid w:val="1D3A1AFC"/>
    <w:rsid w:val="1D644DCB"/>
    <w:rsid w:val="1D686A57"/>
    <w:rsid w:val="1D813BCE"/>
    <w:rsid w:val="1DE2494A"/>
    <w:rsid w:val="1E0740D4"/>
    <w:rsid w:val="1E1265D5"/>
    <w:rsid w:val="1E1A6270"/>
    <w:rsid w:val="1E576310"/>
    <w:rsid w:val="1E66393B"/>
    <w:rsid w:val="1E763007"/>
    <w:rsid w:val="1E8C6387"/>
    <w:rsid w:val="1E937715"/>
    <w:rsid w:val="1EB83740"/>
    <w:rsid w:val="1EC56452"/>
    <w:rsid w:val="1EED5392"/>
    <w:rsid w:val="1F226CEB"/>
    <w:rsid w:val="1F552C1D"/>
    <w:rsid w:val="1F9D2223"/>
    <w:rsid w:val="1FC96AD8"/>
    <w:rsid w:val="1FE15F3B"/>
    <w:rsid w:val="2031368A"/>
    <w:rsid w:val="203E5DA7"/>
    <w:rsid w:val="20C91B14"/>
    <w:rsid w:val="20D65FDF"/>
    <w:rsid w:val="21132956"/>
    <w:rsid w:val="211428BF"/>
    <w:rsid w:val="21202FCA"/>
    <w:rsid w:val="21386FFB"/>
    <w:rsid w:val="21515666"/>
    <w:rsid w:val="216655B5"/>
    <w:rsid w:val="217C5962"/>
    <w:rsid w:val="218E7936"/>
    <w:rsid w:val="219A0DBB"/>
    <w:rsid w:val="21B3342C"/>
    <w:rsid w:val="21E604A4"/>
    <w:rsid w:val="21ED1832"/>
    <w:rsid w:val="22193302"/>
    <w:rsid w:val="224A1874"/>
    <w:rsid w:val="22635651"/>
    <w:rsid w:val="228757E3"/>
    <w:rsid w:val="229B216B"/>
    <w:rsid w:val="22B13B13"/>
    <w:rsid w:val="22B66EF0"/>
    <w:rsid w:val="22BD1205"/>
    <w:rsid w:val="22DB78DD"/>
    <w:rsid w:val="233F1C1A"/>
    <w:rsid w:val="23405992"/>
    <w:rsid w:val="234271CB"/>
    <w:rsid w:val="23607DE2"/>
    <w:rsid w:val="237D267B"/>
    <w:rsid w:val="23827D58"/>
    <w:rsid w:val="238B212F"/>
    <w:rsid w:val="23BC2A5A"/>
    <w:rsid w:val="23C10881"/>
    <w:rsid w:val="23C93BD9"/>
    <w:rsid w:val="23CD07BD"/>
    <w:rsid w:val="23E10F23"/>
    <w:rsid w:val="23FC5D5D"/>
    <w:rsid w:val="24003A9F"/>
    <w:rsid w:val="24346E9F"/>
    <w:rsid w:val="2455546D"/>
    <w:rsid w:val="245925FC"/>
    <w:rsid w:val="245E5334"/>
    <w:rsid w:val="24774524"/>
    <w:rsid w:val="24DD793C"/>
    <w:rsid w:val="25030902"/>
    <w:rsid w:val="254257E5"/>
    <w:rsid w:val="256D095A"/>
    <w:rsid w:val="256F255E"/>
    <w:rsid w:val="25AE26C4"/>
    <w:rsid w:val="25B83F05"/>
    <w:rsid w:val="25D51472"/>
    <w:rsid w:val="25E0531F"/>
    <w:rsid w:val="261E020C"/>
    <w:rsid w:val="26306279"/>
    <w:rsid w:val="263B05DB"/>
    <w:rsid w:val="264A1001"/>
    <w:rsid w:val="264F15E3"/>
    <w:rsid w:val="26774ED4"/>
    <w:rsid w:val="26C37006"/>
    <w:rsid w:val="26EC20B9"/>
    <w:rsid w:val="26F02B5B"/>
    <w:rsid w:val="26F92A28"/>
    <w:rsid w:val="272F1FA5"/>
    <w:rsid w:val="27361586"/>
    <w:rsid w:val="273F0DA8"/>
    <w:rsid w:val="27433CA3"/>
    <w:rsid w:val="27460791"/>
    <w:rsid w:val="274F678B"/>
    <w:rsid w:val="275318CF"/>
    <w:rsid w:val="276E6F72"/>
    <w:rsid w:val="27743E5C"/>
    <w:rsid w:val="27C941A8"/>
    <w:rsid w:val="27D44B1C"/>
    <w:rsid w:val="280671AA"/>
    <w:rsid w:val="282A6111"/>
    <w:rsid w:val="28777AD4"/>
    <w:rsid w:val="287D015D"/>
    <w:rsid w:val="288B7471"/>
    <w:rsid w:val="288B76AF"/>
    <w:rsid w:val="28A92BCF"/>
    <w:rsid w:val="28B078C0"/>
    <w:rsid w:val="28FC235B"/>
    <w:rsid w:val="29335621"/>
    <w:rsid w:val="293755EF"/>
    <w:rsid w:val="296A3769"/>
    <w:rsid w:val="297213A4"/>
    <w:rsid w:val="298505A2"/>
    <w:rsid w:val="298A5CE1"/>
    <w:rsid w:val="29935745"/>
    <w:rsid w:val="299E0C30"/>
    <w:rsid w:val="29AF73CD"/>
    <w:rsid w:val="29B11398"/>
    <w:rsid w:val="29CB06AB"/>
    <w:rsid w:val="29CF2C9E"/>
    <w:rsid w:val="2A0C65CE"/>
    <w:rsid w:val="2A1060BE"/>
    <w:rsid w:val="2A1525B3"/>
    <w:rsid w:val="2A1F3C77"/>
    <w:rsid w:val="2A420242"/>
    <w:rsid w:val="2A467D32"/>
    <w:rsid w:val="2A770325"/>
    <w:rsid w:val="2A992557"/>
    <w:rsid w:val="2ACA0963"/>
    <w:rsid w:val="2ADE7F6A"/>
    <w:rsid w:val="2AFE060C"/>
    <w:rsid w:val="2B1971F4"/>
    <w:rsid w:val="2B1C6CE5"/>
    <w:rsid w:val="2B577739"/>
    <w:rsid w:val="2B6366C1"/>
    <w:rsid w:val="2B82420A"/>
    <w:rsid w:val="2B876854"/>
    <w:rsid w:val="2BC32FA6"/>
    <w:rsid w:val="2BDE0F2A"/>
    <w:rsid w:val="2C1F0ECB"/>
    <w:rsid w:val="2C22032B"/>
    <w:rsid w:val="2C2F0132"/>
    <w:rsid w:val="2C5129BE"/>
    <w:rsid w:val="2C5B48B1"/>
    <w:rsid w:val="2C635A6B"/>
    <w:rsid w:val="2C864D5D"/>
    <w:rsid w:val="2C9C63F2"/>
    <w:rsid w:val="2CDC497D"/>
    <w:rsid w:val="2CE95AE3"/>
    <w:rsid w:val="2D056A81"/>
    <w:rsid w:val="2D0D1210"/>
    <w:rsid w:val="2D205DF5"/>
    <w:rsid w:val="2D297497"/>
    <w:rsid w:val="2D6F2A08"/>
    <w:rsid w:val="2D7A708A"/>
    <w:rsid w:val="2D986A7C"/>
    <w:rsid w:val="2DAF2092"/>
    <w:rsid w:val="2DD31C58"/>
    <w:rsid w:val="2DD35D80"/>
    <w:rsid w:val="2E386100"/>
    <w:rsid w:val="2E3A4E93"/>
    <w:rsid w:val="2E7D5CEC"/>
    <w:rsid w:val="2E921BC1"/>
    <w:rsid w:val="2E9D3756"/>
    <w:rsid w:val="2EB912AE"/>
    <w:rsid w:val="2ED71151"/>
    <w:rsid w:val="2EFB0B3C"/>
    <w:rsid w:val="2F261EE0"/>
    <w:rsid w:val="2F3B21A6"/>
    <w:rsid w:val="2F5B4CE0"/>
    <w:rsid w:val="2F5C1340"/>
    <w:rsid w:val="2F6457B2"/>
    <w:rsid w:val="2F725125"/>
    <w:rsid w:val="2F8D101C"/>
    <w:rsid w:val="2F9039F3"/>
    <w:rsid w:val="2FD858D0"/>
    <w:rsid w:val="2FF4525E"/>
    <w:rsid w:val="300D4E4E"/>
    <w:rsid w:val="300D602F"/>
    <w:rsid w:val="30434F34"/>
    <w:rsid w:val="30534F57"/>
    <w:rsid w:val="30550CCF"/>
    <w:rsid w:val="30551C7E"/>
    <w:rsid w:val="305C1DF5"/>
    <w:rsid w:val="30890978"/>
    <w:rsid w:val="309537C1"/>
    <w:rsid w:val="30C330A2"/>
    <w:rsid w:val="30CB2D3F"/>
    <w:rsid w:val="30FF0C3A"/>
    <w:rsid w:val="31032820"/>
    <w:rsid w:val="310A7391"/>
    <w:rsid w:val="311741D6"/>
    <w:rsid w:val="3155572C"/>
    <w:rsid w:val="3163566D"/>
    <w:rsid w:val="317C672F"/>
    <w:rsid w:val="31820A9F"/>
    <w:rsid w:val="31847465"/>
    <w:rsid w:val="318555E4"/>
    <w:rsid w:val="31D976DD"/>
    <w:rsid w:val="31DE379A"/>
    <w:rsid w:val="321D581C"/>
    <w:rsid w:val="322C5A5F"/>
    <w:rsid w:val="323B5CA2"/>
    <w:rsid w:val="326E7E26"/>
    <w:rsid w:val="327D0402"/>
    <w:rsid w:val="32A61FCC"/>
    <w:rsid w:val="32A63A63"/>
    <w:rsid w:val="32C0465B"/>
    <w:rsid w:val="32CE6B16"/>
    <w:rsid w:val="32F12805"/>
    <w:rsid w:val="33000244"/>
    <w:rsid w:val="330864CC"/>
    <w:rsid w:val="3319111C"/>
    <w:rsid w:val="331C7AB8"/>
    <w:rsid w:val="33366578"/>
    <w:rsid w:val="33945FB2"/>
    <w:rsid w:val="33A63D3F"/>
    <w:rsid w:val="33AA7583"/>
    <w:rsid w:val="33D41912"/>
    <w:rsid w:val="33E34843"/>
    <w:rsid w:val="33F61B9F"/>
    <w:rsid w:val="340B78F6"/>
    <w:rsid w:val="341509AF"/>
    <w:rsid w:val="344A6670"/>
    <w:rsid w:val="348523D7"/>
    <w:rsid w:val="34864572"/>
    <w:rsid w:val="349D49F2"/>
    <w:rsid w:val="34B155AA"/>
    <w:rsid w:val="34BE18EB"/>
    <w:rsid w:val="34BF7A35"/>
    <w:rsid w:val="34C80E50"/>
    <w:rsid w:val="34DB1C6D"/>
    <w:rsid w:val="35095BB0"/>
    <w:rsid w:val="350D3521"/>
    <w:rsid w:val="350F14D7"/>
    <w:rsid w:val="35167E5E"/>
    <w:rsid w:val="35262805"/>
    <w:rsid w:val="35325A82"/>
    <w:rsid w:val="353A6D2D"/>
    <w:rsid w:val="35407683"/>
    <w:rsid w:val="354B6B44"/>
    <w:rsid w:val="35721391"/>
    <w:rsid w:val="357342CB"/>
    <w:rsid w:val="35956011"/>
    <w:rsid w:val="35A207D8"/>
    <w:rsid w:val="35A51DD0"/>
    <w:rsid w:val="35BF6BEA"/>
    <w:rsid w:val="35CC03C4"/>
    <w:rsid w:val="36162CAE"/>
    <w:rsid w:val="361B6516"/>
    <w:rsid w:val="36202DD1"/>
    <w:rsid w:val="3623361D"/>
    <w:rsid w:val="36345F74"/>
    <w:rsid w:val="363D46DF"/>
    <w:rsid w:val="366C2AF8"/>
    <w:rsid w:val="36720821"/>
    <w:rsid w:val="36E43B49"/>
    <w:rsid w:val="36EE7787"/>
    <w:rsid w:val="3708704A"/>
    <w:rsid w:val="37105321"/>
    <w:rsid w:val="371116C7"/>
    <w:rsid w:val="372C4753"/>
    <w:rsid w:val="375C0B95"/>
    <w:rsid w:val="375D7E76"/>
    <w:rsid w:val="37807888"/>
    <w:rsid w:val="37B207B5"/>
    <w:rsid w:val="37C96B2D"/>
    <w:rsid w:val="37F0121B"/>
    <w:rsid w:val="3801759B"/>
    <w:rsid w:val="3814321D"/>
    <w:rsid w:val="3825542A"/>
    <w:rsid w:val="38267DA4"/>
    <w:rsid w:val="38327B47"/>
    <w:rsid w:val="3869436C"/>
    <w:rsid w:val="38754CFF"/>
    <w:rsid w:val="388B18D0"/>
    <w:rsid w:val="389E51DD"/>
    <w:rsid w:val="38B8629F"/>
    <w:rsid w:val="38C56C0D"/>
    <w:rsid w:val="38CA6BA3"/>
    <w:rsid w:val="38D155B2"/>
    <w:rsid w:val="38D97FC3"/>
    <w:rsid w:val="38EF3348"/>
    <w:rsid w:val="38F36F52"/>
    <w:rsid w:val="392B3060"/>
    <w:rsid w:val="39317DFF"/>
    <w:rsid w:val="394B49F2"/>
    <w:rsid w:val="395D73C0"/>
    <w:rsid w:val="3964489B"/>
    <w:rsid w:val="396D4363"/>
    <w:rsid w:val="39785A2E"/>
    <w:rsid w:val="397D5C71"/>
    <w:rsid w:val="398C450B"/>
    <w:rsid w:val="39A248C6"/>
    <w:rsid w:val="39A27D95"/>
    <w:rsid w:val="39A30FAD"/>
    <w:rsid w:val="39DF76B4"/>
    <w:rsid w:val="39E76710"/>
    <w:rsid w:val="39E906DA"/>
    <w:rsid w:val="3A2A31CC"/>
    <w:rsid w:val="3A3B4A7C"/>
    <w:rsid w:val="3A3C4CAD"/>
    <w:rsid w:val="3A6366DE"/>
    <w:rsid w:val="3A971EE4"/>
    <w:rsid w:val="3A9C5889"/>
    <w:rsid w:val="3AA36ADA"/>
    <w:rsid w:val="3B0300BA"/>
    <w:rsid w:val="3B103205"/>
    <w:rsid w:val="3B2C125E"/>
    <w:rsid w:val="3B40382E"/>
    <w:rsid w:val="3B4909A7"/>
    <w:rsid w:val="3B706D2B"/>
    <w:rsid w:val="3B900E71"/>
    <w:rsid w:val="3B967BC8"/>
    <w:rsid w:val="3BA739C7"/>
    <w:rsid w:val="3BC1546A"/>
    <w:rsid w:val="3BC7074D"/>
    <w:rsid w:val="3BDA3232"/>
    <w:rsid w:val="3BF03FA1"/>
    <w:rsid w:val="3C0567E7"/>
    <w:rsid w:val="3C362D65"/>
    <w:rsid w:val="3C547DBA"/>
    <w:rsid w:val="3C5A7719"/>
    <w:rsid w:val="3C71787E"/>
    <w:rsid w:val="3C766FF7"/>
    <w:rsid w:val="3C8D359E"/>
    <w:rsid w:val="3CAB1C76"/>
    <w:rsid w:val="3CAB7854"/>
    <w:rsid w:val="3CAC611A"/>
    <w:rsid w:val="3CEC3782"/>
    <w:rsid w:val="3D005751"/>
    <w:rsid w:val="3D2E7CF5"/>
    <w:rsid w:val="3D6A7A3F"/>
    <w:rsid w:val="3D7604D6"/>
    <w:rsid w:val="3D7F382F"/>
    <w:rsid w:val="3D8475ED"/>
    <w:rsid w:val="3D9133ED"/>
    <w:rsid w:val="3D9A7407"/>
    <w:rsid w:val="3D9F5C7F"/>
    <w:rsid w:val="3DBA03C3"/>
    <w:rsid w:val="3DC254CA"/>
    <w:rsid w:val="3DC54FBA"/>
    <w:rsid w:val="3DC96858"/>
    <w:rsid w:val="3DE10046"/>
    <w:rsid w:val="3E0C29CB"/>
    <w:rsid w:val="3E133F77"/>
    <w:rsid w:val="3E1438A5"/>
    <w:rsid w:val="3E467EA9"/>
    <w:rsid w:val="3E5D0314"/>
    <w:rsid w:val="3E6622F9"/>
    <w:rsid w:val="3E6977ED"/>
    <w:rsid w:val="3EAA6689"/>
    <w:rsid w:val="3EB53979"/>
    <w:rsid w:val="3ED06C72"/>
    <w:rsid w:val="3ED94336"/>
    <w:rsid w:val="3EE15E23"/>
    <w:rsid w:val="3EE85802"/>
    <w:rsid w:val="3F055FB6"/>
    <w:rsid w:val="3F2A5A1C"/>
    <w:rsid w:val="3F450160"/>
    <w:rsid w:val="3F4563B2"/>
    <w:rsid w:val="3F4A7E6C"/>
    <w:rsid w:val="3F852C53"/>
    <w:rsid w:val="3F9179BC"/>
    <w:rsid w:val="3FAF7652"/>
    <w:rsid w:val="3FB91F06"/>
    <w:rsid w:val="3FDF3A18"/>
    <w:rsid w:val="3FEFF4CE"/>
    <w:rsid w:val="40095632"/>
    <w:rsid w:val="40143827"/>
    <w:rsid w:val="40172C0E"/>
    <w:rsid w:val="405A10B2"/>
    <w:rsid w:val="408F1FDB"/>
    <w:rsid w:val="40930E3F"/>
    <w:rsid w:val="40CE4185"/>
    <w:rsid w:val="40DE32EB"/>
    <w:rsid w:val="40EA7211"/>
    <w:rsid w:val="410302D3"/>
    <w:rsid w:val="412D71DE"/>
    <w:rsid w:val="416C485A"/>
    <w:rsid w:val="41721093"/>
    <w:rsid w:val="41A25A1E"/>
    <w:rsid w:val="41AF045B"/>
    <w:rsid w:val="41BE244C"/>
    <w:rsid w:val="41C9151C"/>
    <w:rsid w:val="41CA2B9F"/>
    <w:rsid w:val="41D5051C"/>
    <w:rsid w:val="41D93646"/>
    <w:rsid w:val="41E06866"/>
    <w:rsid w:val="41E33C60"/>
    <w:rsid w:val="41E55C2A"/>
    <w:rsid w:val="42244A26"/>
    <w:rsid w:val="422B280E"/>
    <w:rsid w:val="42420B28"/>
    <w:rsid w:val="424B0183"/>
    <w:rsid w:val="424B1F31"/>
    <w:rsid w:val="424C4B06"/>
    <w:rsid w:val="425D3A13"/>
    <w:rsid w:val="425F3C2F"/>
    <w:rsid w:val="42703D54"/>
    <w:rsid w:val="42CB6BCE"/>
    <w:rsid w:val="43215097"/>
    <w:rsid w:val="43335793"/>
    <w:rsid w:val="43504A5C"/>
    <w:rsid w:val="4352109E"/>
    <w:rsid w:val="437629AE"/>
    <w:rsid w:val="43776D56"/>
    <w:rsid w:val="43B458B4"/>
    <w:rsid w:val="43BE61A8"/>
    <w:rsid w:val="43D0692B"/>
    <w:rsid w:val="43D321DE"/>
    <w:rsid w:val="43DA56DD"/>
    <w:rsid w:val="44250560"/>
    <w:rsid w:val="442D019F"/>
    <w:rsid w:val="44370871"/>
    <w:rsid w:val="445F3A72"/>
    <w:rsid w:val="44801C3A"/>
    <w:rsid w:val="44AA1CB0"/>
    <w:rsid w:val="44CE24E4"/>
    <w:rsid w:val="44D16A09"/>
    <w:rsid w:val="44D90521"/>
    <w:rsid w:val="44E52F1F"/>
    <w:rsid w:val="44F56185"/>
    <w:rsid w:val="44FF0DB1"/>
    <w:rsid w:val="450E440F"/>
    <w:rsid w:val="451A3E3D"/>
    <w:rsid w:val="4541761C"/>
    <w:rsid w:val="45502007"/>
    <w:rsid w:val="455C26A8"/>
    <w:rsid w:val="4580392B"/>
    <w:rsid w:val="45883F8A"/>
    <w:rsid w:val="45A858ED"/>
    <w:rsid w:val="45B95404"/>
    <w:rsid w:val="45D71D2E"/>
    <w:rsid w:val="45EE7EF1"/>
    <w:rsid w:val="45F04858"/>
    <w:rsid w:val="4606799E"/>
    <w:rsid w:val="4629386F"/>
    <w:rsid w:val="46565349"/>
    <w:rsid w:val="466174A4"/>
    <w:rsid w:val="468B197E"/>
    <w:rsid w:val="46A63BDA"/>
    <w:rsid w:val="46AE2A8F"/>
    <w:rsid w:val="46C329DE"/>
    <w:rsid w:val="46C45110"/>
    <w:rsid w:val="46D52AA1"/>
    <w:rsid w:val="47040901"/>
    <w:rsid w:val="47046B53"/>
    <w:rsid w:val="470E5183"/>
    <w:rsid w:val="471E5E67"/>
    <w:rsid w:val="471F4F7F"/>
    <w:rsid w:val="473A2575"/>
    <w:rsid w:val="47413903"/>
    <w:rsid w:val="47462CC7"/>
    <w:rsid w:val="47501D1D"/>
    <w:rsid w:val="47887784"/>
    <w:rsid w:val="479B2B65"/>
    <w:rsid w:val="47BE6D02"/>
    <w:rsid w:val="47CF0F0F"/>
    <w:rsid w:val="47E241F2"/>
    <w:rsid w:val="47E67EE1"/>
    <w:rsid w:val="47F05DF8"/>
    <w:rsid w:val="4809553C"/>
    <w:rsid w:val="48147269"/>
    <w:rsid w:val="482E032B"/>
    <w:rsid w:val="484C22AF"/>
    <w:rsid w:val="48790E7B"/>
    <w:rsid w:val="488B7FA6"/>
    <w:rsid w:val="48AC59F4"/>
    <w:rsid w:val="48D164F6"/>
    <w:rsid w:val="49057F3E"/>
    <w:rsid w:val="49184B37"/>
    <w:rsid w:val="493D11A5"/>
    <w:rsid w:val="49497376"/>
    <w:rsid w:val="49557B3A"/>
    <w:rsid w:val="49641B2B"/>
    <w:rsid w:val="49913258"/>
    <w:rsid w:val="49926698"/>
    <w:rsid w:val="49AD56D2"/>
    <w:rsid w:val="49DF2FA3"/>
    <w:rsid w:val="49ED1963"/>
    <w:rsid w:val="49F41BF1"/>
    <w:rsid w:val="49FE18E4"/>
    <w:rsid w:val="4A2B6493"/>
    <w:rsid w:val="4A301A0D"/>
    <w:rsid w:val="4A394D65"/>
    <w:rsid w:val="4A570B81"/>
    <w:rsid w:val="4A596A5D"/>
    <w:rsid w:val="4A6C6EE9"/>
    <w:rsid w:val="4A721F71"/>
    <w:rsid w:val="4A742241"/>
    <w:rsid w:val="4A7D708F"/>
    <w:rsid w:val="4A7E09CA"/>
    <w:rsid w:val="4A82495E"/>
    <w:rsid w:val="4AA06B93"/>
    <w:rsid w:val="4ACC2191"/>
    <w:rsid w:val="4AD056CA"/>
    <w:rsid w:val="4AE42F23"/>
    <w:rsid w:val="4AFF5FAF"/>
    <w:rsid w:val="4B161C2E"/>
    <w:rsid w:val="4B4614E8"/>
    <w:rsid w:val="4B967555"/>
    <w:rsid w:val="4BA41081"/>
    <w:rsid w:val="4BAE7BD6"/>
    <w:rsid w:val="4BDE5BC4"/>
    <w:rsid w:val="4C1C049B"/>
    <w:rsid w:val="4C1E4213"/>
    <w:rsid w:val="4C3630B2"/>
    <w:rsid w:val="4C624E51"/>
    <w:rsid w:val="4C6F5D75"/>
    <w:rsid w:val="4C8614A0"/>
    <w:rsid w:val="4C87625C"/>
    <w:rsid w:val="4CAA3CF8"/>
    <w:rsid w:val="4CB90B4A"/>
    <w:rsid w:val="4CB9218D"/>
    <w:rsid w:val="4D011E35"/>
    <w:rsid w:val="4D1A70AD"/>
    <w:rsid w:val="4D3D4B6D"/>
    <w:rsid w:val="4D4A7A0C"/>
    <w:rsid w:val="4D4D66ED"/>
    <w:rsid w:val="4D502504"/>
    <w:rsid w:val="4D6C0FAE"/>
    <w:rsid w:val="4D896AAF"/>
    <w:rsid w:val="4D927727"/>
    <w:rsid w:val="4DB82445"/>
    <w:rsid w:val="4DBA3D68"/>
    <w:rsid w:val="4DC42B98"/>
    <w:rsid w:val="4DCE7CC5"/>
    <w:rsid w:val="4DDF58BD"/>
    <w:rsid w:val="4E295649"/>
    <w:rsid w:val="4E30022D"/>
    <w:rsid w:val="4E434405"/>
    <w:rsid w:val="4E604FB7"/>
    <w:rsid w:val="4E61488B"/>
    <w:rsid w:val="4E6323B1"/>
    <w:rsid w:val="4E6D51A2"/>
    <w:rsid w:val="4EAC01FC"/>
    <w:rsid w:val="4ECE0819"/>
    <w:rsid w:val="4EDE412D"/>
    <w:rsid w:val="4EFE032C"/>
    <w:rsid w:val="4EFF657E"/>
    <w:rsid w:val="4F330037"/>
    <w:rsid w:val="4F361873"/>
    <w:rsid w:val="4F4026F2"/>
    <w:rsid w:val="4F4C1097"/>
    <w:rsid w:val="4F6A776F"/>
    <w:rsid w:val="4F6B7B7D"/>
    <w:rsid w:val="4F840FDE"/>
    <w:rsid w:val="4F8A0ABB"/>
    <w:rsid w:val="4F8B179D"/>
    <w:rsid w:val="502B260A"/>
    <w:rsid w:val="503277C4"/>
    <w:rsid w:val="50707007"/>
    <w:rsid w:val="507B2035"/>
    <w:rsid w:val="5080549C"/>
    <w:rsid w:val="50D729C1"/>
    <w:rsid w:val="516E3547"/>
    <w:rsid w:val="5187033E"/>
    <w:rsid w:val="51B615DA"/>
    <w:rsid w:val="51CF5615"/>
    <w:rsid w:val="51D05FAF"/>
    <w:rsid w:val="51D41141"/>
    <w:rsid w:val="52021EE1"/>
    <w:rsid w:val="5206693A"/>
    <w:rsid w:val="52111515"/>
    <w:rsid w:val="52115DFD"/>
    <w:rsid w:val="523830D8"/>
    <w:rsid w:val="523C3645"/>
    <w:rsid w:val="52416EAD"/>
    <w:rsid w:val="525F10E1"/>
    <w:rsid w:val="52AD62F0"/>
    <w:rsid w:val="52EA12F3"/>
    <w:rsid w:val="52F14A35"/>
    <w:rsid w:val="534529CD"/>
    <w:rsid w:val="53453EF9"/>
    <w:rsid w:val="537868FE"/>
    <w:rsid w:val="537E7219"/>
    <w:rsid w:val="5386726D"/>
    <w:rsid w:val="53E144A4"/>
    <w:rsid w:val="53E73F9D"/>
    <w:rsid w:val="53F843AC"/>
    <w:rsid w:val="542B47E5"/>
    <w:rsid w:val="5463665A"/>
    <w:rsid w:val="546B6463"/>
    <w:rsid w:val="54737C15"/>
    <w:rsid w:val="5489364B"/>
    <w:rsid w:val="54974C26"/>
    <w:rsid w:val="54CD4A28"/>
    <w:rsid w:val="54D86D8D"/>
    <w:rsid w:val="54F26D5F"/>
    <w:rsid w:val="54F55D2D"/>
    <w:rsid w:val="5516017D"/>
    <w:rsid w:val="551B1C37"/>
    <w:rsid w:val="55216B22"/>
    <w:rsid w:val="552A00CC"/>
    <w:rsid w:val="554B067D"/>
    <w:rsid w:val="55583A1F"/>
    <w:rsid w:val="556C2493"/>
    <w:rsid w:val="55705033"/>
    <w:rsid w:val="557D70BE"/>
    <w:rsid w:val="55CE4587"/>
    <w:rsid w:val="55E464CD"/>
    <w:rsid w:val="561548D9"/>
    <w:rsid w:val="561D553B"/>
    <w:rsid w:val="5624337B"/>
    <w:rsid w:val="56332F20"/>
    <w:rsid w:val="563F3703"/>
    <w:rsid w:val="56860DC8"/>
    <w:rsid w:val="56991D7B"/>
    <w:rsid w:val="56D976B4"/>
    <w:rsid w:val="56E827E2"/>
    <w:rsid w:val="56E96FC6"/>
    <w:rsid w:val="57103B34"/>
    <w:rsid w:val="5714694D"/>
    <w:rsid w:val="57340E32"/>
    <w:rsid w:val="573945F7"/>
    <w:rsid w:val="573B2481"/>
    <w:rsid w:val="573E7E5F"/>
    <w:rsid w:val="57B91294"/>
    <w:rsid w:val="57E32448"/>
    <w:rsid w:val="57F86260"/>
    <w:rsid w:val="5809010E"/>
    <w:rsid w:val="581A4428"/>
    <w:rsid w:val="582726A1"/>
    <w:rsid w:val="582A0AC8"/>
    <w:rsid w:val="583152CE"/>
    <w:rsid w:val="583525C6"/>
    <w:rsid w:val="583F79A7"/>
    <w:rsid w:val="584C2108"/>
    <w:rsid w:val="584E7C2E"/>
    <w:rsid w:val="587F5C07"/>
    <w:rsid w:val="588E0FF2"/>
    <w:rsid w:val="589932BB"/>
    <w:rsid w:val="58AE4B70"/>
    <w:rsid w:val="58B73A25"/>
    <w:rsid w:val="58BF6D7E"/>
    <w:rsid w:val="58E83B45"/>
    <w:rsid w:val="58F5055B"/>
    <w:rsid w:val="58FC3E36"/>
    <w:rsid w:val="59264674"/>
    <w:rsid w:val="59413C36"/>
    <w:rsid w:val="59653481"/>
    <w:rsid w:val="596801AA"/>
    <w:rsid w:val="596F1852"/>
    <w:rsid w:val="597C6A1D"/>
    <w:rsid w:val="5992473D"/>
    <w:rsid w:val="59A26483"/>
    <w:rsid w:val="59D251A4"/>
    <w:rsid w:val="59ED3476"/>
    <w:rsid w:val="59EE16C8"/>
    <w:rsid w:val="5A16575C"/>
    <w:rsid w:val="5A166E71"/>
    <w:rsid w:val="5A175510"/>
    <w:rsid w:val="5A5F15A1"/>
    <w:rsid w:val="5A954EAF"/>
    <w:rsid w:val="5AAF6DFC"/>
    <w:rsid w:val="5ABB4A59"/>
    <w:rsid w:val="5AC230A5"/>
    <w:rsid w:val="5B070F30"/>
    <w:rsid w:val="5B1D06EE"/>
    <w:rsid w:val="5B3E7A46"/>
    <w:rsid w:val="5B4517BC"/>
    <w:rsid w:val="5B5419FF"/>
    <w:rsid w:val="5B8F6EDB"/>
    <w:rsid w:val="5B907B59"/>
    <w:rsid w:val="5BAB5771"/>
    <w:rsid w:val="5BE07737"/>
    <w:rsid w:val="5BFB5EB2"/>
    <w:rsid w:val="5C036F81"/>
    <w:rsid w:val="5C14118E"/>
    <w:rsid w:val="5C2313D1"/>
    <w:rsid w:val="5C495DD3"/>
    <w:rsid w:val="5C4A2E02"/>
    <w:rsid w:val="5C4E06E7"/>
    <w:rsid w:val="5C593A80"/>
    <w:rsid w:val="5C5E240A"/>
    <w:rsid w:val="5C8B76A2"/>
    <w:rsid w:val="5CAF2C65"/>
    <w:rsid w:val="5CE172C2"/>
    <w:rsid w:val="5CF50FC0"/>
    <w:rsid w:val="5D041CF2"/>
    <w:rsid w:val="5D272928"/>
    <w:rsid w:val="5D2B2C34"/>
    <w:rsid w:val="5D4D4958"/>
    <w:rsid w:val="5D4F03EF"/>
    <w:rsid w:val="5D861C18"/>
    <w:rsid w:val="5D905C05"/>
    <w:rsid w:val="5DA16A52"/>
    <w:rsid w:val="5DA87DE0"/>
    <w:rsid w:val="5DB03139"/>
    <w:rsid w:val="5DCD0AC1"/>
    <w:rsid w:val="5E02038B"/>
    <w:rsid w:val="5E3E0FB2"/>
    <w:rsid w:val="5EDD9BC7"/>
    <w:rsid w:val="5EE035AA"/>
    <w:rsid w:val="5EE67330"/>
    <w:rsid w:val="5EFD23AE"/>
    <w:rsid w:val="5F212FF8"/>
    <w:rsid w:val="5F5C0E82"/>
    <w:rsid w:val="5F751F44"/>
    <w:rsid w:val="5F8605F5"/>
    <w:rsid w:val="5F8B27B8"/>
    <w:rsid w:val="5FA6034F"/>
    <w:rsid w:val="5FAB005C"/>
    <w:rsid w:val="5FB52C88"/>
    <w:rsid w:val="5FB72636"/>
    <w:rsid w:val="600B3636"/>
    <w:rsid w:val="602F6597"/>
    <w:rsid w:val="60566219"/>
    <w:rsid w:val="6060486B"/>
    <w:rsid w:val="60762418"/>
    <w:rsid w:val="609B1E7E"/>
    <w:rsid w:val="60B604F9"/>
    <w:rsid w:val="60C77247"/>
    <w:rsid w:val="60DE7CF2"/>
    <w:rsid w:val="60EF5D26"/>
    <w:rsid w:val="60F872D1"/>
    <w:rsid w:val="60F90953"/>
    <w:rsid w:val="611E2E9B"/>
    <w:rsid w:val="612B0E8B"/>
    <w:rsid w:val="61605589"/>
    <w:rsid w:val="619D6AD3"/>
    <w:rsid w:val="619D7131"/>
    <w:rsid w:val="61B56F70"/>
    <w:rsid w:val="61DE071F"/>
    <w:rsid w:val="6218157F"/>
    <w:rsid w:val="62204E98"/>
    <w:rsid w:val="622D4D58"/>
    <w:rsid w:val="62553AB2"/>
    <w:rsid w:val="625934B1"/>
    <w:rsid w:val="62956105"/>
    <w:rsid w:val="62976675"/>
    <w:rsid w:val="62997C74"/>
    <w:rsid w:val="62A36DC8"/>
    <w:rsid w:val="62CD3EE9"/>
    <w:rsid w:val="62D13935"/>
    <w:rsid w:val="62E55633"/>
    <w:rsid w:val="63141A74"/>
    <w:rsid w:val="6333639E"/>
    <w:rsid w:val="634041A9"/>
    <w:rsid w:val="634560D1"/>
    <w:rsid w:val="63805167"/>
    <w:rsid w:val="63832876"/>
    <w:rsid w:val="63F91396"/>
    <w:rsid w:val="63FA7B87"/>
    <w:rsid w:val="640929F0"/>
    <w:rsid w:val="64267CB1"/>
    <w:rsid w:val="6429154F"/>
    <w:rsid w:val="645667E8"/>
    <w:rsid w:val="64610CE9"/>
    <w:rsid w:val="64A62BA0"/>
    <w:rsid w:val="64B905C0"/>
    <w:rsid w:val="64CF7BEB"/>
    <w:rsid w:val="65006754"/>
    <w:rsid w:val="6502427A"/>
    <w:rsid w:val="65187528"/>
    <w:rsid w:val="65516FAF"/>
    <w:rsid w:val="65556AA0"/>
    <w:rsid w:val="656C147B"/>
    <w:rsid w:val="657B5DDA"/>
    <w:rsid w:val="65832223"/>
    <w:rsid w:val="65856C59"/>
    <w:rsid w:val="659D21F5"/>
    <w:rsid w:val="65B23EF2"/>
    <w:rsid w:val="66201626"/>
    <w:rsid w:val="664A237C"/>
    <w:rsid w:val="664A7A0D"/>
    <w:rsid w:val="665A1E94"/>
    <w:rsid w:val="67065B78"/>
    <w:rsid w:val="67136C12"/>
    <w:rsid w:val="671A190B"/>
    <w:rsid w:val="6731767E"/>
    <w:rsid w:val="67335956"/>
    <w:rsid w:val="679A4C3E"/>
    <w:rsid w:val="67A23AF2"/>
    <w:rsid w:val="67D619EE"/>
    <w:rsid w:val="67F307F2"/>
    <w:rsid w:val="68012F0F"/>
    <w:rsid w:val="68016B77"/>
    <w:rsid w:val="68210EBB"/>
    <w:rsid w:val="68307014"/>
    <w:rsid w:val="683926A8"/>
    <w:rsid w:val="685957D6"/>
    <w:rsid w:val="687047EC"/>
    <w:rsid w:val="687C4343"/>
    <w:rsid w:val="68AB2E7A"/>
    <w:rsid w:val="68B00491"/>
    <w:rsid w:val="690C2F01"/>
    <w:rsid w:val="692769A5"/>
    <w:rsid w:val="692A3B68"/>
    <w:rsid w:val="693A4663"/>
    <w:rsid w:val="69823BDB"/>
    <w:rsid w:val="699B0FA7"/>
    <w:rsid w:val="699F0403"/>
    <w:rsid w:val="69E71C90"/>
    <w:rsid w:val="69EE301F"/>
    <w:rsid w:val="6A042842"/>
    <w:rsid w:val="6A257C7E"/>
    <w:rsid w:val="6AED0C62"/>
    <w:rsid w:val="6AF66468"/>
    <w:rsid w:val="6AF86E22"/>
    <w:rsid w:val="6B0B7C00"/>
    <w:rsid w:val="6B276638"/>
    <w:rsid w:val="6B5F2CBB"/>
    <w:rsid w:val="6B737C7F"/>
    <w:rsid w:val="6B850358"/>
    <w:rsid w:val="6BA23990"/>
    <w:rsid w:val="6BA92A8C"/>
    <w:rsid w:val="6BB42046"/>
    <w:rsid w:val="6BBF6B35"/>
    <w:rsid w:val="6BD40CFD"/>
    <w:rsid w:val="6BE566A3"/>
    <w:rsid w:val="6BEA5A68"/>
    <w:rsid w:val="6C2271E5"/>
    <w:rsid w:val="6C411B2C"/>
    <w:rsid w:val="6C6139A2"/>
    <w:rsid w:val="6C6B059F"/>
    <w:rsid w:val="6C7259E8"/>
    <w:rsid w:val="6C8B2DA7"/>
    <w:rsid w:val="6C8C5F63"/>
    <w:rsid w:val="6C9F6852"/>
    <w:rsid w:val="6CA87DFD"/>
    <w:rsid w:val="6CB5251A"/>
    <w:rsid w:val="6CD209D6"/>
    <w:rsid w:val="6CDA788A"/>
    <w:rsid w:val="6CF546C4"/>
    <w:rsid w:val="6CFA34DB"/>
    <w:rsid w:val="6CFD6829"/>
    <w:rsid w:val="6D0E5786"/>
    <w:rsid w:val="6D330230"/>
    <w:rsid w:val="6D332F6E"/>
    <w:rsid w:val="6D396B87"/>
    <w:rsid w:val="6D3C6797"/>
    <w:rsid w:val="6D877A12"/>
    <w:rsid w:val="6DA265FA"/>
    <w:rsid w:val="6DA5433C"/>
    <w:rsid w:val="6DB265D8"/>
    <w:rsid w:val="6DB301A4"/>
    <w:rsid w:val="6DC76061"/>
    <w:rsid w:val="6DC9627D"/>
    <w:rsid w:val="6DD84920"/>
    <w:rsid w:val="6DDB5D1F"/>
    <w:rsid w:val="6DDD7632"/>
    <w:rsid w:val="6DE24C48"/>
    <w:rsid w:val="6DE82115"/>
    <w:rsid w:val="6DF14E2F"/>
    <w:rsid w:val="6E1F4FB0"/>
    <w:rsid w:val="6E2A65EF"/>
    <w:rsid w:val="6E396833"/>
    <w:rsid w:val="6E465867"/>
    <w:rsid w:val="6E5246F3"/>
    <w:rsid w:val="6E7C7ABE"/>
    <w:rsid w:val="6E8126B3"/>
    <w:rsid w:val="6EC425A0"/>
    <w:rsid w:val="6ED0363B"/>
    <w:rsid w:val="6EED1AF7"/>
    <w:rsid w:val="6F041165"/>
    <w:rsid w:val="6F062BB9"/>
    <w:rsid w:val="6F3326BD"/>
    <w:rsid w:val="6F547DC8"/>
    <w:rsid w:val="6F5778B8"/>
    <w:rsid w:val="6F5B19D4"/>
    <w:rsid w:val="6F967AF5"/>
    <w:rsid w:val="6F9E54E7"/>
    <w:rsid w:val="6FA06B69"/>
    <w:rsid w:val="6FAF4FFE"/>
    <w:rsid w:val="6FB940CF"/>
    <w:rsid w:val="6FBD5643"/>
    <w:rsid w:val="6FC50CC6"/>
    <w:rsid w:val="6FDF215C"/>
    <w:rsid w:val="6FF979C2"/>
    <w:rsid w:val="703B4AE4"/>
    <w:rsid w:val="70480FAF"/>
    <w:rsid w:val="707123F1"/>
    <w:rsid w:val="70787AE6"/>
    <w:rsid w:val="70983CE4"/>
    <w:rsid w:val="70A709CF"/>
    <w:rsid w:val="70A95EF1"/>
    <w:rsid w:val="70AA1BAA"/>
    <w:rsid w:val="70C21E33"/>
    <w:rsid w:val="70EC28BD"/>
    <w:rsid w:val="71420EA7"/>
    <w:rsid w:val="7150639A"/>
    <w:rsid w:val="715504AF"/>
    <w:rsid w:val="717007BD"/>
    <w:rsid w:val="71793B16"/>
    <w:rsid w:val="71AA1F21"/>
    <w:rsid w:val="71B0505E"/>
    <w:rsid w:val="71B863AA"/>
    <w:rsid w:val="71B9524D"/>
    <w:rsid w:val="71CF3DD8"/>
    <w:rsid w:val="71D7083C"/>
    <w:rsid w:val="71D90A58"/>
    <w:rsid w:val="71FC6355"/>
    <w:rsid w:val="72044045"/>
    <w:rsid w:val="721C37B9"/>
    <w:rsid w:val="722630D5"/>
    <w:rsid w:val="722C745A"/>
    <w:rsid w:val="72343EE1"/>
    <w:rsid w:val="72440D8F"/>
    <w:rsid w:val="724701AA"/>
    <w:rsid w:val="725400DF"/>
    <w:rsid w:val="725E4ABA"/>
    <w:rsid w:val="72613BB4"/>
    <w:rsid w:val="72655E48"/>
    <w:rsid w:val="72686DCB"/>
    <w:rsid w:val="72734125"/>
    <w:rsid w:val="72834520"/>
    <w:rsid w:val="72890BE1"/>
    <w:rsid w:val="72916C3D"/>
    <w:rsid w:val="7297342D"/>
    <w:rsid w:val="72B8066E"/>
    <w:rsid w:val="72F86CBC"/>
    <w:rsid w:val="730750C4"/>
    <w:rsid w:val="730E028E"/>
    <w:rsid w:val="73337CF4"/>
    <w:rsid w:val="733D0171"/>
    <w:rsid w:val="733E411A"/>
    <w:rsid w:val="7368312F"/>
    <w:rsid w:val="73702CF6"/>
    <w:rsid w:val="73913267"/>
    <w:rsid w:val="73B459E2"/>
    <w:rsid w:val="73B74455"/>
    <w:rsid w:val="73BF1DDC"/>
    <w:rsid w:val="73C60B68"/>
    <w:rsid w:val="74153FE8"/>
    <w:rsid w:val="741C39F8"/>
    <w:rsid w:val="743B1556"/>
    <w:rsid w:val="74404DBF"/>
    <w:rsid w:val="744A1799"/>
    <w:rsid w:val="744D4DE6"/>
    <w:rsid w:val="74544D62"/>
    <w:rsid w:val="748D4891"/>
    <w:rsid w:val="74B143F2"/>
    <w:rsid w:val="74B34C91"/>
    <w:rsid w:val="74B6734E"/>
    <w:rsid w:val="74C6482B"/>
    <w:rsid w:val="74D06143"/>
    <w:rsid w:val="752320C7"/>
    <w:rsid w:val="7564688B"/>
    <w:rsid w:val="756E4256"/>
    <w:rsid w:val="75D723B2"/>
    <w:rsid w:val="75ED062E"/>
    <w:rsid w:val="76393941"/>
    <w:rsid w:val="76584AFD"/>
    <w:rsid w:val="767E397C"/>
    <w:rsid w:val="76911902"/>
    <w:rsid w:val="76AA29C3"/>
    <w:rsid w:val="76B92C06"/>
    <w:rsid w:val="76C137E3"/>
    <w:rsid w:val="76D57A40"/>
    <w:rsid w:val="76F459ED"/>
    <w:rsid w:val="770739C7"/>
    <w:rsid w:val="777F5BFE"/>
    <w:rsid w:val="77A318EC"/>
    <w:rsid w:val="78375191"/>
    <w:rsid w:val="783A5034"/>
    <w:rsid w:val="78752699"/>
    <w:rsid w:val="788A190E"/>
    <w:rsid w:val="788A6608"/>
    <w:rsid w:val="78B67C13"/>
    <w:rsid w:val="78C31B1A"/>
    <w:rsid w:val="78D027F0"/>
    <w:rsid w:val="78F61EF0"/>
    <w:rsid w:val="78F87A16"/>
    <w:rsid w:val="790E0FE8"/>
    <w:rsid w:val="79107D4E"/>
    <w:rsid w:val="791D747D"/>
    <w:rsid w:val="79353900"/>
    <w:rsid w:val="793F6CA3"/>
    <w:rsid w:val="794A04D7"/>
    <w:rsid w:val="79746535"/>
    <w:rsid w:val="797647ED"/>
    <w:rsid w:val="79814165"/>
    <w:rsid w:val="799C6F8D"/>
    <w:rsid w:val="7A13676F"/>
    <w:rsid w:val="7A387BE8"/>
    <w:rsid w:val="7A440A39"/>
    <w:rsid w:val="7A4D74CC"/>
    <w:rsid w:val="7A60559B"/>
    <w:rsid w:val="7AC843DE"/>
    <w:rsid w:val="7AD26045"/>
    <w:rsid w:val="7AD4000F"/>
    <w:rsid w:val="7AE9123F"/>
    <w:rsid w:val="7AED3D24"/>
    <w:rsid w:val="7AFC3A32"/>
    <w:rsid w:val="7B1162C1"/>
    <w:rsid w:val="7B237139"/>
    <w:rsid w:val="7B323F28"/>
    <w:rsid w:val="7B4D150D"/>
    <w:rsid w:val="7B504D7D"/>
    <w:rsid w:val="7B641393"/>
    <w:rsid w:val="7B95779E"/>
    <w:rsid w:val="7BB05565"/>
    <w:rsid w:val="7BB5399C"/>
    <w:rsid w:val="7BBB5446"/>
    <w:rsid w:val="7BE91898"/>
    <w:rsid w:val="7BEA3458"/>
    <w:rsid w:val="7C0163B0"/>
    <w:rsid w:val="7C025169"/>
    <w:rsid w:val="7C0E7550"/>
    <w:rsid w:val="7C464F3C"/>
    <w:rsid w:val="7C682867"/>
    <w:rsid w:val="7C6C7F23"/>
    <w:rsid w:val="7C9D7D81"/>
    <w:rsid w:val="7CA24505"/>
    <w:rsid w:val="7CA51C7D"/>
    <w:rsid w:val="7CC053D7"/>
    <w:rsid w:val="7CD05611"/>
    <w:rsid w:val="7CD95DB0"/>
    <w:rsid w:val="7CF46746"/>
    <w:rsid w:val="7D1747E5"/>
    <w:rsid w:val="7D470F6C"/>
    <w:rsid w:val="7D524A37"/>
    <w:rsid w:val="7D5B67C5"/>
    <w:rsid w:val="7D7B4F6A"/>
    <w:rsid w:val="7D7D0EC6"/>
    <w:rsid w:val="7D902913"/>
    <w:rsid w:val="7D9677FD"/>
    <w:rsid w:val="7DA418C3"/>
    <w:rsid w:val="7DD16A88"/>
    <w:rsid w:val="7DE60785"/>
    <w:rsid w:val="7DEA78A4"/>
    <w:rsid w:val="7DED1B13"/>
    <w:rsid w:val="7DEE3196"/>
    <w:rsid w:val="7E1370A0"/>
    <w:rsid w:val="7E292420"/>
    <w:rsid w:val="7E454CA6"/>
    <w:rsid w:val="7E5E47BF"/>
    <w:rsid w:val="7E6527BC"/>
    <w:rsid w:val="7E6E42D6"/>
    <w:rsid w:val="7E7A711F"/>
    <w:rsid w:val="7E8A55B4"/>
    <w:rsid w:val="7E8B0CEF"/>
    <w:rsid w:val="7EA93097"/>
    <w:rsid w:val="7ECA59B1"/>
    <w:rsid w:val="7F054669"/>
    <w:rsid w:val="7F143F12"/>
    <w:rsid w:val="7F1E73A2"/>
    <w:rsid w:val="7F29005F"/>
    <w:rsid w:val="7F380545"/>
    <w:rsid w:val="7F3B36EE"/>
    <w:rsid w:val="7F5F4A2E"/>
    <w:rsid w:val="7F671451"/>
    <w:rsid w:val="7F6A4A9D"/>
    <w:rsid w:val="7F7E679B"/>
    <w:rsid w:val="7F9B2913"/>
    <w:rsid w:val="7FA04963"/>
    <w:rsid w:val="7FA53D28"/>
    <w:rsid w:val="7FA93818"/>
    <w:rsid w:val="7FD97494"/>
    <w:rsid w:val="7FEC0D6B"/>
    <w:rsid w:val="7FF44553"/>
    <w:rsid w:val="7FF78292"/>
    <w:rsid w:val="F2EBCA9B"/>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qFormat/>
    <w:uiPriority w:val="0"/>
    <w:pPr>
      <w:keepNext/>
      <w:keepLines/>
      <w:spacing w:before="260" w:after="260" w:line="415" w:lineRule="auto"/>
      <w:outlineLvl w:val="2"/>
    </w:pPr>
    <w:rPr>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autoRedefine/>
    <w:qFormat/>
    <w:uiPriority w:val="99"/>
    <w:pPr>
      <w:spacing w:after="120"/>
    </w:pPr>
  </w:style>
  <w:style w:type="paragraph" w:styleId="8">
    <w:name w:val="Body Text Indent"/>
    <w:basedOn w:val="1"/>
    <w:qFormat/>
    <w:uiPriority w:val="0"/>
    <w:pPr>
      <w:snapToGrid w:val="0"/>
      <w:spacing w:line="360" w:lineRule="auto"/>
      <w:ind w:firstLine="538" w:firstLineChars="192"/>
    </w:pPr>
    <w:rPr>
      <w:rFonts w:ascii="仿宋_GB2312" w:eastAsia="仿宋_GB2312"/>
      <w:bCs/>
      <w:sz w:val="28"/>
      <w:szCs w:val="28"/>
    </w:rPr>
  </w:style>
  <w:style w:type="paragraph" w:styleId="9">
    <w:name w:val="Plain Text"/>
    <w:basedOn w:val="1"/>
    <w:link w:val="66"/>
    <w:autoRedefine/>
    <w:qFormat/>
    <w:uiPriority w:val="0"/>
    <w:rPr>
      <w:rFonts w:ascii="宋体" w:hAnsi="Courier New"/>
      <w:szCs w:val="20"/>
    </w:rPr>
  </w:style>
  <w:style w:type="paragraph" w:styleId="10">
    <w:name w:val="Balloon Text"/>
    <w:basedOn w:val="1"/>
    <w:qFormat/>
    <w:uiPriority w:val="0"/>
    <w:rPr>
      <w:sz w:val="18"/>
      <w:szCs w:val="18"/>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autoRedefine/>
    <w:qFormat/>
    <w:uiPriority w:val="0"/>
    <w:pPr>
      <w:tabs>
        <w:tab w:val="right" w:leader="dot" w:pos="8393"/>
      </w:tabs>
      <w:spacing w:line="500" w:lineRule="exact"/>
    </w:pPr>
    <w:rPr>
      <w:rFonts w:ascii="宋体" w:hAnsi="宋体"/>
      <w:b/>
      <w:bCs/>
      <w:color w:val="000000"/>
      <w:sz w:val="28"/>
      <w:szCs w:val="28"/>
    </w:rPr>
  </w:style>
  <w:style w:type="paragraph" w:styleId="14">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15">
    <w:name w:val="Body Text First Indent 2"/>
    <w:basedOn w:val="8"/>
    <w:autoRedefine/>
    <w:unhideWhenUsed/>
    <w:qFormat/>
    <w:uiPriority w:val="0"/>
    <w:pPr>
      <w:spacing w:after="120" w:line="240" w:lineRule="auto"/>
      <w:ind w:left="420" w:leftChars="200" w:firstLine="420" w:firstLineChars="200"/>
    </w:pPr>
    <w:rPr>
      <w:sz w:val="21"/>
      <w:szCs w:val="21"/>
    </w:rPr>
  </w:style>
  <w:style w:type="table" w:styleId="17">
    <w:name w:val="Table Grid"/>
    <w:basedOn w:val="16"/>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bCs/>
    </w:rPr>
  </w:style>
  <w:style w:type="character" w:styleId="20">
    <w:name w:val="page number"/>
    <w:basedOn w:val="18"/>
    <w:autoRedefine/>
    <w:qFormat/>
    <w:uiPriority w:val="0"/>
  </w:style>
  <w:style w:type="character" w:styleId="21">
    <w:name w:val="FollowedHyperlink"/>
    <w:basedOn w:val="18"/>
    <w:semiHidden/>
    <w:unhideWhenUsed/>
    <w:qFormat/>
    <w:uiPriority w:val="0"/>
    <w:rPr>
      <w:color w:val="428BCA"/>
      <w:u w:val="none"/>
    </w:rPr>
  </w:style>
  <w:style w:type="character" w:styleId="22">
    <w:name w:val="HTML Definition"/>
    <w:basedOn w:val="18"/>
    <w:autoRedefine/>
    <w:semiHidden/>
    <w:unhideWhenUsed/>
    <w:qFormat/>
    <w:uiPriority w:val="0"/>
    <w:rPr>
      <w:i/>
      <w:iCs/>
    </w:rPr>
  </w:style>
  <w:style w:type="character" w:styleId="23">
    <w:name w:val="Hyperlink"/>
    <w:basedOn w:val="18"/>
    <w:autoRedefine/>
    <w:qFormat/>
    <w:uiPriority w:val="0"/>
    <w:rPr>
      <w:color w:val="013F7C"/>
      <w:u w:val="none"/>
    </w:rPr>
  </w:style>
  <w:style w:type="character" w:styleId="24">
    <w:name w:val="HTML Code"/>
    <w:basedOn w:val="18"/>
    <w:semiHidden/>
    <w:unhideWhenUsed/>
    <w:qFormat/>
    <w:uiPriority w:val="0"/>
    <w:rPr>
      <w:rFonts w:hint="default" w:ascii="Consolas" w:hAnsi="Consolas" w:eastAsia="Consolas" w:cs="Consolas"/>
      <w:color w:val="C7254E"/>
      <w:sz w:val="21"/>
      <w:szCs w:val="21"/>
      <w:shd w:val="clear" w:color="auto" w:fill="F9F2F4"/>
    </w:rPr>
  </w:style>
  <w:style w:type="character" w:styleId="25">
    <w:name w:val="annotation reference"/>
    <w:basedOn w:val="18"/>
    <w:autoRedefine/>
    <w:semiHidden/>
    <w:unhideWhenUsed/>
    <w:qFormat/>
    <w:uiPriority w:val="0"/>
    <w:rPr>
      <w:sz w:val="21"/>
      <w:szCs w:val="21"/>
    </w:rPr>
  </w:style>
  <w:style w:type="character" w:styleId="26">
    <w:name w:val="HTML Cite"/>
    <w:basedOn w:val="18"/>
    <w:semiHidden/>
    <w:unhideWhenUsed/>
    <w:qFormat/>
    <w:uiPriority w:val="0"/>
  </w:style>
  <w:style w:type="character" w:styleId="27">
    <w:name w:val="HTML Keyboard"/>
    <w:basedOn w:val="18"/>
    <w:autoRedefine/>
    <w:semiHidden/>
    <w:unhideWhenUsed/>
    <w:qFormat/>
    <w:uiPriority w:val="0"/>
    <w:rPr>
      <w:rFonts w:hint="default" w:ascii="Consolas" w:hAnsi="Consolas" w:eastAsia="Consolas" w:cs="Consolas"/>
      <w:color w:val="FFFFFF"/>
      <w:sz w:val="21"/>
      <w:szCs w:val="21"/>
      <w:shd w:val="clear" w:color="auto" w:fill="333333"/>
    </w:rPr>
  </w:style>
  <w:style w:type="character" w:styleId="28">
    <w:name w:val="HTML Sample"/>
    <w:basedOn w:val="18"/>
    <w:autoRedefine/>
    <w:semiHidden/>
    <w:unhideWhenUsed/>
    <w:qFormat/>
    <w:uiPriority w:val="0"/>
    <w:rPr>
      <w:rFonts w:ascii="Consolas" w:hAnsi="Consolas" w:eastAsia="Consolas" w:cs="Consolas"/>
      <w:sz w:val="21"/>
      <w:szCs w:val="21"/>
    </w:rPr>
  </w:style>
  <w:style w:type="paragraph" w:customStyle="1" w:styleId="29">
    <w:name w:val="引用1"/>
    <w:basedOn w:val="1"/>
    <w:qFormat/>
    <w:uiPriority w:val="99"/>
    <w:rPr>
      <w:rFonts w:ascii="Calibri" w:hAnsi="Calibri" w:cs="Calibri"/>
      <w:i/>
      <w:iCs/>
      <w:color w:val="000000"/>
      <w:sz w:val="22"/>
      <w:szCs w:val="22"/>
    </w:rPr>
  </w:style>
  <w:style w:type="paragraph" w:customStyle="1" w:styleId="3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样式3"/>
    <w:basedOn w:val="9"/>
    <w:autoRedefine/>
    <w:qFormat/>
    <w:uiPriority w:val="0"/>
    <w:pPr>
      <w:spacing w:line="0" w:lineRule="atLeast"/>
      <w:outlineLvl w:val="0"/>
    </w:pPr>
    <w:rPr>
      <w:sz w:val="28"/>
      <w:szCs w:val="24"/>
    </w:rPr>
  </w:style>
  <w:style w:type="paragraph" w:customStyle="1" w:styleId="32">
    <w:name w:val="正文1"/>
    <w:qFormat/>
    <w:uiPriority w:val="0"/>
    <w:pPr>
      <w:jc w:val="both"/>
    </w:pPr>
    <w:rPr>
      <w:rFonts w:ascii="Calibri" w:hAnsi="Calibri" w:eastAsia="宋体" w:cs="宋体"/>
      <w:kern w:val="2"/>
      <w:sz w:val="21"/>
      <w:szCs w:val="21"/>
      <w:lang w:val="en-US" w:eastAsia="zh-CN" w:bidi="ar-SA"/>
    </w:rPr>
  </w:style>
  <w:style w:type="paragraph" w:customStyle="1" w:styleId="33">
    <w:name w:val="Normal_18"/>
    <w:qFormat/>
    <w:uiPriority w:val="0"/>
    <w:rPr>
      <w:rFonts w:ascii="Times New Roman" w:hAnsi="Times New Roman" w:eastAsia="宋体" w:cs="Times New Roman"/>
      <w:sz w:val="21"/>
      <w:lang w:val="en-US" w:eastAsia="zh-CN" w:bidi="ar-SA"/>
    </w:rPr>
  </w:style>
  <w:style w:type="character" w:customStyle="1" w:styleId="34">
    <w:name w:val="ndata"/>
    <w:basedOn w:val="18"/>
    <w:qFormat/>
    <w:uiPriority w:val="0"/>
    <w:rPr>
      <w:color w:val="AAAAAA"/>
    </w:rPr>
  </w:style>
  <w:style w:type="character" w:customStyle="1" w:styleId="35">
    <w:name w:val="NormalCharacter"/>
    <w:qFormat/>
    <w:uiPriority w:val="0"/>
    <w:rPr>
      <w:sz w:val="21"/>
      <w:lang w:val="en-US" w:eastAsia="zh-CN" w:bidi="ar-SA"/>
    </w:rPr>
  </w:style>
  <w:style w:type="paragraph" w:customStyle="1" w:styleId="36">
    <w:name w:val="正文2"/>
    <w:basedOn w:val="1"/>
    <w:qFormat/>
    <w:uiPriority w:val="0"/>
    <w:pPr>
      <w:spacing w:before="156" w:line="360" w:lineRule="auto"/>
      <w:ind w:firstLine="510" w:firstLineChars="200"/>
    </w:pPr>
    <w:rPr>
      <w:sz w:val="24"/>
    </w:rPr>
  </w:style>
  <w:style w:type="paragraph" w:customStyle="1" w:styleId="37">
    <w:name w:val="NormalIndent"/>
    <w:basedOn w:val="1"/>
    <w:qFormat/>
    <w:uiPriority w:val="0"/>
    <w:pPr>
      <w:widowControl/>
      <w:ind w:firstLine="200" w:firstLineChars="200"/>
    </w:pPr>
    <w:rPr>
      <w:rFonts w:ascii="Calibri" w:hAnsi="Calibri"/>
    </w:rPr>
  </w:style>
  <w:style w:type="paragraph" w:styleId="38">
    <w:name w:val="List Paragraph"/>
    <w:basedOn w:val="1"/>
    <w:qFormat/>
    <w:uiPriority w:val="34"/>
    <w:pPr>
      <w:ind w:firstLine="420" w:firstLineChars="200"/>
    </w:pPr>
  </w:style>
  <w:style w:type="paragraph" w:customStyle="1" w:styleId="39">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40">
    <w:name w:val="active5"/>
    <w:basedOn w:val="18"/>
    <w:qFormat/>
    <w:uiPriority w:val="0"/>
    <w:rPr>
      <w:color w:val="FFFFFF"/>
      <w:shd w:val="clear" w:color="auto" w:fill="428BCA"/>
    </w:rPr>
  </w:style>
  <w:style w:type="character" w:customStyle="1" w:styleId="41">
    <w:name w:val="ui-jqgrid-resize"/>
    <w:basedOn w:val="18"/>
    <w:qFormat/>
    <w:uiPriority w:val="0"/>
  </w:style>
  <w:style w:type="character" w:customStyle="1" w:styleId="42">
    <w:name w:val="ui-icon37"/>
    <w:basedOn w:val="18"/>
    <w:qFormat/>
    <w:uiPriority w:val="0"/>
  </w:style>
  <w:style w:type="character" w:customStyle="1" w:styleId="43">
    <w:name w:val="ui-icon38"/>
    <w:basedOn w:val="18"/>
    <w:qFormat/>
    <w:uiPriority w:val="0"/>
  </w:style>
  <w:style w:type="character" w:customStyle="1" w:styleId="44">
    <w:name w:val="ui-icon39"/>
    <w:basedOn w:val="18"/>
    <w:qFormat/>
    <w:uiPriority w:val="0"/>
  </w:style>
  <w:style w:type="character" w:customStyle="1" w:styleId="45">
    <w:name w:val="input-icon2"/>
    <w:basedOn w:val="18"/>
    <w:qFormat/>
    <w:uiPriority w:val="0"/>
  </w:style>
  <w:style w:type="character" w:customStyle="1" w:styleId="46">
    <w:name w:val="before"/>
    <w:basedOn w:val="18"/>
    <w:qFormat/>
    <w:uiPriority w:val="0"/>
    <w:rPr>
      <w:rFonts w:hint="default" w:ascii="FontAwesome" w:hAnsi="FontAwesome" w:eastAsia="FontAwesome" w:cs="FontAwesome"/>
      <w:color w:val="888888"/>
    </w:rPr>
  </w:style>
  <w:style w:type="character" w:customStyle="1" w:styleId="47">
    <w:name w:val="before1"/>
    <w:basedOn w:val="18"/>
    <w:qFormat/>
    <w:uiPriority w:val="0"/>
    <w:rPr>
      <w:rFonts w:hint="default" w:ascii="FontAwesome" w:hAnsi="FontAwesome" w:eastAsia="FontAwesome" w:cs="FontAwesome"/>
      <w:color w:val="888888"/>
    </w:rPr>
  </w:style>
  <w:style w:type="character" w:customStyle="1" w:styleId="48">
    <w:name w:val="hover6"/>
    <w:basedOn w:val="18"/>
    <w:qFormat/>
    <w:uiPriority w:val="0"/>
    <w:rPr>
      <w:shd w:val="clear" w:color="auto" w:fill="EEEEEE"/>
    </w:rPr>
  </w:style>
  <w:style w:type="character" w:customStyle="1" w:styleId="49">
    <w:name w:val="old"/>
    <w:basedOn w:val="18"/>
    <w:qFormat/>
    <w:uiPriority w:val="0"/>
    <w:rPr>
      <w:color w:val="999999"/>
    </w:rPr>
  </w:style>
  <w:style w:type="character" w:customStyle="1" w:styleId="50">
    <w:name w:val="ui-icon40"/>
    <w:basedOn w:val="18"/>
    <w:qFormat/>
    <w:uiPriority w:val="0"/>
  </w:style>
  <w:style w:type="paragraph" w:customStyle="1" w:styleId="51">
    <w:name w:val="Default"/>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character" w:customStyle="1" w:styleId="52">
    <w:name w:val="font31"/>
    <w:basedOn w:val="18"/>
    <w:qFormat/>
    <w:uiPriority w:val="0"/>
    <w:rPr>
      <w:rFonts w:hint="default" w:ascii="Arial" w:hAnsi="Arial" w:cs="Arial"/>
      <w:b/>
      <w:color w:val="000000"/>
      <w:sz w:val="24"/>
      <w:szCs w:val="24"/>
      <w:u w:val="none"/>
    </w:rPr>
  </w:style>
  <w:style w:type="character" w:customStyle="1" w:styleId="53">
    <w:name w:val="font81"/>
    <w:basedOn w:val="18"/>
    <w:qFormat/>
    <w:uiPriority w:val="0"/>
    <w:rPr>
      <w:rFonts w:ascii="新宋体" w:hAnsi="新宋体" w:eastAsia="新宋体" w:cs="新宋体"/>
      <w:color w:val="000000"/>
      <w:sz w:val="21"/>
      <w:szCs w:val="21"/>
      <w:u w:val="none"/>
    </w:rPr>
  </w:style>
  <w:style w:type="character" w:customStyle="1" w:styleId="54">
    <w:name w:val="font41"/>
    <w:basedOn w:val="18"/>
    <w:qFormat/>
    <w:uiPriority w:val="0"/>
    <w:rPr>
      <w:rFonts w:hint="default" w:ascii="Times New Roman" w:hAnsi="Times New Roman" w:cs="Times New Roman"/>
      <w:color w:val="000000"/>
      <w:sz w:val="18"/>
      <w:szCs w:val="18"/>
      <w:u w:val="none"/>
    </w:rPr>
  </w:style>
  <w:style w:type="character" w:customStyle="1" w:styleId="55">
    <w:name w:val="font51"/>
    <w:basedOn w:val="18"/>
    <w:qFormat/>
    <w:uiPriority w:val="0"/>
    <w:rPr>
      <w:rFonts w:hint="eastAsia" w:ascii="宋体" w:hAnsi="宋体" w:eastAsia="宋体" w:cs="宋体"/>
      <w:b/>
      <w:color w:val="000000"/>
      <w:sz w:val="32"/>
      <w:szCs w:val="32"/>
      <w:u w:val="none"/>
    </w:rPr>
  </w:style>
  <w:style w:type="character" w:customStyle="1" w:styleId="56">
    <w:name w:val="font01"/>
    <w:basedOn w:val="18"/>
    <w:qFormat/>
    <w:uiPriority w:val="0"/>
    <w:rPr>
      <w:rFonts w:hint="eastAsia" w:ascii="宋体" w:hAnsi="宋体" w:eastAsia="宋体" w:cs="宋体"/>
      <w:color w:val="000000"/>
      <w:sz w:val="24"/>
      <w:szCs w:val="24"/>
      <w:u w:val="none"/>
    </w:rPr>
  </w:style>
  <w:style w:type="character" w:customStyle="1" w:styleId="57">
    <w:name w:val="font71"/>
    <w:basedOn w:val="18"/>
    <w:qFormat/>
    <w:uiPriority w:val="0"/>
    <w:rPr>
      <w:rFonts w:hint="default" w:ascii="仿宋_GB2312" w:eastAsia="仿宋_GB2312" w:cs="仿宋_GB2312"/>
      <w:b/>
      <w:bCs/>
      <w:color w:val="000000"/>
      <w:sz w:val="32"/>
      <w:szCs w:val="32"/>
      <w:u w:val="none"/>
    </w:rPr>
  </w:style>
  <w:style w:type="character" w:customStyle="1" w:styleId="58">
    <w:name w:val="active1"/>
    <w:basedOn w:val="18"/>
    <w:qFormat/>
    <w:uiPriority w:val="0"/>
    <w:rPr>
      <w:color w:val="FFFFFF"/>
      <w:shd w:val="clear" w:color="auto" w:fill="428BCA"/>
    </w:rPr>
  </w:style>
  <w:style w:type="character" w:customStyle="1" w:styleId="59">
    <w:name w:val="hover5"/>
    <w:basedOn w:val="18"/>
    <w:qFormat/>
    <w:uiPriority w:val="0"/>
    <w:rPr>
      <w:shd w:val="clear" w:color="auto" w:fill="EEEEEE"/>
    </w:rPr>
  </w:style>
  <w:style w:type="character" w:customStyle="1" w:styleId="60">
    <w:name w:val="ui-jqgrid-resize2"/>
    <w:basedOn w:val="18"/>
    <w:qFormat/>
    <w:uiPriority w:val="0"/>
  </w:style>
  <w:style w:type="paragraph" w:customStyle="1" w:styleId="61">
    <w:name w:val="Body text|1"/>
    <w:basedOn w:val="1"/>
    <w:qFormat/>
    <w:uiPriority w:val="0"/>
    <w:pPr>
      <w:spacing w:line="384" w:lineRule="auto"/>
      <w:ind w:firstLine="400"/>
    </w:pPr>
    <w:rPr>
      <w:rFonts w:ascii="方正黑体简体" w:hAnsi="方正黑体简体" w:eastAsia="方正黑体简体" w:cs="方正黑体简体"/>
      <w:sz w:val="30"/>
      <w:szCs w:val="30"/>
      <w:lang w:val="zh-TW" w:eastAsia="zh-TW" w:bidi="zh-TW"/>
    </w:rPr>
  </w:style>
  <w:style w:type="paragraph" w:customStyle="1" w:styleId="62">
    <w:name w:val="Normal_0_1"/>
    <w:qFormat/>
    <w:uiPriority w:val="0"/>
    <w:rPr>
      <w:rFonts w:ascii="Times New Roman" w:hAnsi="Times New Roman" w:eastAsia="Times New Roman" w:cs="Times New Roman"/>
      <w:sz w:val="24"/>
      <w:szCs w:val="24"/>
      <w:lang w:val="en-US" w:eastAsia="zh-CN" w:bidi="ar-SA"/>
    </w:rPr>
  </w:style>
  <w:style w:type="paragraph" w:customStyle="1" w:styleId="6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64">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65">
    <w:name w:val="Revision"/>
    <w:unhideWhenUsed/>
    <w:qFormat/>
    <w:uiPriority w:val="99"/>
    <w:rPr>
      <w:rFonts w:ascii="Times New Roman" w:hAnsi="Times New Roman" w:eastAsia="宋体" w:cs="Times New Roman"/>
      <w:kern w:val="2"/>
      <w:sz w:val="21"/>
      <w:szCs w:val="24"/>
      <w:lang w:val="en-US" w:eastAsia="zh-CN" w:bidi="ar-SA"/>
    </w:rPr>
  </w:style>
  <w:style w:type="character" w:customStyle="1" w:styleId="66">
    <w:name w:val="纯文本 字符"/>
    <w:basedOn w:val="18"/>
    <w:link w:val="9"/>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48ADA2-A66B-4F8B-A6D2-B250AAC0A4A8}">
  <ds:schemaRefs/>
</ds:datastoreItem>
</file>

<file path=docProps/app.xml><?xml version="1.0" encoding="utf-8"?>
<Properties xmlns="http://schemas.openxmlformats.org/officeDocument/2006/extended-properties" xmlns:vt="http://schemas.openxmlformats.org/officeDocument/2006/docPropsVTypes">
  <Template>Normal</Template>
  <Company>美兰区</Company>
  <Pages>39</Pages>
  <Words>21476</Words>
  <Characters>22561</Characters>
  <Lines>171</Lines>
  <Paragraphs>48</Paragraphs>
  <TotalTime>9</TotalTime>
  <ScaleCrop>false</ScaleCrop>
  <LinksUpToDate>false</LinksUpToDate>
  <CharactersWithSpaces>23612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2024-06-24T06:38:00Z</dcterms:created>
  <dc:creator>随风</dc:creator>
  <cp:lastModifiedBy>a.✨ 張seven </cp:lastModifiedBy>
  <cp:lastPrinted>2024-08-21T07:39:00Z</cp:lastPrinted>
  <dcterms:modified xsi:type="dcterms:W3CDTF">2024-09-02T08:59:20Z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FF7AB42A42E24FA989288721D264CEA4_13</vt:lpwstr>
  </property>
</Properties>
</file>