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color w:val="auto"/>
        </w:rPr>
      </w:pPr>
    </w:p>
    <w:p>
      <w:pPr>
        <w:pStyle w:val="12"/>
        <w:rPr>
          <w:color w:val="auto"/>
        </w:rPr>
      </w:pPr>
    </w:p>
    <w:p>
      <w:pPr>
        <w:pStyle w:val="12"/>
        <w:rPr>
          <w:color w:val="auto"/>
        </w:rPr>
      </w:pPr>
    </w:p>
    <w:p>
      <w:pPr>
        <w:pageBreakBefore w:val="0"/>
        <w:wordWrap/>
        <w:topLinePunct w:val="0"/>
        <w:bidi w:val="0"/>
        <w:adjustRightInd w:val="0"/>
        <w:snapToGrid w:val="0"/>
        <w:spacing w:line="360" w:lineRule="auto"/>
        <w:jc w:val="center"/>
        <w:textAlignment w:val="auto"/>
        <w:rPr>
          <w:rFonts w:hint="default" w:asciiTheme="minorEastAsia" w:hAnsiTheme="minorEastAsia" w:eastAsiaTheme="minorEastAsia" w:cstheme="minorEastAsia"/>
          <w:b/>
          <w:color w:val="auto"/>
          <w:sz w:val="52"/>
          <w:szCs w:val="52"/>
          <w:highlight w:val="none"/>
          <w:lang w:val="en-US" w:eastAsia="zh-CN"/>
        </w:rPr>
      </w:pPr>
      <w:r>
        <w:rPr>
          <w:rFonts w:hint="eastAsia" w:asciiTheme="minorEastAsia" w:hAnsiTheme="minorEastAsia" w:eastAsiaTheme="minorEastAsia" w:cstheme="minorEastAsia"/>
          <w:b/>
          <w:color w:val="auto"/>
          <w:sz w:val="52"/>
          <w:szCs w:val="52"/>
          <w:highlight w:val="none"/>
        </w:rPr>
        <w:t>海口</w:t>
      </w:r>
      <w:r>
        <w:rPr>
          <w:rFonts w:hint="eastAsia" w:asciiTheme="minorEastAsia" w:hAnsiTheme="minorEastAsia" w:eastAsiaTheme="minorEastAsia" w:cstheme="minorEastAsia"/>
          <w:b/>
          <w:color w:val="auto"/>
          <w:sz w:val="52"/>
          <w:szCs w:val="52"/>
          <w:highlight w:val="none"/>
          <w:lang w:val="en-US" w:eastAsia="zh-CN"/>
        </w:rPr>
        <w:t>江东新区管理局</w:t>
      </w:r>
    </w:p>
    <w:p>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采购</w:t>
      </w:r>
      <w:r>
        <w:rPr>
          <w:rFonts w:hint="eastAsia" w:asciiTheme="minorEastAsia" w:hAnsiTheme="minorEastAsia" w:eastAsiaTheme="minorEastAsia" w:cstheme="minorEastAsia"/>
          <w:b/>
          <w:color w:val="auto"/>
          <w:sz w:val="52"/>
          <w:szCs w:val="52"/>
          <w:highlight w:val="none"/>
          <w:lang w:val="en-US" w:eastAsia="zh-CN"/>
        </w:rPr>
        <w:t>比选</w:t>
      </w:r>
      <w:r>
        <w:rPr>
          <w:rFonts w:hint="eastAsia" w:asciiTheme="minorEastAsia" w:hAnsiTheme="minorEastAsia" w:eastAsiaTheme="minorEastAsia" w:cstheme="minorEastAsia"/>
          <w:b/>
          <w:color w:val="auto"/>
          <w:sz w:val="52"/>
          <w:szCs w:val="52"/>
          <w:highlight w:val="none"/>
        </w:rPr>
        <w:t>文件</w:t>
      </w:r>
    </w:p>
    <w:p>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color w:val="auto"/>
          <w:sz w:val="21"/>
          <w:szCs w:val="21"/>
          <w:highlight w:val="none"/>
        </w:rPr>
      </w:pPr>
    </w:p>
    <w:p>
      <w:pPr>
        <w:pageBreakBefore w:val="0"/>
        <w:wordWrap/>
        <w:topLinePunct w:val="0"/>
        <w:bidi w:val="0"/>
        <w:spacing w:line="360" w:lineRule="auto"/>
        <w:textAlignment w:val="auto"/>
        <w:rPr>
          <w:color w:val="auto"/>
          <w:sz w:val="21"/>
          <w:szCs w:val="21"/>
          <w:highlight w:val="none"/>
        </w:rPr>
      </w:pPr>
    </w:p>
    <w:p>
      <w:pPr>
        <w:pStyle w:val="12"/>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highlight w:val="none"/>
        </w:rPr>
      </w:pPr>
    </w:p>
    <w:p>
      <w:pPr>
        <w:pStyle w:val="12"/>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highlight w:val="none"/>
        </w:rPr>
      </w:pPr>
    </w:p>
    <w:p>
      <w:pPr>
        <w:pStyle w:val="12"/>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highlight w:val="none"/>
        </w:rPr>
      </w:pPr>
    </w:p>
    <w:p>
      <w:pPr>
        <w:pStyle w:val="12"/>
        <w:pageBreakBefore w:val="0"/>
        <w:wordWrap/>
        <w:topLinePunct w:val="0"/>
        <w:bidi w:val="0"/>
        <w:spacing w:line="360" w:lineRule="auto"/>
        <w:ind w:firstLine="1968" w:firstLineChars="700"/>
        <w:jc w:val="left"/>
        <w:textAlignment w:val="auto"/>
        <w:outlineLvl w:val="0"/>
        <w:rPr>
          <w:rFonts w:hint="eastAsia" w:asciiTheme="minorEastAsia" w:hAnsiTheme="minorEastAsia" w:eastAsiaTheme="minorEastAsia" w:cstheme="minorEastAsia"/>
          <w:b/>
          <w:bCs w:val="0"/>
          <w:color w:val="auto"/>
          <w:sz w:val="28"/>
          <w:szCs w:val="28"/>
          <w:highlight w:val="none"/>
          <w:lang w:val="en-US" w:eastAsia="zh-CN"/>
        </w:rPr>
      </w:pPr>
      <w:bookmarkStart w:id="0" w:name="_Toc246825786"/>
      <w:bookmarkStart w:id="1" w:name="_Toc245887524"/>
      <w:bookmarkStart w:id="2" w:name="_Toc246826091"/>
      <w:bookmarkStart w:id="3" w:name="_Toc245888257"/>
      <w:r>
        <w:rPr>
          <w:rFonts w:hint="eastAsia" w:asciiTheme="minorEastAsia" w:hAnsiTheme="minorEastAsia" w:eastAsiaTheme="minorEastAsia" w:cstheme="minorEastAsia"/>
          <w:b/>
          <w:bCs w:val="0"/>
          <w:color w:val="auto"/>
          <w:sz w:val="28"/>
          <w:szCs w:val="28"/>
          <w:highlight w:val="none"/>
        </w:rPr>
        <w:t>项目编号：</w:t>
      </w:r>
      <w:bookmarkEnd w:id="0"/>
      <w:bookmarkEnd w:id="1"/>
      <w:bookmarkEnd w:id="2"/>
      <w:bookmarkEnd w:id="3"/>
      <w:bookmarkStart w:id="4" w:name="_Toc245888258"/>
      <w:bookmarkStart w:id="5" w:name="_Toc246826092"/>
      <w:bookmarkStart w:id="6" w:name="_Toc245887525"/>
      <w:bookmarkStart w:id="7" w:name="_Toc246825787"/>
      <w:r>
        <w:rPr>
          <w:rFonts w:hint="eastAsia" w:asciiTheme="minorEastAsia" w:hAnsiTheme="minorEastAsia" w:eastAsiaTheme="minorEastAsia" w:cstheme="minorEastAsia"/>
          <w:b/>
          <w:bCs w:val="0"/>
          <w:color w:val="auto"/>
          <w:sz w:val="28"/>
          <w:szCs w:val="28"/>
          <w:highlight w:val="none"/>
          <w:lang w:val="en-US" w:eastAsia="zh-CN"/>
        </w:rPr>
        <w:t>zfcg-fw-20240412-001</w:t>
      </w:r>
    </w:p>
    <w:p>
      <w:pPr>
        <w:pStyle w:val="12"/>
        <w:pageBreakBefore w:val="0"/>
        <w:wordWrap/>
        <w:topLinePunct w:val="0"/>
        <w:bidi w:val="0"/>
        <w:spacing w:line="360" w:lineRule="auto"/>
        <w:ind w:left="3360" w:leftChars="931" w:hanging="1405" w:hangingChars="500"/>
        <w:jc w:val="left"/>
        <w:textAlignment w:val="auto"/>
        <w:outlineLvl w:val="0"/>
        <w:rPr>
          <w:rFonts w:hint="eastAsia" w:asciiTheme="minorEastAsia" w:hAnsiTheme="minorEastAsia" w:eastAsiaTheme="minorEastAsia" w:cstheme="minorEastAsia"/>
          <w:b/>
          <w:bCs w:val="0"/>
          <w:color w:val="auto"/>
          <w:sz w:val="28"/>
          <w:szCs w:val="28"/>
          <w:highlight w:val="none"/>
          <w:lang w:eastAsia="zh-CN"/>
        </w:rPr>
      </w:pPr>
      <w:r>
        <w:rPr>
          <w:rFonts w:hint="eastAsia" w:asciiTheme="minorEastAsia" w:hAnsiTheme="minorEastAsia" w:eastAsiaTheme="minorEastAsia" w:cstheme="minorEastAsia"/>
          <w:b/>
          <w:bCs w:val="0"/>
          <w:color w:val="auto"/>
          <w:sz w:val="28"/>
          <w:szCs w:val="28"/>
          <w:highlight w:val="none"/>
        </w:rPr>
        <w:t>项目名称：</w:t>
      </w:r>
      <w:bookmarkEnd w:id="4"/>
      <w:bookmarkEnd w:id="5"/>
      <w:bookmarkEnd w:id="6"/>
      <w:bookmarkEnd w:id="7"/>
      <w:bookmarkStart w:id="8" w:name="_Toc246826094"/>
      <w:bookmarkStart w:id="9" w:name="_Toc245888260"/>
      <w:bookmarkStart w:id="10" w:name="_Toc245887527"/>
      <w:bookmarkStart w:id="11" w:name="_Toc246825789"/>
      <w:r>
        <w:rPr>
          <w:rFonts w:hint="eastAsia" w:asciiTheme="minorEastAsia" w:hAnsiTheme="minorEastAsia" w:eastAsiaTheme="minorEastAsia" w:cstheme="minorEastAsia"/>
          <w:b/>
          <w:color w:val="auto"/>
          <w:sz w:val="28"/>
          <w:szCs w:val="28"/>
          <w:highlight w:val="none"/>
          <w:lang w:eastAsia="zh-CN"/>
        </w:rPr>
        <w:t>2024-2025年度项目谋划咨询服务</w:t>
      </w:r>
    </w:p>
    <w:bookmarkEnd w:id="8"/>
    <w:bookmarkEnd w:id="9"/>
    <w:bookmarkEnd w:id="10"/>
    <w:bookmarkEnd w:id="11"/>
    <w:p>
      <w:pPr>
        <w:pStyle w:val="12"/>
        <w:rPr>
          <w:color w:val="auto"/>
        </w:rPr>
      </w:pPr>
    </w:p>
    <w:p>
      <w:pPr>
        <w:pStyle w:val="12"/>
        <w:rPr>
          <w:color w:val="auto"/>
        </w:rPr>
      </w:pPr>
    </w:p>
    <w:p>
      <w:pPr>
        <w:pStyle w:val="12"/>
        <w:rPr>
          <w:color w:val="auto"/>
        </w:rPr>
      </w:pPr>
    </w:p>
    <w:p>
      <w:pPr>
        <w:pStyle w:val="8"/>
        <w:rPr>
          <w:color w:val="auto"/>
        </w:rPr>
      </w:pPr>
    </w:p>
    <w:p>
      <w:pPr>
        <w:pStyle w:val="35"/>
        <w:ind w:firstLine="440"/>
        <w:rPr>
          <w:color w:val="auto"/>
        </w:rPr>
      </w:pPr>
    </w:p>
    <w:p>
      <w:pPr>
        <w:pStyle w:val="11"/>
        <w:rPr>
          <w:color w:val="auto"/>
        </w:rPr>
      </w:pPr>
    </w:p>
    <w:p>
      <w:pPr>
        <w:pStyle w:val="11"/>
        <w:rPr>
          <w:color w:val="auto"/>
        </w:rPr>
      </w:pPr>
    </w:p>
    <w:p>
      <w:pPr>
        <w:pStyle w:val="11"/>
        <w:rPr>
          <w:color w:val="auto"/>
        </w:rPr>
      </w:pPr>
    </w:p>
    <w:p>
      <w:pPr>
        <w:adjustRightInd w:val="0"/>
        <w:snapToGrid w:val="0"/>
        <w:spacing w:line="360" w:lineRule="auto"/>
        <w:ind w:firstLine="582"/>
        <w:jc w:val="center"/>
        <w:rPr>
          <w:color w:val="auto"/>
        </w:rPr>
      </w:pPr>
    </w:p>
    <w:p>
      <w:pPr>
        <w:adjustRightInd w:val="0"/>
        <w:snapToGrid w:val="0"/>
        <w:spacing w:line="360" w:lineRule="auto"/>
        <w:ind w:firstLine="582"/>
        <w:jc w:val="center"/>
        <w:rPr>
          <w:color w:val="auto"/>
        </w:rPr>
      </w:pPr>
    </w:p>
    <w:p>
      <w:pPr>
        <w:pStyle w:val="12"/>
        <w:pageBreakBefore w:val="0"/>
        <w:wordWrap/>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pacing w:val="40"/>
          <w:sz w:val="28"/>
          <w:szCs w:val="28"/>
          <w:highlight w:val="none"/>
          <w:lang w:val="en-US" w:eastAsia="zh-CN"/>
        </w:rPr>
        <w:t>2024</w:t>
      </w:r>
      <w:r>
        <w:rPr>
          <w:rFonts w:hint="eastAsia" w:asciiTheme="minorEastAsia" w:hAnsiTheme="minorEastAsia" w:eastAsiaTheme="minorEastAsia" w:cstheme="minorEastAsia"/>
          <w:b/>
          <w:color w:val="auto"/>
          <w:spacing w:val="40"/>
          <w:sz w:val="28"/>
          <w:szCs w:val="28"/>
          <w:highlight w:val="none"/>
        </w:rPr>
        <w:t>年</w:t>
      </w:r>
      <w:r>
        <w:rPr>
          <w:rFonts w:hint="eastAsia" w:asciiTheme="minorEastAsia" w:hAnsiTheme="minorEastAsia" w:eastAsiaTheme="minorEastAsia" w:cstheme="minorEastAsia"/>
          <w:b/>
          <w:color w:val="auto"/>
          <w:spacing w:val="40"/>
          <w:sz w:val="28"/>
          <w:szCs w:val="28"/>
          <w:highlight w:val="none"/>
          <w:lang w:val="en-US" w:eastAsia="zh-CN"/>
        </w:rPr>
        <w:t>4</w:t>
      </w:r>
      <w:r>
        <w:rPr>
          <w:rFonts w:hint="eastAsia" w:asciiTheme="minorEastAsia" w:hAnsiTheme="minorEastAsia" w:eastAsiaTheme="minorEastAsia" w:cstheme="minorEastAsia"/>
          <w:b/>
          <w:color w:val="auto"/>
          <w:spacing w:val="40"/>
          <w:sz w:val="28"/>
          <w:szCs w:val="28"/>
          <w:highlight w:val="none"/>
        </w:rPr>
        <w:t>月</w:t>
      </w:r>
    </w:p>
    <w:p>
      <w:pPr>
        <w:pStyle w:val="12"/>
        <w:ind w:firstLine="422"/>
        <w:rPr>
          <w:rStyle w:val="27"/>
          <w:rFonts w:hAnsi="宋体" w:cs="宋体"/>
          <w:b/>
          <w:color w:val="auto"/>
          <w:szCs w:val="21"/>
        </w:rPr>
        <w:sectPr>
          <w:headerReference r:id="rId7"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12"/>
        <w:ind w:firstLine="422"/>
        <w:rPr>
          <w:rStyle w:val="27"/>
          <w:rFonts w:hAnsi="宋体" w:cs="宋体"/>
          <w:b/>
          <w:color w:val="auto"/>
          <w:szCs w:val="21"/>
        </w:rPr>
      </w:pPr>
    </w:p>
    <w:p>
      <w:pPr>
        <w:pStyle w:val="12"/>
        <w:ind w:firstLine="482"/>
        <w:jc w:val="center"/>
        <w:rPr>
          <w:rStyle w:val="27"/>
          <w:rFonts w:hAnsi="宋体" w:cs="宋体"/>
          <w:b/>
          <w:color w:val="auto"/>
          <w:sz w:val="24"/>
          <w:szCs w:val="24"/>
        </w:rPr>
      </w:pPr>
      <w:r>
        <w:rPr>
          <w:rStyle w:val="27"/>
          <w:rFonts w:hint="eastAsia" w:hAnsi="宋体" w:cs="宋体"/>
          <w:b/>
          <w:color w:val="auto"/>
          <w:sz w:val="24"/>
          <w:szCs w:val="24"/>
        </w:rPr>
        <w:t>目录</w:t>
      </w:r>
    </w:p>
    <w:p>
      <w:pPr>
        <w:spacing w:line="360" w:lineRule="auto"/>
        <w:ind w:firstLine="482"/>
        <w:rPr>
          <w:color w:val="auto"/>
        </w:rPr>
      </w:pPr>
    </w:p>
    <w:p>
      <w:pPr>
        <w:spacing w:line="360" w:lineRule="auto"/>
        <w:ind w:firstLine="482"/>
        <w:rPr>
          <w:color w:val="auto"/>
        </w:rPr>
      </w:pPr>
    </w:p>
    <w:p>
      <w:pPr>
        <w:spacing w:line="360" w:lineRule="auto"/>
        <w:ind w:firstLine="482"/>
        <w:rPr>
          <w:b/>
          <w:bCs/>
          <w:color w:val="auto"/>
        </w:rPr>
      </w:pPr>
      <w:r>
        <w:rPr>
          <w:rFonts w:hint="eastAsia"/>
          <w:b/>
          <w:bCs/>
          <w:color w:val="auto"/>
        </w:rPr>
        <w:fldChar w:fldCharType="begin"/>
      </w:r>
      <w:r>
        <w:rPr>
          <w:rFonts w:hint="eastAsia"/>
          <w:b/>
          <w:bCs/>
          <w:color w:val="auto"/>
        </w:rPr>
        <w:instrText xml:space="preserve"> TOC \o "1-3" \h \z \u </w:instrText>
      </w:r>
      <w:r>
        <w:rPr>
          <w:rFonts w:hint="eastAsia"/>
          <w:b/>
          <w:bCs/>
          <w:color w:val="auto"/>
        </w:rPr>
        <w:fldChar w:fldCharType="separate"/>
      </w:r>
    </w:p>
    <w:p>
      <w:pPr>
        <w:spacing w:line="360" w:lineRule="auto"/>
        <w:ind w:firstLine="482"/>
        <w:rPr>
          <w:b/>
          <w:bCs/>
          <w:color w:val="auto"/>
        </w:rPr>
      </w:pPr>
    </w:p>
    <w:p>
      <w:pPr>
        <w:spacing w:line="360" w:lineRule="auto"/>
        <w:ind w:firstLine="482"/>
        <w:rPr>
          <w:b/>
          <w:bCs/>
          <w:color w:val="auto"/>
        </w:rPr>
      </w:pPr>
    </w:p>
    <w:p>
      <w:pPr>
        <w:spacing w:line="360" w:lineRule="auto"/>
        <w:ind w:firstLine="482"/>
        <w:rPr>
          <w:b/>
          <w:bCs/>
          <w:color w:val="auto"/>
        </w:rPr>
      </w:pPr>
      <w:r>
        <w:rPr>
          <w:rFonts w:hint="eastAsia"/>
          <w:b/>
          <w:bCs/>
          <w:color w:val="auto"/>
        </w:rPr>
        <w:fldChar w:fldCharType="begin"/>
      </w:r>
      <w:r>
        <w:rPr>
          <w:rFonts w:hint="eastAsia"/>
          <w:b/>
          <w:bCs/>
          <w:color w:val="auto"/>
        </w:rPr>
        <w:instrText xml:space="preserve"> HYPERLINK "file:///D:\\外网\\20090911\\界面资料091011\\界面资料\\部门资料\\采购文件范本1104\\招标文件范本\\印刷版本\\政府采购招标文件印刷.doc" \l "_Toc246826096#_Toc246826096" </w:instrText>
      </w:r>
      <w:r>
        <w:rPr>
          <w:rFonts w:hint="eastAsia"/>
          <w:b/>
          <w:bCs/>
          <w:color w:val="auto"/>
        </w:rPr>
        <w:fldChar w:fldCharType="separate"/>
      </w:r>
      <w:r>
        <w:rPr>
          <w:rFonts w:hint="eastAsia"/>
          <w:b/>
          <w:bCs/>
          <w:color w:val="auto"/>
        </w:rPr>
        <w:t>第一章比选公告……………………………………………………</w:t>
      </w:r>
      <w:r>
        <w:rPr>
          <w:rFonts w:hint="eastAsia"/>
          <w:b/>
          <w:bCs/>
          <w:color w:val="auto"/>
        </w:rPr>
        <w:fldChar w:fldCharType="end"/>
      </w:r>
      <w:r>
        <w:rPr>
          <w:rFonts w:hint="eastAsia"/>
          <w:b/>
          <w:bCs/>
          <w:color w:val="auto"/>
        </w:rPr>
        <w:t>……3-4</w:t>
      </w:r>
    </w:p>
    <w:p>
      <w:pPr>
        <w:spacing w:line="360" w:lineRule="auto"/>
        <w:ind w:firstLine="482"/>
        <w:rPr>
          <w:b/>
          <w:bCs/>
          <w:color w:val="auto"/>
        </w:rPr>
      </w:pPr>
      <w:r>
        <w:rPr>
          <w:rFonts w:hint="eastAsia"/>
          <w:b/>
          <w:bCs/>
          <w:color w:val="auto"/>
        </w:rPr>
        <w:fldChar w:fldCharType="begin"/>
      </w:r>
      <w:r>
        <w:rPr>
          <w:rFonts w:hint="eastAsia"/>
          <w:b/>
          <w:bCs/>
          <w:color w:val="auto"/>
        </w:rPr>
        <w:instrText xml:space="preserve"> HYPERLINK "file:///D:\\外网\\20090911\\界面资料091011\\界面资料\\部门资料\\采购文件范本1104\\招标文件范本\\印刷版本\\政府采购招标文件印刷.doc" \l "_Toc246826105#_Toc246826105" </w:instrText>
      </w:r>
      <w:r>
        <w:rPr>
          <w:rFonts w:hint="eastAsia"/>
          <w:b/>
          <w:bCs/>
          <w:color w:val="auto"/>
        </w:rPr>
        <w:fldChar w:fldCharType="separate"/>
      </w:r>
      <w:r>
        <w:rPr>
          <w:rFonts w:hint="eastAsia"/>
          <w:b/>
          <w:bCs/>
          <w:color w:val="auto"/>
        </w:rPr>
        <w:t>第二章采购需求……………………………………………………</w:t>
      </w:r>
      <w:r>
        <w:rPr>
          <w:rFonts w:hint="eastAsia"/>
          <w:b/>
          <w:bCs/>
          <w:color w:val="auto"/>
        </w:rPr>
        <w:fldChar w:fldCharType="end"/>
      </w:r>
      <w:r>
        <w:rPr>
          <w:rFonts w:hint="eastAsia"/>
          <w:b/>
          <w:bCs/>
          <w:color w:val="auto"/>
        </w:rPr>
        <w:t>……5-7</w:t>
      </w:r>
    </w:p>
    <w:p>
      <w:pPr>
        <w:spacing w:line="360" w:lineRule="auto"/>
        <w:ind w:firstLine="482"/>
        <w:rPr>
          <w:b/>
          <w:bCs/>
          <w:color w:val="auto"/>
        </w:rPr>
      </w:pPr>
      <w:r>
        <w:rPr>
          <w:rFonts w:hint="eastAsia"/>
          <w:b/>
          <w:bCs/>
          <w:color w:val="auto"/>
        </w:rPr>
        <w:fldChar w:fldCharType="begin"/>
      </w:r>
      <w:r>
        <w:rPr>
          <w:rFonts w:hint="eastAsia"/>
          <w:b/>
          <w:bCs/>
          <w:color w:val="auto"/>
        </w:rPr>
        <w:instrText xml:space="preserve"> HYPERLINK "file:///D:\\外网\\20090911\\界面资料091011\\界面资料\\部门资料\\采购文件范本1104\\招标文件范本\\印刷版本\\政府采购招标文件印刷.doc" \l "_Toc246826118#_Toc246826118" </w:instrText>
      </w:r>
      <w:r>
        <w:rPr>
          <w:rFonts w:hint="eastAsia"/>
          <w:b/>
          <w:bCs/>
          <w:color w:val="auto"/>
        </w:rPr>
        <w:fldChar w:fldCharType="separate"/>
      </w:r>
      <w:r>
        <w:rPr>
          <w:rFonts w:hint="eastAsia"/>
          <w:b/>
          <w:bCs/>
          <w:color w:val="auto"/>
        </w:rPr>
        <w:t>第三章供应商须知………………………………………</w:t>
      </w:r>
      <w:r>
        <w:rPr>
          <w:rFonts w:hint="eastAsia"/>
          <w:b/>
          <w:bCs/>
          <w:color w:val="auto"/>
        </w:rPr>
        <w:fldChar w:fldCharType="end"/>
      </w:r>
      <w:r>
        <w:rPr>
          <w:rFonts w:hint="eastAsia"/>
          <w:b/>
          <w:bCs/>
          <w:color w:val="auto"/>
        </w:rPr>
        <w:t>………………</w:t>
      </w:r>
      <w:r>
        <w:rPr>
          <w:rFonts w:hint="eastAsia"/>
          <w:b/>
          <w:bCs/>
          <w:color w:val="auto"/>
        </w:rPr>
        <w:fldChar w:fldCharType="end"/>
      </w:r>
      <w:r>
        <w:rPr>
          <w:rFonts w:hint="eastAsia"/>
          <w:b/>
          <w:bCs/>
          <w:color w:val="auto"/>
        </w:rPr>
        <w:t>8-21</w:t>
      </w:r>
    </w:p>
    <w:p>
      <w:pPr>
        <w:spacing w:line="360" w:lineRule="auto"/>
        <w:ind w:firstLine="482"/>
        <w:rPr>
          <w:b/>
          <w:bCs/>
          <w:color w:val="auto"/>
        </w:rPr>
      </w:pPr>
      <w:r>
        <w:rPr>
          <w:rFonts w:hint="eastAsia"/>
          <w:b/>
          <w:bCs/>
          <w:color w:val="auto"/>
        </w:rPr>
        <w:fldChar w:fldCharType="begin"/>
      </w:r>
      <w:r>
        <w:rPr>
          <w:rFonts w:hint="eastAsia"/>
          <w:b/>
          <w:bCs/>
          <w:color w:val="auto"/>
        </w:rPr>
        <w:instrText xml:space="preserve"> HYPERLINK "file:///D:\\外网\\20090911\\界面资料091011\\界面资料\\部门资料\\采购文件范本1104\\招标文件范本\\印刷版本\\政府采购招标文件印刷.doc" \l "_Toc246826115#_Toc246826115" </w:instrText>
      </w:r>
      <w:r>
        <w:rPr>
          <w:rFonts w:hint="eastAsia"/>
          <w:b/>
          <w:bCs/>
          <w:color w:val="auto"/>
        </w:rPr>
        <w:fldChar w:fldCharType="separate"/>
      </w:r>
      <w:r>
        <w:rPr>
          <w:rFonts w:hint="eastAsia"/>
          <w:b/>
          <w:bCs/>
          <w:color w:val="auto"/>
        </w:rPr>
        <w:t>第四章评审标准……………………………………</w:t>
      </w:r>
      <w:r>
        <w:rPr>
          <w:rFonts w:hint="eastAsia"/>
          <w:b/>
          <w:bCs/>
          <w:color w:val="auto"/>
        </w:rPr>
        <w:fldChar w:fldCharType="end"/>
      </w:r>
      <w:r>
        <w:rPr>
          <w:rFonts w:hint="eastAsia"/>
          <w:b/>
          <w:bCs/>
          <w:color w:val="auto"/>
        </w:rPr>
        <w:t>……………………22-24</w:t>
      </w:r>
    </w:p>
    <w:p>
      <w:pPr>
        <w:spacing w:line="360" w:lineRule="auto"/>
        <w:ind w:firstLine="482"/>
        <w:rPr>
          <w:b/>
          <w:bCs/>
          <w:color w:val="auto"/>
        </w:rPr>
      </w:pPr>
      <w:r>
        <w:rPr>
          <w:rFonts w:hint="eastAsia"/>
          <w:b/>
          <w:bCs/>
          <w:color w:val="auto"/>
        </w:rPr>
        <w:fldChar w:fldCharType="begin"/>
      </w:r>
      <w:r>
        <w:rPr>
          <w:rFonts w:hint="eastAsia"/>
          <w:b/>
          <w:bCs/>
          <w:color w:val="auto"/>
        </w:rPr>
        <w:instrText xml:space="preserve"> HYPERLINK "file:///D:\\外网\\20090911\\界面资料091011\\界面资料\\部门资料\\采购文件范本1104\\招标文件范本\\印刷版本\\政府采购招标文件印刷.doc" \l "_Toc246826104#_Toc246826104" </w:instrText>
      </w:r>
      <w:r>
        <w:rPr>
          <w:rFonts w:hint="eastAsia"/>
          <w:b/>
          <w:bCs/>
          <w:color w:val="auto"/>
        </w:rPr>
        <w:fldChar w:fldCharType="separate"/>
      </w:r>
      <w:r>
        <w:rPr>
          <w:rFonts w:hint="eastAsia"/>
          <w:b/>
          <w:bCs/>
          <w:color w:val="auto"/>
        </w:rPr>
        <w:t>第五章采购合同格式……………………………………………··…</w:t>
      </w:r>
      <w:r>
        <w:rPr>
          <w:rFonts w:hint="eastAsia"/>
          <w:b/>
          <w:bCs/>
          <w:color w:val="auto"/>
        </w:rPr>
        <w:fldChar w:fldCharType="end"/>
      </w:r>
      <w:r>
        <w:rPr>
          <w:rFonts w:hint="eastAsia"/>
          <w:b/>
          <w:bCs/>
          <w:color w:val="auto"/>
        </w:rPr>
        <w:t>25-31</w:t>
      </w:r>
    </w:p>
    <w:p>
      <w:pPr>
        <w:spacing w:line="360" w:lineRule="auto"/>
        <w:ind w:firstLine="482"/>
        <w:rPr>
          <w:b/>
          <w:bCs/>
          <w:color w:val="auto"/>
        </w:rPr>
      </w:pPr>
      <w:r>
        <w:rPr>
          <w:rFonts w:hint="eastAsia"/>
          <w:b/>
          <w:bCs/>
          <w:color w:val="auto"/>
        </w:rPr>
        <w:fldChar w:fldCharType="begin"/>
      </w:r>
      <w:r>
        <w:rPr>
          <w:rFonts w:hint="eastAsia"/>
          <w:b/>
          <w:bCs/>
          <w:color w:val="auto"/>
        </w:rPr>
        <w:instrText xml:space="preserve"> HYPERLINK "file:///D:\\外网\\20090911\\界面资料091011\\界面资料\\部门资料\\采购文件范本1104\\招标文件范本\\印刷版本\\政府采购招标文件印刷.doc" \l "_Toc246826118#_Toc246826118" </w:instrText>
      </w:r>
      <w:r>
        <w:rPr>
          <w:rFonts w:hint="eastAsia"/>
          <w:b/>
          <w:bCs/>
          <w:color w:val="auto"/>
        </w:rPr>
        <w:fldChar w:fldCharType="separate"/>
      </w:r>
      <w:r>
        <w:rPr>
          <w:rFonts w:hint="eastAsia"/>
          <w:b/>
          <w:bCs/>
          <w:color w:val="auto"/>
        </w:rPr>
        <w:t>第六章响应文件格式及附件……………………………………………</w:t>
      </w:r>
      <w:r>
        <w:rPr>
          <w:rFonts w:hint="eastAsia"/>
          <w:b/>
          <w:bCs/>
          <w:color w:val="auto"/>
        </w:rPr>
        <w:fldChar w:fldCharType="end"/>
      </w:r>
      <w:r>
        <w:rPr>
          <w:rFonts w:hint="eastAsia"/>
          <w:b/>
          <w:bCs/>
          <w:color w:val="auto"/>
        </w:rPr>
        <w:t>32-40</w:t>
      </w:r>
    </w:p>
    <w:p>
      <w:pPr>
        <w:spacing w:line="360" w:lineRule="auto"/>
        <w:ind w:firstLine="48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rPr>
          <w:color w:val="auto"/>
        </w:rPr>
      </w:pP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b/>
          <w:bCs w:val="0"/>
          <w:color w:val="auto"/>
          <w:sz w:val="21"/>
          <w:szCs w:val="21"/>
          <w:highlight w:val="none"/>
        </w:rPr>
      </w:pP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第一章比选公告</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一、项目基本情况</w:t>
      </w:r>
    </w:p>
    <w:p>
      <w:pPr>
        <w:pStyle w:val="12"/>
        <w:rPr>
          <w:bCs/>
          <w:color w:val="auto"/>
        </w:rPr>
      </w:pPr>
      <w:r>
        <w:rPr>
          <w:rFonts w:hint="eastAsia"/>
          <w:bCs/>
          <w:color w:val="auto"/>
        </w:rPr>
        <w:t>1、项目编号：</w:t>
      </w:r>
      <w:r>
        <w:rPr>
          <w:rFonts w:hint="eastAsia"/>
          <w:color w:val="auto"/>
        </w:rPr>
        <w:t>zfcg-fw-20240412-001</w:t>
      </w:r>
    </w:p>
    <w:p>
      <w:pPr>
        <w:pStyle w:val="12"/>
        <w:rPr>
          <w:color w:val="auto"/>
        </w:rPr>
      </w:pPr>
      <w:r>
        <w:rPr>
          <w:rFonts w:hint="eastAsia"/>
          <w:color w:val="auto"/>
        </w:rPr>
        <w:t>2、项目名称：2024-2025年度项目谋划咨询服务</w:t>
      </w:r>
    </w:p>
    <w:p>
      <w:pPr>
        <w:pStyle w:val="12"/>
        <w:rPr>
          <w:rFonts w:hAnsi="宋体" w:cs="宋体"/>
          <w:color w:val="auto"/>
        </w:rPr>
      </w:pPr>
      <w:r>
        <w:rPr>
          <w:rFonts w:hint="eastAsia"/>
          <w:color w:val="auto"/>
        </w:rPr>
        <w:t>3、预算金额：人民币</w:t>
      </w:r>
      <w:r>
        <w:rPr>
          <w:rFonts w:hint="eastAsia"/>
          <w:b/>
          <w:color w:val="auto"/>
        </w:rPr>
        <w:t>180</w:t>
      </w:r>
      <w:r>
        <w:rPr>
          <w:rFonts w:hint="eastAsia"/>
          <w:color w:val="auto"/>
        </w:rPr>
        <w:t>万元（不含180.0000万元，投标报价超过预算金额或最高限价的均按无效投标处理）</w:t>
      </w:r>
    </w:p>
    <w:p>
      <w:pPr>
        <w:pStyle w:val="1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4、采购需求：</w:t>
      </w:r>
      <w:r>
        <w:rPr>
          <w:rFonts w:hint="eastAsia"/>
          <w:color w:val="auto"/>
        </w:rPr>
        <w:t>详细需求详见第二章《采购需求》</w:t>
      </w:r>
    </w:p>
    <w:p>
      <w:pPr>
        <w:spacing w:line="400" w:lineRule="exact"/>
        <w:ind w:right="-197" w:rightChars="-94" w:firstLine="420" w:firstLineChars="200"/>
        <w:rPr>
          <w:rFonts w:ascii="宋体" w:hAnsi="宋体"/>
          <w:color w:val="auto"/>
        </w:rPr>
      </w:pPr>
      <w:r>
        <w:rPr>
          <w:rFonts w:hint="eastAsia"/>
          <w:color w:val="auto"/>
        </w:rPr>
        <w:t>5、服务期限</w:t>
      </w:r>
      <w:bookmarkStart w:id="12" w:name="_Toc35393622"/>
      <w:bookmarkStart w:id="13" w:name="_Toc28359080"/>
      <w:bookmarkStart w:id="14" w:name="_Toc28359003"/>
      <w:bookmarkStart w:id="15" w:name="_Toc35393791"/>
      <w:r>
        <w:rPr>
          <w:rFonts w:hint="eastAsia"/>
          <w:color w:val="auto"/>
        </w:rPr>
        <w:t>：自合同签订起1年</w:t>
      </w:r>
    </w:p>
    <w:p>
      <w:pPr>
        <w:pStyle w:val="12"/>
        <w:rPr>
          <w:color w:val="auto"/>
        </w:rPr>
      </w:pPr>
      <w:r>
        <w:rPr>
          <w:rFonts w:hint="eastAsia"/>
          <w:color w:val="auto"/>
        </w:rPr>
        <w:t>6、服务地点：海口江东新区</w:t>
      </w:r>
    </w:p>
    <w:p>
      <w:pPr>
        <w:keepNext w:val="0"/>
        <w:keepLines w:val="0"/>
        <w:pageBreakBefore w:val="0"/>
        <w:widowControl w:val="0"/>
        <w:kinsoku/>
        <w:wordWrap/>
        <w:overflowPunct/>
        <w:topLinePunct w:val="0"/>
        <w:autoSpaceDE/>
        <w:autoSpaceDN/>
        <w:bidi w:val="0"/>
        <w:adjustRightInd w:val="0"/>
        <w:snapToGrid w:val="0"/>
        <w:spacing w:line="400" w:lineRule="exact"/>
        <w:ind w:firstLine="422"/>
        <w:jc w:val="both"/>
        <w:textAlignment w:val="auto"/>
        <w:rPr>
          <w:rFonts w:hint="eastAsia"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kern w:val="2"/>
          <w:sz w:val="21"/>
          <w:szCs w:val="21"/>
          <w:highlight w:val="none"/>
          <w:lang w:val="en-US" w:eastAsia="zh-CN" w:bidi="ar-SA"/>
        </w:rPr>
        <w:t>二、供应商的资格要求：</w:t>
      </w:r>
      <w:bookmarkEnd w:id="12"/>
      <w:bookmarkEnd w:id="13"/>
      <w:bookmarkEnd w:id="14"/>
      <w:bookmarkEnd w:id="15"/>
    </w:p>
    <w:p>
      <w:pPr>
        <w:pStyle w:val="12"/>
        <w:rPr>
          <w:color w:val="auto"/>
        </w:rPr>
      </w:pPr>
      <w:bookmarkStart w:id="16" w:name="_Toc35393792"/>
      <w:bookmarkStart w:id="17" w:name="_Toc28359004"/>
      <w:bookmarkStart w:id="18" w:name="_Toc28359081"/>
      <w:bookmarkStart w:id="19" w:name="_Toc35393623"/>
      <w:r>
        <w:rPr>
          <w:rFonts w:hint="eastAsia"/>
          <w:color w:val="auto"/>
        </w:rPr>
        <w:t>1、满足《中华人民共和国政府采购法》第二十二条规定；</w:t>
      </w:r>
    </w:p>
    <w:p>
      <w:pPr>
        <w:pStyle w:val="12"/>
        <w:rPr>
          <w:color w:val="auto"/>
        </w:rPr>
      </w:pPr>
      <w:r>
        <w:rPr>
          <w:rFonts w:hint="eastAsia"/>
          <w:color w:val="auto"/>
        </w:rPr>
        <w:t>2、落实政府采购政策需满足的资格要求：无</w:t>
      </w:r>
    </w:p>
    <w:p>
      <w:pPr>
        <w:pStyle w:val="12"/>
        <w:rPr>
          <w:color w:val="auto"/>
        </w:rPr>
      </w:pPr>
      <w:r>
        <w:rPr>
          <w:rFonts w:hint="eastAsia"/>
          <w:color w:val="auto"/>
        </w:rPr>
        <w:t>3、符合采购人根据采购项目实际情况要求的特定资格条件和其他法律法规规定的条件，具体如下：</w:t>
      </w:r>
    </w:p>
    <w:p>
      <w:pPr>
        <w:pStyle w:val="12"/>
        <w:rPr>
          <w:color w:val="auto"/>
        </w:rPr>
      </w:pPr>
      <w:r>
        <w:rPr>
          <w:rFonts w:hint="eastAsia"/>
          <w:color w:val="auto"/>
        </w:rPr>
        <w:t>3.1、供应商未被列入失信被执行人、重大税收违法案件当事人名单（税收违法黑名单）和政府采购严重违法失信行为记录名单（须提供“信用中国”网站（www.creditchina.gov.cn)查询失信被执行人、重大税收违法案件当事人名单（税收违法黑名单）的查询结果截图并加盖公章；和“中国政府采购网”网站（http://www.ccgp.gov.cn/）查询政府采购严重违法失信行为记录名单的查询结果截图并加盖公章），如相关失信记录已失效，供应商须提供相关证明资料并加盖公章；</w:t>
      </w:r>
    </w:p>
    <w:p>
      <w:pPr>
        <w:pStyle w:val="12"/>
        <w:rPr>
          <w:color w:val="auto"/>
        </w:rPr>
      </w:pPr>
      <w:r>
        <w:rPr>
          <w:rFonts w:hint="eastAsia"/>
          <w:color w:val="auto"/>
        </w:rPr>
        <w:t>3.2、本项目接受联合体响应，联合体响应的，应满足下列要求：如供应商为联合体，联合体</w:t>
      </w:r>
      <w:r>
        <w:rPr>
          <w:rFonts w:hint="eastAsia"/>
          <w:color w:val="auto"/>
          <w:lang w:val="en-US" w:eastAsia="zh-CN"/>
        </w:rPr>
        <w:t>成员</w:t>
      </w:r>
      <w:r>
        <w:rPr>
          <w:rFonts w:hint="eastAsia"/>
          <w:color w:val="auto"/>
        </w:rPr>
        <w:t>数量不超过</w:t>
      </w:r>
      <w:r>
        <w:rPr>
          <w:rFonts w:hint="eastAsia"/>
          <w:color w:val="auto"/>
          <w:lang w:eastAsia="zh-CN"/>
        </w:rPr>
        <w:t>2</w:t>
      </w:r>
      <w:r>
        <w:rPr>
          <w:rFonts w:hint="eastAsia"/>
          <w:color w:val="auto"/>
        </w:rPr>
        <w:t>家，联合体各方应按采购文件提供的格式签订联合体协议书，明确联合体牵头人和各方权利义务，并承诺就中标项目向采购人承担连带责任。联合体各方不得再以自己名义单独或参加其他联合体在本项目响应，否则各相关响应均无效。。</w:t>
      </w:r>
    </w:p>
    <w:p>
      <w:pPr>
        <w:keepNext w:val="0"/>
        <w:keepLines w:val="0"/>
        <w:pageBreakBefore w:val="0"/>
        <w:widowControl w:val="0"/>
        <w:kinsoku/>
        <w:wordWrap/>
        <w:overflowPunct/>
        <w:topLinePunct w:val="0"/>
        <w:autoSpaceDE/>
        <w:autoSpaceDN/>
        <w:bidi w:val="0"/>
        <w:adjustRightInd w:val="0"/>
        <w:snapToGrid w:val="0"/>
        <w:spacing w:line="400" w:lineRule="exact"/>
        <w:ind w:firstLine="422"/>
        <w:jc w:val="both"/>
        <w:textAlignment w:val="auto"/>
        <w:rPr>
          <w:rFonts w:hint="eastAsia"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kern w:val="2"/>
          <w:sz w:val="21"/>
          <w:szCs w:val="21"/>
          <w:highlight w:val="none"/>
          <w:lang w:val="en-US" w:eastAsia="zh-CN" w:bidi="ar-SA"/>
        </w:rPr>
        <w:t>三、</w:t>
      </w:r>
      <w:bookmarkEnd w:id="16"/>
      <w:bookmarkEnd w:id="17"/>
      <w:bookmarkEnd w:id="18"/>
      <w:bookmarkEnd w:id="19"/>
      <w:r>
        <w:rPr>
          <w:rFonts w:hint="eastAsia" w:asciiTheme="minorEastAsia" w:hAnsiTheme="minorEastAsia" w:eastAsiaTheme="minorEastAsia" w:cstheme="minorEastAsia"/>
          <w:b/>
          <w:bCs w:val="0"/>
          <w:color w:val="auto"/>
          <w:kern w:val="2"/>
          <w:sz w:val="21"/>
          <w:szCs w:val="21"/>
          <w:highlight w:val="none"/>
          <w:lang w:val="en-US" w:eastAsia="zh-CN" w:bidi="ar-SA"/>
        </w:rPr>
        <w:t>采购文件获取办法</w:t>
      </w:r>
    </w:p>
    <w:p>
      <w:pPr>
        <w:pStyle w:val="12"/>
        <w:rPr>
          <w:color w:val="auto"/>
        </w:rPr>
      </w:pPr>
      <w:r>
        <w:rPr>
          <w:rFonts w:hint="eastAsia"/>
          <w:color w:val="auto"/>
        </w:rPr>
        <w:t>1、采购比选文件获取时间：2024年4月</w:t>
      </w:r>
      <w:r>
        <w:rPr>
          <w:rFonts w:hint="eastAsia"/>
          <w:color w:val="auto"/>
          <w:lang w:val="en-US" w:eastAsia="zh-CN"/>
        </w:rPr>
        <w:t>20</w:t>
      </w:r>
      <w:r>
        <w:rPr>
          <w:rFonts w:hint="eastAsia"/>
          <w:color w:val="auto"/>
        </w:rPr>
        <w:t>日00时00分至2024年4月</w:t>
      </w:r>
      <w:r>
        <w:rPr>
          <w:rFonts w:hint="eastAsia"/>
          <w:color w:val="auto"/>
          <w:lang w:val="en-US" w:eastAsia="zh-CN"/>
        </w:rPr>
        <w:t>24</w:t>
      </w:r>
      <w:r>
        <w:rPr>
          <w:rFonts w:hint="eastAsia"/>
          <w:color w:val="auto"/>
        </w:rPr>
        <w:t>日23点59分（北京时间）；</w:t>
      </w:r>
    </w:p>
    <w:p>
      <w:pPr>
        <w:pStyle w:val="12"/>
        <w:rPr>
          <w:color w:val="auto"/>
        </w:rPr>
      </w:pPr>
      <w:r>
        <w:rPr>
          <w:rFonts w:hint="eastAsia"/>
          <w:color w:val="auto"/>
        </w:rPr>
        <w:t>2、采购比选文件获取方式：请有意向参与本项目采购活动的单位在比选公告界面自行下载比选文件。</w:t>
      </w:r>
    </w:p>
    <w:p>
      <w:pPr>
        <w:keepNext w:val="0"/>
        <w:keepLines w:val="0"/>
        <w:pageBreakBefore w:val="0"/>
        <w:widowControl w:val="0"/>
        <w:kinsoku/>
        <w:wordWrap/>
        <w:overflowPunct/>
        <w:topLinePunct w:val="0"/>
        <w:autoSpaceDE/>
        <w:autoSpaceDN/>
        <w:bidi w:val="0"/>
        <w:adjustRightInd w:val="0"/>
        <w:snapToGrid w:val="0"/>
        <w:spacing w:line="400" w:lineRule="exact"/>
        <w:ind w:firstLine="422"/>
        <w:jc w:val="both"/>
        <w:textAlignment w:val="auto"/>
        <w:rPr>
          <w:rFonts w:hint="eastAsia" w:asciiTheme="minorEastAsia" w:hAnsiTheme="minorEastAsia" w:eastAsiaTheme="minorEastAsia" w:cstheme="minorEastAsia"/>
          <w:b/>
          <w:bCs w:val="0"/>
          <w:color w:val="auto"/>
          <w:kern w:val="2"/>
          <w:sz w:val="21"/>
          <w:szCs w:val="21"/>
          <w:highlight w:val="none"/>
          <w:lang w:val="en-US" w:eastAsia="zh-CN" w:bidi="ar-SA"/>
        </w:rPr>
      </w:pPr>
      <w:bookmarkStart w:id="20" w:name="_Toc28359008"/>
      <w:bookmarkStart w:id="21" w:name="_Toc35393627"/>
      <w:bookmarkStart w:id="22" w:name="_Toc35393796"/>
      <w:bookmarkStart w:id="23" w:name="_Toc28359085"/>
      <w:r>
        <w:rPr>
          <w:rFonts w:hint="eastAsia" w:asciiTheme="minorEastAsia" w:hAnsiTheme="minorEastAsia" w:eastAsiaTheme="minorEastAsia" w:cstheme="minorEastAsia"/>
          <w:b/>
          <w:bCs w:val="0"/>
          <w:color w:val="auto"/>
          <w:kern w:val="2"/>
          <w:sz w:val="21"/>
          <w:szCs w:val="21"/>
          <w:highlight w:val="none"/>
          <w:lang w:val="en-US" w:eastAsia="zh-CN" w:bidi="ar-SA"/>
        </w:rPr>
        <w:t>四、响应文件递交截止时间、开标时间及地点</w:t>
      </w:r>
    </w:p>
    <w:p>
      <w:pPr>
        <w:adjustRightInd w:val="0"/>
        <w:snapToGrid w:val="0"/>
        <w:spacing w:line="400" w:lineRule="exact"/>
        <w:ind w:firstLine="420" w:firstLineChars="200"/>
        <w:rPr>
          <w:color w:val="auto"/>
        </w:rPr>
      </w:pPr>
      <w:bookmarkStart w:id="24" w:name="_Toc28359007"/>
      <w:bookmarkStart w:id="25" w:name="_Toc28359084"/>
      <w:bookmarkStart w:id="26" w:name="_Toc35393625"/>
      <w:bookmarkStart w:id="27" w:name="_Toc35393794"/>
      <w:r>
        <w:rPr>
          <w:rFonts w:hint="eastAsia"/>
          <w:color w:val="auto"/>
        </w:rPr>
        <w:t>1、响应文件递交截止时间:2024年4月</w:t>
      </w:r>
      <w:r>
        <w:rPr>
          <w:rFonts w:hint="eastAsia"/>
          <w:color w:val="auto"/>
          <w:lang w:val="en-US" w:eastAsia="zh-CN"/>
        </w:rPr>
        <w:t>25</w:t>
      </w:r>
      <w:r>
        <w:rPr>
          <w:rFonts w:hint="eastAsia"/>
          <w:color w:val="auto"/>
        </w:rPr>
        <w:t>日下午15:00（北京时间）；</w:t>
      </w:r>
    </w:p>
    <w:p>
      <w:pPr>
        <w:adjustRightInd w:val="0"/>
        <w:snapToGrid w:val="0"/>
        <w:spacing w:line="400" w:lineRule="exact"/>
        <w:ind w:firstLine="420" w:firstLineChars="200"/>
        <w:rPr>
          <w:color w:val="auto"/>
        </w:rPr>
      </w:pPr>
      <w:r>
        <w:rPr>
          <w:rFonts w:hint="eastAsia"/>
          <w:color w:val="auto"/>
        </w:rPr>
        <w:t>2、开标时间:与响应文件递交截止时间为同一时间；</w:t>
      </w:r>
    </w:p>
    <w:p>
      <w:pPr>
        <w:adjustRightInd w:val="0"/>
        <w:snapToGrid w:val="0"/>
        <w:spacing w:line="400" w:lineRule="exact"/>
        <w:ind w:firstLine="420" w:firstLineChars="200"/>
        <w:rPr>
          <w:color w:val="auto"/>
        </w:rPr>
      </w:pPr>
      <w:r>
        <w:rPr>
          <w:rFonts w:hint="eastAsia"/>
          <w:color w:val="auto"/>
        </w:rPr>
        <w:t>3、响应文件递交及开标地点:海口江东新区管理局；</w:t>
      </w:r>
    </w:p>
    <w:p>
      <w:pPr>
        <w:pStyle w:val="12"/>
        <w:rPr>
          <w:b/>
          <w:color w:val="auto"/>
        </w:rPr>
      </w:pPr>
      <w:r>
        <w:rPr>
          <w:rFonts w:hint="eastAsia"/>
          <w:color w:val="auto"/>
        </w:rPr>
        <w:t>4、逾期提交/送达或者未送达指定地点的响应文件，视为无效响应文件不予接收。</w:t>
      </w:r>
      <w:r>
        <w:rPr>
          <w:rFonts w:hint="eastAsia"/>
          <w:b/>
          <w:color w:val="auto"/>
        </w:rPr>
        <w:tab/>
      </w:r>
      <w:r>
        <w:rPr>
          <w:rFonts w:hint="eastAsia"/>
          <w:b/>
          <w:color w:val="auto"/>
        </w:rPr>
        <w:t>五、采购信息发布媒体</w:t>
      </w:r>
    </w:p>
    <w:p>
      <w:pPr>
        <w:adjustRightInd w:val="0"/>
        <w:snapToGrid w:val="0"/>
        <w:spacing w:line="400" w:lineRule="exact"/>
        <w:ind w:firstLine="420" w:firstLineChars="200"/>
        <w:jc w:val="left"/>
        <w:rPr>
          <w:color w:val="auto"/>
        </w:rPr>
      </w:pPr>
      <w:r>
        <w:rPr>
          <w:rFonts w:hint="eastAsia"/>
          <w:color w:val="auto"/>
        </w:rPr>
        <w:t>1、本项目采购信息指定发布媒体为海口江东新区管理局官网；</w:t>
      </w:r>
    </w:p>
    <w:p>
      <w:pPr>
        <w:adjustRightInd w:val="0"/>
        <w:snapToGrid w:val="0"/>
        <w:spacing w:line="400" w:lineRule="exact"/>
        <w:ind w:firstLine="420" w:firstLineChars="200"/>
        <w:jc w:val="left"/>
        <w:rPr>
          <w:color w:val="auto"/>
        </w:rPr>
      </w:pPr>
      <w:r>
        <w:rPr>
          <w:rFonts w:hint="eastAsia"/>
          <w:color w:val="auto"/>
        </w:rPr>
        <w:t>2、有关本项目采购比选文件的补遗、澄清及变更信息以上述网站公告与下载为准，采购比选文件与更正公告的内容相互矛盾时，以最后发出的更正公告内容为准。</w:t>
      </w:r>
    </w:p>
    <w:p>
      <w:pPr>
        <w:keepNext w:val="0"/>
        <w:keepLines w:val="0"/>
        <w:pageBreakBefore w:val="0"/>
        <w:widowControl w:val="0"/>
        <w:kinsoku/>
        <w:wordWrap/>
        <w:overflowPunct/>
        <w:topLinePunct w:val="0"/>
        <w:autoSpaceDE/>
        <w:autoSpaceDN/>
        <w:bidi w:val="0"/>
        <w:adjustRightInd w:val="0"/>
        <w:snapToGrid w:val="0"/>
        <w:spacing w:line="400" w:lineRule="exact"/>
        <w:ind w:firstLine="422"/>
        <w:jc w:val="both"/>
        <w:textAlignment w:val="auto"/>
        <w:rPr>
          <w:rFonts w:hint="eastAsia"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kern w:val="2"/>
          <w:sz w:val="21"/>
          <w:szCs w:val="21"/>
          <w:highlight w:val="none"/>
          <w:lang w:val="en-US" w:eastAsia="zh-CN" w:bidi="ar-SA"/>
        </w:rPr>
        <w:t>六、公告期限</w:t>
      </w:r>
    </w:p>
    <w:bookmarkEnd w:id="24"/>
    <w:bookmarkEnd w:id="25"/>
    <w:bookmarkEnd w:id="26"/>
    <w:bookmarkEnd w:id="27"/>
    <w:p>
      <w:pPr>
        <w:pStyle w:val="12"/>
        <w:rPr>
          <w:b/>
          <w:color w:val="auto"/>
        </w:rPr>
      </w:pPr>
      <w:bookmarkStart w:id="28" w:name="_Toc35393626"/>
      <w:bookmarkStart w:id="29" w:name="_Toc35393795"/>
      <w:r>
        <w:rPr>
          <w:rFonts w:hint="eastAsia"/>
          <w:color w:val="auto"/>
        </w:rPr>
        <w:t>本项目比选公告、采购比选文件公告自本公告发布之日起不少于3个工作日，自2024年4月</w:t>
      </w:r>
      <w:r>
        <w:rPr>
          <w:rFonts w:hint="eastAsia"/>
          <w:color w:val="auto"/>
          <w:lang w:val="en-US" w:eastAsia="zh-CN"/>
        </w:rPr>
        <w:t>20</w:t>
      </w:r>
      <w:r>
        <w:rPr>
          <w:rFonts w:hint="eastAsia"/>
          <w:color w:val="auto"/>
        </w:rPr>
        <w:t>零时起至2024年4月</w:t>
      </w:r>
      <w:r>
        <w:rPr>
          <w:rFonts w:hint="eastAsia"/>
          <w:color w:val="auto"/>
          <w:lang w:val="en-US" w:eastAsia="zh-CN"/>
        </w:rPr>
        <w:t>24</w:t>
      </w:r>
      <w:r>
        <w:rPr>
          <w:rFonts w:hint="eastAsia"/>
          <w:color w:val="auto"/>
        </w:rPr>
        <w:t>日24时止。</w:t>
      </w:r>
      <w:bookmarkEnd w:id="28"/>
      <w:bookmarkEnd w:id="29"/>
    </w:p>
    <w:p>
      <w:pPr>
        <w:pStyle w:val="12"/>
        <w:rPr>
          <w:color w:val="auto"/>
        </w:rPr>
      </w:pPr>
      <w:r>
        <w:rPr>
          <w:rFonts w:hint="eastAsia"/>
          <w:color w:val="auto"/>
        </w:rPr>
        <w:t>七、对本次招标提出询问，请按以下方式联系</w:t>
      </w:r>
      <w:bookmarkEnd w:id="20"/>
      <w:bookmarkEnd w:id="21"/>
      <w:bookmarkEnd w:id="22"/>
      <w:bookmarkEnd w:id="23"/>
    </w:p>
    <w:p>
      <w:pPr>
        <w:snapToGrid w:val="0"/>
        <w:spacing w:line="400" w:lineRule="exact"/>
        <w:ind w:firstLine="420" w:firstLineChars="200"/>
        <w:rPr>
          <w:color w:val="auto"/>
        </w:rPr>
      </w:pPr>
      <w:r>
        <w:rPr>
          <w:rFonts w:hint="eastAsia"/>
          <w:color w:val="auto"/>
        </w:rPr>
        <w:t>名称：海口江东新区管理局</w:t>
      </w:r>
    </w:p>
    <w:p>
      <w:pPr>
        <w:snapToGrid w:val="0"/>
        <w:spacing w:line="400" w:lineRule="exact"/>
        <w:ind w:firstLine="420" w:firstLineChars="200"/>
        <w:rPr>
          <w:color w:val="auto"/>
        </w:rPr>
      </w:pPr>
      <w:r>
        <w:rPr>
          <w:rFonts w:hint="eastAsia"/>
          <w:color w:val="auto"/>
        </w:rPr>
        <w:t>地址：海口市美兰区江东大道202号江东发展大厦</w:t>
      </w:r>
    </w:p>
    <w:p>
      <w:pPr>
        <w:snapToGrid w:val="0"/>
        <w:spacing w:line="400" w:lineRule="exact"/>
        <w:ind w:firstLine="420" w:firstLineChars="200"/>
        <w:rPr>
          <w:rFonts w:hint="default"/>
          <w:color w:val="auto"/>
        </w:rPr>
      </w:pPr>
      <w:r>
        <w:rPr>
          <w:rFonts w:hint="eastAsia"/>
          <w:color w:val="auto"/>
        </w:rPr>
        <w:t>联系人：符工</w:t>
      </w:r>
      <w:r>
        <w:rPr>
          <w:rFonts w:hint="eastAsia"/>
          <w:color w:val="auto"/>
          <w:lang w:val="en-US" w:eastAsia="zh-CN"/>
        </w:rPr>
        <w:tab/>
      </w:r>
    </w:p>
    <w:p>
      <w:pPr>
        <w:snapToGrid w:val="0"/>
        <w:spacing w:line="400" w:lineRule="exact"/>
        <w:ind w:firstLine="420" w:firstLineChars="200"/>
        <w:rPr>
          <w:rFonts w:hint="default" w:eastAsia="宋体"/>
          <w:color w:val="auto"/>
          <w:lang w:val="en-US" w:eastAsia="zh-CN"/>
        </w:rPr>
      </w:pPr>
      <w:r>
        <w:rPr>
          <w:rFonts w:hint="eastAsia"/>
          <w:color w:val="auto"/>
        </w:rPr>
        <w:t>联系方式：0898-</w:t>
      </w:r>
      <w:bookmarkStart w:id="30" w:name="_Toc28359009"/>
      <w:bookmarkStart w:id="31" w:name="_Toc28359086"/>
      <w:r>
        <w:rPr>
          <w:rFonts w:hint="eastAsia"/>
          <w:color w:val="auto"/>
          <w:lang w:val="en-US" w:eastAsia="zh-CN"/>
        </w:rPr>
        <w:t>65686632</w:t>
      </w:r>
    </w:p>
    <w:bookmarkEnd w:id="30"/>
    <w:bookmarkEnd w:id="31"/>
    <w:p>
      <w:pPr>
        <w:snapToGrid w:val="0"/>
        <w:spacing w:line="400" w:lineRule="exact"/>
        <w:ind w:firstLine="420" w:firstLineChars="200"/>
        <w:jc w:val="left"/>
        <w:rPr>
          <w:color w:val="auto"/>
        </w:rPr>
        <w:sectPr>
          <w:headerReference r:id="rId10" w:type="first"/>
          <w:footerReference r:id="rId12" w:type="first"/>
          <w:footerReference r:id="rId11" w:type="default"/>
          <w:pgSz w:w="11906" w:h="16838"/>
          <w:pgMar w:top="1440" w:right="1800" w:bottom="1440" w:left="1800" w:header="851" w:footer="992" w:gutter="0"/>
          <w:cols w:space="425" w:num="1"/>
          <w:docGrid w:type="lines" w:linePitch="312" w:charSpace="0"/>
        </w:sectPr>
      </w:pPr>
    </w:p>
    <w:p>
      <w:pPr>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第二章采购需求</w:t>
      </w:r>
    </w:p>
    <w:p>
      <w:pPr>
        <w:spacing w:line="560" w:lineRule="exact"/>
        <w:ind w:firstLine="420" w:firstLineChars="200"/>
        <w:rPr>
          <w:color w:val="auto"/>
        </w:rPr>
      </w:pPr>
      <w:r>
        <w:rPr>
          <w:rFonts w:hint="eastAsia"/>
          <w:color w:val="auto"/>
        </w:rPr>
        <w:t>（一）总体要求</w:t>
      </w:r>
    </w:p>
    <w:p>
      <w:pPr>
        <w:spacing w:line="560" w:lineRule="exact"/>
        <w:ind w:firstLine="420" w:firstLineChars="200"/>
        <w:rPr>
          <w:color w:val="auto"/>
        </w:rPr>
      </w:pPr>
      <w:r>
        <w:rPr>
          <w:rFonts w:hint="eastAsia"/>
          <w:color w:val="auto"/>
        </w:rPr>
        <w:t>结合国债、中央资金、专项债等资金申报要求，以及PPP项目相关规定和最新要求等，谋划总投资不低于200亿元的建设项目（含2024、2025两个年度的政府投资和社会投资项目，包装项目个数不低于50个（其中政府投资占主导地位项目投资总额和个数均应占比80%以上），全年开展项目谋划培训至少5次。</w:t>
      </w:r>
    </w:p>
    <w:p>
      <w:pPr>
        <w:spacing w:line="560" w:lineRule="exact"/>
        <w:ind w:firstLine="420" w:firstLineChars="200"/>
        <w:rPr>
          <w:color w:val="auto"/>
        </w:rPr>
      </w:pPr>
      <w:r>
        <w:rPr>
          <w:rFonts w:hint="eastAsia"/>
          <w:color w:val="auto"/>
        </w:rPr>
        <w:t>（二）成果形式</w:t>
      </w:r>
    </w:p>
    <w:p>
      <w:pPr>
        <w:spacing w:line="560" w:lineRule="exact"/>
        <w:ind w:firstLine="420" w:firstLineChars="200"/>
        <w:rPr>
          <w:color w:val="auto"/>
        </w:rPr>
      </w:pPr>
      <w:r>
        <w:rPr>
          <w:rFonts w:hint="eastAsia"/>
          <w:color w:val="auto"/>
        </w:rPr>
        <w:t>根据谋划项目清单，提交的项目谋划报告，主要包括：</w:t>
      </w:r>
    </w:p>
    <w:p>
      <w:pPr>
        <w:spacing w:line="560" w:lineRule="exact"/>
        <w:ind w:firstLine="420" w:firstLineChars="200"/>
        <w:rPr>
          <w:color w:val="auto"/>
        </w:rPr>
      </w:pPr>
      <w:r>
        <w:rPr>
          <w:rFonts w:hint="eastAsia"/>
          <w:color w:val="auto"/>
        </w:rPr>
        <w:t>1.《江东新区xx年度项目谋划意向项目清单》及相关支撑材料；</w:t>
      </w:r>
    </w:p>
    <w:p>
      <w:pPr>
        <w:spacing w:line="560" w:lineRule="exact"/>
        <w:ind w:firstLine="420" w:firstLineChars="200"/>
        <w:rPr>
          <w:color w:val="auto"/>
        </w:rPr>
      </w:pPr>
      <w:r>
        <w:rPr>
          <w:rFonts w:hint="eastAsia"/>
          <w:color w:val="auto"/>
        </w:rPr>
        <w:t>2.《江东新区xx年度项目策划报告》（包括总体情况介绍和具体项目报告）。</w:t>
      </w:r>
    </w:p>
    <w:p>
      <w:pPr>
        <w:spacing w:line="560" w:lineRule="exact"/>
        <w:ind w:firstLine="420" w:firstLineChars="200"/>
        <w:rPr>
          <w:color w:val="auto"/>
        </w:rPr>
      </w:pPr>
      <w:r>
        <w:rPr>
          <w:rFonts w:hint="eastAsia"/>
          <w:color w:val="auto"/>
        </w:rPr>
        <w:t>3.提交的项目策划报告主要章节和目录参考《国家发展改革委关于印发投资项目可行性研究报告编写大纲及说明的通知》（发改投资规〔2023〕304号）中《政府投资项目可行性研究报告编写通用大纲（2023年版）》、《企业投资项目可行性研究报告编写参考大纲（2023年版）》和《关于投资项目可行性研究报告编写大纲的说明（2023年版）》（以下分别简称《通用大纲》《参考大纲》和《编写说明》）进行编制，主要章节和目录应包括项目概述、建设背景和必要性分析、项目需求分析与产出方案、项目选址与要素保障（征拆、农转保障等）、项目建设方案、项目运营方案、项目投融资与财务方案（含资金包装）、项目影响效果分析等，但编制深度仅需满足《中央预算内直接投资项目管理办法》（中华人民共和国国家发展和改革委员会令（第7号）</w:t>
      </w:r>
      <w:r>
        <w:rPr>
          <w:rFonts w:hint="eastAsia"/>
          <w:color w:val="auto"/>
          <w:shd w:val="clear" w:color="auto" w:fill="FFFFFF"/>
        </w:rPr>
        <w:t>，自2014年3月1日起施行；</w:t>
      </w:r>
      <w:r>
        <w:rPr>
          <w:rFonts w:hint="eastAsia"/>
          <w:color w:val="auto"/>
        </w:rPr>
        <w:t>中华人民共和国国家发展和改革委员会令</w:t>
      </w:r>
      <w:r>
        <w:rPr>
          <w:rFonts w:hint="eastAsia"/>
          <w:color w:val="auto"/>
          <w:shd w:val="clear" w:color="auto" w:fill="FFFFFF"/>
        </w:rPr>
        <w:t>（第1号）修订，自2023年5月1日起施行</w:t>
      </w:r>
      <w:r>
        <w:rPr>
          <w:rFonts w:hint="eastAsia"/>
          <w:color w:val="auto"/>
        </w:rPr>
        <w:t>）第十</w:t>
      </w:r>
      <w:r>
        <w:rPr>
          <w:rFonts w:hint="eastAsia"/>
          <w:color w:val="auto"/>
          <w:lang w:val="en-US" w:eastAsia="zh-CN"/>
        </w:rPr>
        <w:t>一</w:t>
      </w:r>
      <w:r>
        <w:rPr>
          <w:rFonts w:hint="eastAsia"/>
          <w:color w:val="auto"/>
        </w:rPr>
        <w:t>条、《编写说明》第五节、《海口市政府投资项目管理规定》第十三条要求达到的项目建议书深度层次。谋划方案应包含本年度拟建设项目和下一年度建设项目。</w:t>
      </w:r>
    </w:p>
    <w:p>
      <w:pPr>
        <w:spacing w:line="560" w:lineRule="exact"/>
        <w:ind w:firstLine="420" w:firstLineChars="200"/>
        <w:rPr>
          <w:color w:val="auto"/>
        </w:rPr>
      </w:pPr>
      <w:r>
        <w:rPr>
          <w:rFonts w:hint="eastAsia"/>
          <w:color w:val="auto"/>
        </w:rPr>
        <w:t>（三）工作组织</w:t>
      </w:r>
    </w:p>
    <w:p>
      <w:pPr>
        <w:spacing w:line="560" w:lineRule="exact"/>
        <w:ind w:firstLine="420" w:firstLineChars="200"/>
        <w:rPr>
          <w:color w:val="auto"/>
        </w:rPr>
      </w:pPr>
      <w:r>
        <w:rPr>
          <w:rFonts w:hint="eastAsia"/>
          <w:color w:val="auto"/>
        </w:rPr>
        <w:t>采取“江东新区管理局总体统筹+咨询公司团队+市属各职能局和属地政府参与”的专项工作组织模式，分工协作、同步推进重大项目谋划研究工作。</w:t>
      </w:r>
    </w:p>
    <w:p>
      <w:pPr>
        <w:spacing w:line="560" w:lineRule="exact"/>
        <w:ind w:firstLine="420" w:firstLineChars="200"/>
        <w:rPr>
          <w:color w:val="auto"/>
        </w:rPr>
      </w:pPr>
      <w:r>
        <w:rPr>
          <w:rFonts w:hint="eastAsia"/>
          <w:color w:val="auto"/>
        </w:rPr>
        <w:t>（四）工作形式</w:t>
      </w:r>
    </w:p>
    <w:p>
      <w:pPr>
        <w:spacing w:line="560" w:lineRule="exact"/>
        <w:ind w:firstLine="420" w:firstLineChars="200"/>
        <w:rPr>
          <w:color w:val="auto"/>
        </w:rPr>
      </w:pPr>
      <w:r>
        <w:rPr>
          <w:rFonts w:hint="eastAsia"/>
          <w:color w:val="auto"/>
        </w:rPr>
        <w:t>1.基本情况摸排：通过工作研讨、实地踏勘、座谈调研、资料收集分析等方式，深入、细致、全而掌握江东新区基础设施建设状况、产业发展现状；</w:t>
      </w:r>
    </w:p>
    <w:p>
      <w:pPr>
        <w:spacing w:line="560" w:lineRule="exact"/>
        <w:ind w:firstLine="420" w:firstLineChars="200"/>
        <w:rPr>
          <w:color w:val="auto"/>
        </w:rPr>
      </w:pPr>
      <w:r>
        <w:rPr>
          <w:rFonts w:hint="eastAsia"/>
          <w:color w:val="auto"/>
        </w:rPr>
        <w:t>2.项目谋划策划生成：受托单位结合城市总体规划、专项规划、“十四五”规划、产业发展规划、海口江东新区总体规划实施评估阶段性成果，深入分析区域发展优势和存在问题，与海南省、海口市相关部门和外部专家及时开展专题研讨，并结合各类上级资金申报领域提出拟谋划项目的目标、方向和重点领域，确定拟谋划项目清单，确保项目从源头上与资金申报领域、江东规划及现实需求要求高度契合；</w:t>
      </w:r>
    </w:p>
    <w:p>
      <w:pPr>
        <w:spacing w:line="560" w:lineRule="exact"/>
        <w:ind w:firstLine="420" w:firstLineChars="200"/>
        <w:rPr>
          <w:color w:val="auto"/>
        </w:rPr>
      </w:pPr>
      <w:r>
        <w:rPr>
          <w:rFonts w:hint="eastAsia"/>
          <w:color w:val="auto"/>
        </w:rPr>
        <w:t>3.进度与质量管理：受托单位应建立严格的进度管理和质量控制体系，以确保方案科学性、可行性和前瞻性，为项目的顺利实施提供有力支撑，并定期汇报工作进度，及时识别并应对可能影响项目进度的风险因素；</w:t>
      </w:r>
    </w:p>
    <w:p>
      <w:pPr>
        <w:spacing w:line="560" w:lineRule="exact"/>
        <w:ind w:firstLine="420" w:firstLineChars="200"/>
        <w:rPr>
          <w:color w:val="auto"/>
        </w:rPr>
      </w:pPr>
      <w:r>
        <w:rPr>
          <w:rFonts w:hint="eastAsia"/>
          <w:color w:val="auto"/>
        </w:rPr>
        <w:t>4.谋划项目验收与纳入投资计划：受托单位应协助完成谋划项目的专家验收工作，确保项目成果符合江东新区管理局的项目谋划验收标准。此外，受托单位还需协助江东新区管理局开展资金申报工作，使其达到资金申报要求，提高项目申报成功率。</w:t>
      </w:r>
    </w:p>
    <w:p>
      <w:pPr>
        <w:spacing w:line="560" w:lineRule="exact"/>
        <w:ind w:firstLine="420" w:firstLineChars="200"/>
        <w:rPr>
          <w:color w:val="auto"/>
        </w:rPr>
      </w:pPr>
      <w:r>
        <w:rPr>
          <w:rFonts w:hint="eastAsia"/>
          <w:color w:val="auto"/>
        </w:rPr>
        <w:t>5.沟通与协作：在项目执行过程中，受托单位应与江东新区管理局、项目团队及其他利益相关方保持密切沟通，确保信息的及时传递和问题的有效解决。同时，受托单位应发挥桥梁作用，促进各方之间的有效协作，共同推动项目的顺利实施。</w:t>
      </w:r>
    </w:p>
    <w:p>
      <w:pPr>
        <w:spacing w:line="560" w:lineRule="exact"/>
        <w:ind w:firstLine="420" w:firstLineChars="200"/>
        <w:rPr>
          <w:color w:val="auto"/>
        </w:rPr>
      </w:pPr>
      <w:r>
        <w:rPr>
          <w:rFonts w:hint="eastAsia"/>
          <w:color w:val="auto"/>
        </w:rPr>
        <w:t>四、进度安排及商务要求</w:t>
      </w:r>
    </w:p>
    <w:p>
      <w:pPr>
        <w:spacing w:line="560" w:lineRule="exact"/>
        <w:ind w:firstLine="420" w:firstLineChars="200"/>
        <w:rPr>
          <w:color w:val="auto"/>
        </w:rPr>
      </w:pPr>
      <w:r>
        <w:rPr>
          <w:rFonts w:hint="eastAsia"/>
          <w:color w:val="auto"/>
        </w:rPr>
        <w:t>1.进度安排</w:t>
      </w:r>
    </w:p>
    <w:p>
      <w:pPr>
        <w:spacing w:line="560" w:lineRule="exact"/>
        <w:ind w:firstLine="420" w:firstLineChars="200"/>
        <w:rPr>
          <w:color w:val="auto"/>
        </w:rPr>
      </w:pPr>
      <w:r>
        <w:rPr>
          <w:rFonts w:hint="eastAsia"/>
          <w:color w:val="auto"/>
        </w:rPr>
        <w:t>2024年4月底-5月底，收集整理资料，确认对口行业主管部门对接联系人，形成工作计划、任务目标，与江东新区管理局协同开展现场调研工作。</w:t>
      </w:r>
    </w:p>
    <w:p>
      <w:pPr>
        <w:spacing w:line="560" w:lineRule="exact"/>
        <w:ind w:firstLine="420" w:firstLineChars="200"/>
        <w:rPr>
          <w:color w:val="auto"/>
        </w:rPr>
      </w:pPr>
      <w:r>
        <w:rPr>
          <w:rFonts w:hint="eastAsia"/>
          <w:color w:val="auto"/>
        </w:rPr>
        <w:t>2024年5月底-6月底，形成各领域研究成果初稿，组织相关行业专家、产业链长企业、重点企业召开系列研讨会，6月底前根据专家和企业反馈意见，对报告进行提升优化。</w:t>
      </w:r>
    </w:p>
    <w:p>
      <w:pPr>
        <w:spacing w:line="560" w:lineRule="exact"/>
        <w:ind w:firstLine="420" w:firstLineChars="200"/>
        <w:rPr>
          <w:color w:val="auto"/>
        </w:rPr>
      </w:pPr>
      <w:r>
        <w:rPr>
          <w:rFonts w:hint="eastAsia"/>
          <w:color w:val="auto"/>
        </w:rPr>
        <w:t>2024年8月底前，交付成果，并组织专家验收、根据专家意见进行修改，直至通过专家验收。</w:t>
      </w:r>
    </w:p>
    <w:p>
      <w:pPr>
        <w:spacing w:line="560" w:lineRule="exact"/>
        <w:ind w:firstLine="420" w:firstLineChars="200"/>
        <w:rPr>
          <w:color w:val="auto"/>
        </w:rPr>
      </w:pPr>
      <w:r>
        <w:rPr>
          <w:rFonts w:hint="eastAsia"/>
          <w:color w:val="auto"/>
        </w:rPr>
        <w:t>2024年9月底前，对报告进一步修改完善，纳入政府投资计划。</w:t>
      </w:r>
    </w:p>
    <w:p>
      <w:pPr>
        <w:spacing w:line="560" w:lineRule="exact"/>
        <w:ind w:firstLine="420" w:firstLineChars="200"/>
        <w:rPr>
          <w:color w:val="auto"/>
        </w:rPr>
      </w:pPr>
      <w:r>
        <w:rPr>
          <w:rFonts w:hint="eastAsia"/>
          <w:color w:val="auto"/>
        </w:rPr>
        <w:t>具体进度根据国债、专项债、中央资金等各类上级资金申报时间及通知要求，以及PPP项目相关规定和最新要求等进行调整，项目谋划咨询单位应予以积极配合。</w:t>
      </w:r>
    </w:p>
    <w:p>
      <w:pPr>
        <w:spacing w:line="560" w:lineRule="exact"/>
        <w:ind w:firstLine="420" w:firstLineChars="200"/>
        <w:rPr>
          <w:color w:val="auto"/>
        </w:rPr>
      </w:pPr>
      <w:r>
        <w:rPr>
          <w:rFonts w:hint="eastAsia"/>
          <w:color w:val="auto"/>
        </w:rPr>
        <w:t>（2）商务要求</w:t>
      </w:r>
    </w:p>
    <w:p>
      <w:pPr>
        <w:spacing w:line="560" w:lineRule="exact"/>
        <w:ind w:firstLine="420" w:firstLineChars="200"/>
        <w:rPr>
          <w:color w:val="auto"/>
        </w:rPr>
      </w:pPr>
      <w:r>
        <w:rPr>
          <w:rFonts w:hint="eastAsia"/>
          <w:color w:val="auto"/>
        </w:rPr>
        <w:t>1.服务期限：自合同签订日起至2025年5月1日前（以合同最终签订日期为准，为时一年）。</w:t>
      </w:r>
    </w:p>
    <w:p>
      <w:pPr>
        <w:spacing w:line="560" w:lineRule="exact"/>
        <w:ind w:firstLine="420" w:firstLineChars="200"/>
        <w:rPr>
          <w:color w:val="auto"/>
        </w:rPr>
      </w:pPr>
      <w:r>
        <w:rPr>
          <w:rFonts w:hint="eastAsia"/>
          <w:color w:val="auto"/>
        </w:rPr>
        <w:t>2.服务地点：海南省海口市江东新区。</w:t>
      </w:r>
    </w:p>
    <w:p>
      <w:pPr>
        <w:spacing w:line="560" w:lineRule="exact"/>
        <w:ind w:firstLine="420" w:firstLineChars="200"/>
        <w:rPr>
          <w:color w:val="auto"/>
        </w:rPr>
      </w:pPr>
      <w:r>
        <w:rPr>
          <w:rFonts w:hint="eastAsia"/>
          <w:color w:val="auto"/>
        </w:rPr>
        <w:t>3.质量标准：符合国家、地方和行业的相关政策、法规。</w:t>
      </w:r>
    </w:p>
    <w:p>
      <w:pPr>
        <w:spacing w:line="560" w:lineRule="exact"/>
        <w:ind w:firstLine="420" w:firstLineChars="200"/>
        <w:rPr>
          <w:color w:val="auto"/>
        </w:rPr>
      </w:pPr>
      <w:r>
        <w:rPr>
          <w:rFonts w:hint="eastAsia"/>
          <w:color w:val="auto"/>
        </w:rPr>
        <w:t>4.验收标准：按国家行业规范标准及合同要求进行验收。</w:t>
      </w:r>
    </w:p>
    <w:p>
      <w:pPr>
        <w:spacing w:line="560" w:lineRule="exact"/>
        <w:ind w:firstLine="420" w:firstLineChars="200"/>
        <w:rPr>
          <w:color w:val="auto"/>
        </w:rPr>
      </w:pPr>
      <w:r>
        <w:rPr>
          <w:rFonts w:hint="eastAsia"/>
          <w:color w:val="auto"/>
        </w:rPr>
        <w:t>5.报价说明：本项目投标人的报价为完成服务期限内所有可能发生的费用的综合体现，包含人工、材料、损耗、管理、保险、利润、各种税费及一切有的费用。</w:t>
      </w:r>
    </w:p>
    <w:p>
      <w:pPr>
        <w:spacing w:line="560" w:lineRule="exact"/>
        <w:ind w:firstLine="420" w:firstLineChars="200"/>
        <w:rPr>
          <w:color w:val="auto"/>
        </w:rPr>
      </w:pPr>
      <w:r>
        <w:rPr>
          <w:rFonts w:hint="eastAsia"/>
          <w:color w:val="auto"/>
        </w:rPr>
        <w:t>6.投标人需承接过类似项目业绩，并需针对本项目提供团队人员、研究内容确定、项目组织方案、实施方案、工作重点、难点及其解决措施、工作进度计划安排及保障措施等。</w:t>
      </w:r>
    </w:p>
    <w:p>
      <w:pPr>
        <w:spacing w:line="560" w:lineRule="exact"/>
        <w:ind w:firstLine="420" w:firstLineChars="200"/>
        <w:rPr>
          <w:color w:val="auto"/>
        </w:rPr>
      </w:pPr>
      <w:r>
        <w:rPr>
          <w:rFonts w:hint="eastAsia"/>
          <w:color w:val="auto"/>
        </w:rPr>
        <w:t>7.驻场人员要求</w:t>
      </w:r>
    </w:p>
    <w:p>
      <w:pPr>
        <w:spacing w:line="560" w:lineRule="exact"/>
        <w:ind w:firstLine="420" w:firstLineChars="200"/>
        <w:rPr>
          <w:color w:val="auto"/>
        </w:rPr>
      </w:pPr>
      <w:r>
        <w:rPr>
          <w:rFonts w:hint="eastAsia"/>
          <w:color w:val="auto"/>
        </w:rPr>
        <w:t>受托单位应派遣具有相关专业背景和丰富工作经验的专业人士常驻江东管理局，开展项目谋划工作。常驻人员应具备以下条件:</w:t>
      </w:r>
    </w:p>
    <w:p>
      <w:pPr>
        <w:spacing w:line="560" w:lineRule="exact"/>
        <w:ind w:firstLine="420" w:firstLineChars="200"/>
        <w:rPr>
          <w:color w:val="auto"/>
        </w:rPr>
      </w:pPr>
      <w:r>
        <w:rPr>
          <w:rFonts w:hint="eastAsia"/>
          <w:color w:val="auto"/>
        </w:rPr>
        <w:t>(1)应具备工程类或工程经济类中级或以上职称，大学本科学历及以上。</w:t>
      </w:r>
    </w:p>
    <w:p>
      <w:pPr>
        <w:spacing w:line="560" w:lineRule="exact"/>
        <w:ind w:firstLine="420" w:firstLineChars="200"/>
        <w:rPr>
          <w:color w:val="auto"/>
        </w:rPr>
      </w:pPr>
      <w:r>
        <w:rPr>
          <w:rFonts w:hint="eastAsia"/>
          <w:color w:val="auto"/>
        </w:rPr>
        <w:t>(2)具有丰富的项目谋划经验，熟悉项目从立项、可行性研究、初步设计到施工图设计等各个阶段的工作流程和要求。熟悉项目谋划的各个环节，包括项目需求分析、规划分析、方案制定等，参与地区重大项目谋划项目2个以上，参与谋划的重大项目获得国债、专项债、中央资金等支持的项目2个以上。</w:t>
      </w:r>
    </w:p>
    <w:p>
      <w:pPr>
        <w:spacing w:line="560" w:lineRule="exact"/>
        <w:ind w:firstLine="420" w:firstLineChars="200"/>
        <w:rPr>
          <w:color w:val="auto"/>
        </w:rPr>
      </w:pPr>
      <w:r>
        <w:rPr>
          <w:rFonts w:hint="eastAsia"/>
          <w:color w:val="auto"/>
        </w:rPr>
        <w:t>(3)驻场人员应能够熟练使用CAD、Photoshop、PowerPoint软件进行绘图和设计，以支持项目谋划中的相关设计工作。</w:t>
      </w:r>
    </w:p>
    <w:p>
      <w:pPr>
        <w:spacing w:line="560" w:lineRule="exact"/>
        <w:ind w:firstLine="420" w:firstLineChars="200"/>
        <w:rPr>
          <w:color w:val="auto"/>
        </w:rPr>
      </w:pPr>
      <w:r>
        <w:rPr>
          <w:rFonts w:hint="eastAsia"/>
          <w:color w:val="auto"/>
        </w:rPr>
        <w:t>(4)常驻人员数量应不少于2人，服务期间原则上驻场天数不应小于180天。在特殊情况下，如常驻人员确需请假，在请假期间，常驻人员应确保项目的正常进行，必要时应提前做好工作安排或委托他人代为处理相关事务。除满足上述常驻要求外，常驻人员还应根据项目的实际需求，保持高度的灵活性和响应速度。在甲方提出需求时，应能够迅速作出反应，及时赶到现场或提供远程支持，确保项目的顺利进行。</w:t>
      </w:r>
    </w:p>
    <w:p>
      <w:pPr>
        <w:ind w:firstLine="420"/>
        <w:rPr>
          <w:color w:val="auto"/>
        </w:rPr>
      </w:pPr>
      <w:r>
        <w:rPr>
          <w:rFonts w:hint="eastAsia"/>
          <w:color w:val="auto"/>
        </w:rPr>
        <w:br w:type="page"/>
      </w:r>
    </w:p>
    <w:p>
      <w:pPr>
        <w:pStyle w:val="34"/>
        <w:rPr>
          <w:color w:val="auto"/>
        </w:rPr>
      </w:pPr>
    </w:p>
    <w:p>
      <w:pPr>
        <w:adjustRightInd w:val="0"/>
        <w:snapToGrid w:val="0"/>
        <w:spacing w:line="360" w:lineRule="auto"/>
        <w:ind w:firstLine="422"/>
        <w:jc w:val="center"/>
        <w:rPr>
          <w:color w:val="auto"/>
        </w:rPr>
      </w:pPr>
      <w:r>
        <w:rPr>
          <w:rFonts w:hint="eastAsia"/>
          <w:color w:val="auto"/>
        </w:rPr>
        <w:t>第三章供应商须知</w:t>
      </w:r>
    </w:p>
    <w:p>
      <w:pPr>
        <w:adjustRightInd w:val="0"/>
        <w:snapToGrid w:val="0"/>
        <w:spacing w:before="120" w:after="240" w:line="360" w:lineRule="auto"/>
        <w:ind w:firstLine="422"/>
        <w:jc w:val="center"/>
        <w:rPr>
          <w:color w:val="auto"/>
        </w:rPr>
      </w:pPr>
      <w:r>
        <w:rPr>
          <w:rFonts w:hint="eastAsia"/>
          <w:color w:val="auto"/>
        </w:rPr>
        <w:t>供应商须知前附表</w:t>
      </w:r>
    </w:p>
    <w:tbl>
      <w:tblPr>
        <w:tblStyle w:val="20"/>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pPr>
              <w:pStyle w:val="36"/>
              <w:autoSpaceDE/>
              <w:autoSpaceDN/>
              <w:snapToGrid w:val="0"/>
              <w:spacing w:line="400" w:lineRule="exact"/>
              <w:ind w:left="9"/>
              <w:jc w:val="center"/>
              <w:rPr>
                <w:rFonts w:asciiTheme="minorEastAsia" w:hAnsiTheme="minorEastAsia" w:eastAsiaTheme="minorEastAsia" w:cstheme="minorEastAsia"/>
                <w:b/>
                <w:color w:val="auto"/>
                <w:sz w:val="21"/>
                <w:szCs w:val="21"/>
                <w:lang w:val="zh-CN"/>
              </w:rPr>
            </w:pPr>
            <w:bookmarkStart w:id="32" w:name="_Toc246826106"/>
            <w:r>
              <w:rPr>
                <w:rFonts w:hint="eastAsia" w:asciiTheme="minorEastAsia" w:hAnsiTheme="minorEastAsia" w:eastAsiaTheme="minorEastAsia" w:cstheme="minorEastAsia"/>
                <w:b/>
                <w:color w:val="auto"/>
                <w:sz w:val="21"/>
                <w:szCs w:val="21"/>
                <w:lang w:val="zh-CN"/>
              </w:rPr>
              <w:t>序号</w:t>
            </w:r>
          </w:p>
        </w:tc>
        <w:tc>
          <w:tcPr>
            <w:tcW w:w="2435" w:type="dxa"/>
            <w:tcBorders>
              <w:top w:val="single" w:color="auto" w:sz="18" w:space="0"/>
              <w:left w:val="single" w:color="auto" w:sz="4" w:space="0"/>
              <w:bottom w:val="single" w:color="auto" w:sz="8" w:space="0"/>
              <w:right w:val="single" w:color="auto" w:sz="8" w:space="0"/>
            </w:tcBorders>
            <w:vAlign w:val="center"/>
          </w:tcPr>
          <w:p>
            <w:pPr>
              <w:pStyle w:val="36"/>
              <w:autoSpaceDE/>
              <w:autoSpaceDN/>
              <w:snapToGrid w:val="0"/>
              <w:spacing w:line="400" w:lineRule="exact"/>
              <w:jc w:val="center"/>
              <w:rPr>
                <w:rFonts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条款名称</w:t>
            </w:r>
          </w:p>
        </w:tc>
        <w:tc>
          <w:tcPr>
            <w:tcW w:w="5220" w:type="dxa"/>
            <w:tcBorders>
              <w:top w:val="single" w:color="auto" w:sz="18" w:space="0"/>
              <w:left w:val="single" w:color="auto" w:sz="8" w:space="0"/>
              <w:bottom w:val="single" w:color="auto" w:sz="8" w:space="0"/>
              <w:right w:val="single" w:color="auto" w:sz="18" w:space="0"/>
            </w:tcBorders>
            <w:vAlign w:val="center"/>
          </w:tcPr>
          <w:p>
            <w:pPr>
              <w:pStyle w:val="36"/>
              <w:autoSpaceDE/>
              <w:autoSpaceDN/>
              <w:snapToGrid w:val="0"/>
              <w:spacing w:line="400" w:lineRule="exact"/>
              <w:jc w:val="center"/>
              <w:rPr>
                <w:rFonts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6"/>
              <w:autoSpaceDE/>
              <w:autoSpaceDN/>
              <w:snapToGrid w:val="0"/>
              <w:spacing w:line="400" w:lineRule="exact"/>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400" w:lineRule="exact"/>
              <w:ind w:left="105" w:leftChars="50"/>
              <w:rPr>
                <w:color w:val="auto"/>
                <w:lang w:val="zh-CN"/>
              </w:rPr>
            </w:pPr>
            <w:r>
              <w:rPr>
                <w:rFonts w:hint="eastAsia"/>
                <w:color w:val="auto"/>
                <w:lang w:val="zh-CN"/>
              </w:rPr>
              <w:t>有无带</w:t>
            </w:r>
            <w:r>
              <w:rPr>
                <w:rFonts w:hint="eastAsia"/>
                <w:color w:val="auto"/>
              </w:rPr>
              <w:t>★</w:t>
            </w:r>
            <w:r>
              <w:rPr>
                <w:rFonts w:hint="eastAsia"/>
                <w:color w:val="auto"/>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400" w:lineRule="exact"/>
              <w:ind w:left="105" w:leftChars="50"/>
              <w:rPr>
                <w:color w:val="auto"/>
              </w:rPr>
            </w:pPr>
            <w:r>
              <w:rPr>
                <w:rFonts w:hint="eastAsia"/>
                <w:color w:val="auto"/>
                <w:lang w:val="zh-CN"/>
              </w:rPr>
              <w:t>（</w:t>
            </w:r>
            <w:r>
              <w:rPr>
                <w:rFonts w:hint="eastAsia"/>
                <w:color w:val="auto"/>
              </w:rPr>
              <w:t>无)</w:t>
            </w:r>
          </w:p>
          <w:p>
            <w:pPr>
              <w:adjustRightInd w:val="0"/>
              <w:snapToGrid w:val="0"/>
              <w:spacing w:line="400" w:lineRule="exact"/>
              <w:ind w:left="105" w:leftChars="50"/>
              <w:rPr>
                <w:color w:val="auto"/>
              </w:rPr>
            </w:pPr>
            <w:r>
              <w:rPr>
                <w:rFonts w:hint="eastAsia"/>
                <w:color w:val="auto"/>
                <w:lang w:val="zh-CN"/>
              </w:rPr>
              <w:t>有，</w:t>
            </w:r>
            <w:r>
              <w:rPr>
                <w:rFonts w:hint="eastAsia"/>
                <w:color w:val="auto"/>
              </w:rPr>
              <w:t>带</w:t>
            </w:r>
            <w:r>
              <w:rPr>
                <w:rFonts w:hint="eastAsia"/>
                <w:color w:val="auto"/>
                <w:lang w:val="zh-CN"/>
              </w:rPr>
              <w:t>★</w:t>
            </w:r>
            <w:r>
              <w:rPr>
                <w:rFonts w:hint="eastAsia"/>
                <w:color w:val="auto"/>
              </w:rPr>
              <w:t>的是实质性要求，供应商</w:t>
            </w:r>
            <w:r>
              <w:rPr>
                <w:rFonts w:hint="eastAsia"/>
                <w:color w:val="auto"/>
                <w:lang w:val="zh-CN"/>
              </w:rPr>
              <w:t>必须作出实质性响应满足或优于采购文件的要求，否则视为无效</w:t>
            </w:r>
            <w:r>
              <w:rPr>
                <w:rFonts w:hint="eastAsia"/>
                <w:color w:val="auto"/>
              </w:rPr>
              <w:t>响应</w:t>
            </w:r>
            <w:r>
              <w:rPr>
                <w:rFonts w:hint="eastAsia"/>
                <w:color w:val="auto"/>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6"/>
              <w:autoSpaceDE/>
              <w:autoSpaceDN/>
              <w:snapToGrid w:val="0"/>
              <w:spacing w:line="400" w:lineRule="exact"/>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400" w:lineRule="exact"/>
              <w:ind w:left="105" w:leftChars="50"/>
              <w:jc w:val="left"/>
              <w:rPr>
                <w:color w:val="auto"/>
              </w:rPr>
            </w:pPr>
            <w:r>
              <w:rPr>
                <w:rFonts w:hint="eastAsia"/>
                <w:color w:val="auto"/>
              </w:rPr>
              <w:t>标前现场考察或/和标前答疑会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400" w:lineRule="exact"/>
              <w:ind w:left="105" w:leftChars="50"/>
              <w:rPr>
                <w:color w:val="auto"/>
                <w:lang w:val="zh-CN"/>
              </w:rPr>
            </w:pPr>
            <w:r>
              <w:rPr>
                <w:rFonts w:hint="eastAsia"/>
                <w:color w:val="auto"/>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6"/>
              <w:autoSpaceDE/>
              <w:autoSpaceDN/>
              <w:snapToGrid w:val="0"/>
              <w:spacing w:line="400" w:lineRule="exact"/>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pPr>
              <w:pStyle w:val="36"/>
              <w:autoSpaceDE/>
              <w:autoSpaceDN/>
              <w:snapToGrid w:val="0"/>
              <w:spacing w:line="400" w:lineRule="exact"/>
              <w:ind w:left="105" w:leftChars="50"/>
              <w:jc w:val="both"/>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400" w:lineRule="exact"/>
              <w:ind w:left="105" w:leftChars="50"/>
              <w:rPr>
                <w:color w:val="auto"/>
                <w:kern w:val="0"/>
                <w:lang w:val="zh-CN"/>
              </w:rPr>
            </w:pPr>
            <w:r>
              <w:rPr>
                <w:rFonts w:hint="eastAsia"/>
                <w:color w:val="auto"/>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6"/>
              <w:autoSpaceDE/>
              <w:autoSpaceDN/>
              <w:snapToGrid w:val="0"/>
              <w:spacing w:line="400" w:lineRule="exact"/>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pPr>
              <w:pStyle w:val="36"/>
              <w:autoSpaceDE/>
              <w:autoSpaceDN/>
              <w:snapToGrid w:val="0"/>
              <w:spacing w:line="400" w:lineRule="exact"/>
              <w:ind w:left="105" w:leftChars="50"/>
              <w:jc w:val="both"/>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本项目是否接受备选响应方案</w:t>
            </w:r>
          </w:p>
        </w:tc>
        <w:tc>
          <w:tcPr>
            <w:tcW w:w="5220" w:type="dxa"/>
            <w:tcBorders>
              <w:top w:val="single" w:color="auto" w:sz="8" w:space="0"/>
              <w:left w:val="single" w:color="auto" w:sz="8" w:space="0"/>
              <w:bottom w:val="single" w:color="auto" w:sz="8" w:space="0"/>
              <w:right w:val="single" w:color="auto" w:sz="18" w:space="0"/>
            </w:tcBorders>
            <w:vAlign w:val="center"/>
          </w:tcPr>
          <w:p>
            <w:pPr>
              <w:widowControl/>
              <w:tabs>
                <w:tab w:val="left" w:pos="425"/>
              </w:tabs>
              <w:spacing w:line="400" w:lineRule="exact"/>
              <w:ind w:left="210" w:leftChars="100"/>
              <w:jc w:val="left"/>
              <w:rPr>
                <w:rFonts w:asciiTheme="minorEastAsia" w:hAnsiTheme="minorEastAsia" w:eastAsiaTheme="minorEastAsia" w:cstheme="minorEastAsia"/>
                <w:color w:val="auto"/>
              </w:rPr>
            </w:pPr>
            <w:r>
              <w:rPr>
                <w:rFonts w:hint="eastAsia"/>
                <w:color w:val="auto"/>
                <w:lang w:val="zh-CN"/>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6"/>
              <w:autoSpaceDE/>
              <w:autoSpaceDN/>
              <w:snapToGrid w:val="0"/>
              <w:spacing w:line="400" w:lineRule="exact"/>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pPr>
              <w:pStyle w:val="36"/>
              <w:autoSpaceDE/>
              <w:autoSpaceDN/>
              <w:snapToGrid w:val="0"/>
              <w:spacing w:line="400" w:lineRule="exact"/>
              <w:ind w:left="105" w:leftChars="5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pPr>
              <w:widowControl/>
              <w:tabs>
                <w:tab w:val="left" w:pos="425"/>
              </w:tabs>
              <w:spacing w:line="400" w:lineRule="exact"/>
              <w:ind w:left="210" w:leftChars="100"/>
              <w:jc w:val="left"/>
              <w:rPr>
                <w:color w:val="auto"/>
                <w:lang w:val="zh-CN"/>
              </w:rPr>
            </w:pPr>
            <w:r>
              <w:rPr>
                <w:rFonts w:hint="eastAsia"/>
                <w:color w:val="auto"/>
              </w:rPr>
              <w:t>1</w:t>
            </w:r>
            <w:r>
              <w:rPr>
                <w:rFonts w:hint="eastAsia"/>
                <w:color w:val="auto"/>
                <w:lang w:val="zh-CN"/>
              </w:rPr>
              <w:t>、</w:t>
            </w:r>
            <w:r>
              <w:rPr>
                <w:rFonts w:hint="eastAsia"/>
                <w:color w:val="auto"/>
              </w:rPr>
              <w:t>响应</w:t>
            </w:r>
            <w:r>
              <w:rPr>
                <w:rFonts w:hint="eastAsia"/>
                <w:color w:val="auto"/>
                <w:lang w:val="zh-CN"/>
              </w:rPr>
              <w:t>声明函；</w:t>
            </w:r>
          </w:p>
          <w:p>
            <w:pPr>
              <w:widowControl/>
              <w:tabs>
                <w:tab w:val="left" w:pos="425"/>
              </w:tabs>
              <w:spacing w:line="400" w:lineRule="exact"/>
              <w:ind w:left="210" w:leftChars="100"/>
              <w:jc w:val="left"/>
              <w:rPr>
                <w:color w:val="auto"/>
                <w:lang w:val="zh-CN"/>
              </w:rPr>
            </w:pPr>
            <w:r>
              <w:rPr>
                <w:rFonts w:hint="eastAsia"/>
                <w:color w:val="auto"/>
                <w:lang w:val="zh-CN"/>
              </w:rPr>
              <w:t>2、法定代表人授权委托书（提供委托代理人的身份证复印件，非中国国籍的则提供护照复印件）（非法定代表人签署响应文件适用）；</w:t>
            </w:r>
          </w:p>
          <w:p>
            <w:pPr>
              <w:widowControl/>
              <w:tabs>
                <w:tab w:val="left" w:pos="425"/>
              </w:tabs>
              <w:spacing w:line="400" w:lineRule="exact"/>
              <w:ind w:left="210" w:leftChars="100"/>
              <w:jc w:val="left"/>
              <w:rPr>
                <w:color w:val="auto"/>
                <w:lang w:val="zh-CN"/>
              </w:rPr>
            </w:pPr>
            <w:r>
              <w:rPr>
                <w:rFonts w:hint="eastAsia"/>
                <w:color w:val="auto"/>
                <w:lang w:val="zh-CN"/>
              </w:rPr>
              <w:t>3、法定代表人身份证明书（提供法定代表人身份证复印件，非中国国籍的则提供护照复印件）；</w:t>
            </w:r>
          </w:p>
          <w:p>
            <w:pPr>
              <w:widowControl/>
              <w:tabs>
                <w:tab w:val="left" w:pos="425"/>
              </w:tabs>
              <w:snapToGrid w:val="0"/>
              <w:spacing w:line="400" w:lineRule="exact"/>
              <w:ind w:left="210" w:leftChars="100"/>
              <w:rPr>
                <w:color w:val="auto"/>
                <w:lang w:val="zh-CN"/>
              </w:rPr>
            </w:pPr>
            <w:r>
              <w:rPr>
                <w:rFonts w:hint="eastAsia"/>
                <w:color w:val="auto"/>
                <w:lang w:val="zh-CN"/>
              </w:rPr>
              <w:t>4、提供营业执照副本、或事业单位法人证书（事业单位）、或执业许可证（非企业专业服务机构）的复印件；如果供应商为自然人的则提供身份证复印件；</w:t>
            </w:r>
          </w:p>
          <w:p>
            <w:pPr>
              <w:widowControl/>
              <w:tabs>
                <w:tab w:val="left" w:pos="425"/>
              </w:tabs>
              <w:snapToGrid w:val="0"/>
              <w:spacing w:line="400" w:lineRule="exact"/>
              <w:ind w:left="210" w:leftChars="100"/>
              <w:rPr>
                <w:rFonts w:ascii="宋体" w:hAnsi="宋体" w:cs="宋体"/>
                <w:color w:val="auto"/>
                <w:lang w:val="zh-CN"/>
              </w:rPr>
            </w:pPr>
            <w:r>
              <w:rPr>
                <w:rFonts w:hint="eastAsia" w:ascii="宋体" w:hAnsi="宋体" w:cs="宋体"/>
                <w:color w:val="auto"/>
                <w:lang w:val="zh-CN"/>
              </w:rPr>
              <w:t>5、</w:t>
            </w:r>
            <w:r>
              <w:rPr>
                <w:rFonts w:hint="eastAsia"/>
                <w:color w:val="auto"/>
              </w:rPr>
              <w:t>具有良好的商业信誉和健全的财务会计制度、具有履行合同所必需的设备和专业技术能力、有依法缴纳税收和社会保障资金的良好记录及参加政府采购活动前三年内，在经营活动中没有重大违法记录的资格承诺函（详见格式6）；</w:t>
            </w:r>
          </w:p>
          <w:p>
            <w:pPr>
              <w:widowControl/>
              <w:tabs>
                <w:tab w:val="left" w:pos="425"/>
              </w:tabs>
              <w:snapToGrid w:val="0"/>
              <w:spacing w:line="400" w:lineRule="exact"/>
              <w:ind w:left="210" w:leftChars="100"/>
              <w:rPr>
                <w:color w:val="auto"/>
                <w:lang w:val="zh-CN"/>
              </w:rPr>
            </w:pPr>
            <w:r>
              <w:rPr>
                <w:rFonts w:hint="eastAsia"/>
                <w:color w:val="auto"/>
              </w:rPr>
              <w:t>6</w:t>
            </w:r>
            <w:r>
              <w:rPr>
                <w:rFonts w:hint="eastAsia"/>
                <w:color w:val="auto"/>
                <w:lang w:val="zh-CN"/>
              </w:rPr>
              <w:t>、资格审查及符合性审查要求提供的其他资料（详见资格审查表及符合性审查表要求）；</w:t>
            </w:r>
          </w:p>
          <w:p>
            <w:pPr>
              <w:widowControl/>
              <w:tabs>
                <w:tab w:val="left" w:pos="425"/>
              </w:tabs>
              <w:snapToGrid w:val="0"/>
              <w:spacing w:line="400" w:lineRule="exact"/>
              <w:ind w:left="210" w:leftChars="100"/>
              <w:rPr>
                <w:color w:val="auto"/>
                <w:lang w:val="zh-CN"/>
              </w:rPr>
            </w:pPr>
            <w:r>
              <w:rPr>
                <w:rFonts w:hint="eastAsia"/>
                <w:color w:val="auto"/>
              </w:rPr>
              <w:t>7</w:t>
            </w:r>
            <w:r>
              <w:rPr>
                <w:rFonts w:hint="eastAsia"/>
                <w:color w:val="auto"/>
                <w:lang w:val="zh-CN"/>
              </w:rPr>
              <w:t>、评审标准要求提供的其他资料（详见评审细则要求）；</w:t>
            </w:r>
          </w:p>
          <w:p>
            <w:pPr>
              <w:adjustRightInd w:val="0"/>
              <w:snapToGrid w:val="0"/>
              <w:spacing w:line="400" w:lineRule="exact"/>
              <w:ind w:left="210" w:leftChars="100"/>
              <w:jc w:val="left"/>
              <w:rPr>
                <w:rFonts w:asciiTheme="minorEastAsia" w:hAnsiTheme="minorEastAsia" w:eastAsiaTheme="minorEastAsia" w:cstheme="minorEastAsia"/>
                <w:color w:val="auto"/>
                <w:lang w:val="zh-CN"/>
              </w:rPr>
            </w:pPr>
            <w:r>
              <w:rPr>
                <w:rFonts w:hint="eastAsia"/>
                <w:color w:val="auto"/>
              </w:rPr>
              <w:t>8</w:t>
            </w:r>
            <w:r>
              <w:rPr>
                <w:rFonts w:hint="eastAsia"/>
                <w:color w:val="auto"/>
                <w:lang w:val="zh-CN"/>
              </w:rPr>
              <w:t>、供应商认为需要提供的其他资格证明文件和商务资料。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6"/>
              <w:autoSpaceDE/>
              <w:autoSpaceDN/>
              <w:snapToGrid w:val="0"/>
              <w:spacing w:line="400" w:lineRule="exact"/>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400" w:lineRule="exact"/>
              <w:ind w:left="105" w:leftChars="50"/>
              <w:jc w:val="left"/>
              <w:rPr>
                <w:color w:val="auto"/>
              </w:rPr>
            </w:pPr>
            <w:r>
              <w:rPr>
                <w:rFonts w:hint="eastAsia"/>
                <w:color w:val="auto"/>
                <w:lang w:val="zh-CN"/>
              </w:rPr>
              <w:t>本项目要求供应商</w:t>
            </w:r>
            <w:r>
              <w:rPr>
                <w:rFonts w:hint="eastAsia"/>
                <w:color w:val="auto"/>
                <w:kern w:val="0"/>
                <w:lang w:val="zh-CN"/>
              </w:rPr>
              <w:t>提供的</w:t>
            </w:r>
            <w:r>
              <w:rPr>
                <w:rFonts w:hint="eastAsia"/>
                <w:color w:val="auto"/>
                <w:kern w:val="0"/>
              </w:rPr>
              <w:t>响应</w:t>
            </w:r>
            <w:r>
              <w:rPr>
                <w:rFonts w:hint="eastAsia"/>
                <w:color w:val="auto"/>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400" w:lineRule="exact"/>
              <w:ind w:left="105" w:leftChars="50"/>
              <w:rPr>
                <w:color w:val="auto"/>
                <w:lang w:val="zh-CN"/>
              </w:rPr>
            </w:pPr>
            <w:r>
              <w:rPr>
                <w:rFonts w:hint="eastAsia"/>
                <w:color w:val="auto"/>
              </w:rPr>
              <w:t>1、</w:t>
            </w:r>
            <w:r>
              <w:rPr>
                <w:rFonts w:hint="eastAsia"/>
                <w:color w:val="auto"/>
                <w:lang w:val="zh-CN"/>
              </w:rPr>
              <w:t>开标一览表</w:t>
            </w:r>
          </w:p>
          <w:p>
            <w:pPr>
              <w:adjustRightInd w:val="0"/>
              <w:snapToGrid w:val="0"/>
              <w:spacing w:line="400" w:lineRule="exact"/>
              <w:ind w:left="105" w:leftChars="50"/>
              <w:rPr>
                <w:color w:val="auto"/>
                <w:lang w:val="zh-CN"/>
              </w:rPr>
            </w:pPr>
            <w:r>
              <w:rPr>
                <w:rFonts w:hint="eastAsia"/>
                <w:color w:val="auto"/>
              </w:rPr>
              <w:t>2、响应</w:t>
            </w:r>
            <w:r>
              <w:rPr>
                <w:rFonts w:hint="eastAsia"/>
                <w:color w:val="auto"/>
                <w:lang w:val="zh-CN"/>
              </w:rPr>
              <w:t>报价明细表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6"/>
              <w:autoSpaceDE/>
              <w:autoSpaceDN/>
              <w:snapToGrid w:val="0"/>
              <w:spacing w:line="400" w:lineRule="exact"/>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pPr>
              <w:pStyle w:val="36"/>
              <w:autoSpaceDE/>
              <w:autoSpaceDN/>
              <w:snapToGrid w:val="0"/>
              <w:spacing w:line="400" w:lineRule="exact"/>
              <w:ind w:left="105" w:leftChars="50"/>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响应</w:t>
            </w:r>
            <w:r>
              <w:rPr>
                <w:rFonts w:hint="eastAsia" w:asciiTheme="minorEastAsia" w:hAnsiTheme="minorEastAsia" w:eastAsiaTheme="minorEastAsia" w:cstheme="minorEastAsia"/>
                <w:bCs/>
                <w:color w:val="auto"/>
                <w:sz w:val="21"/>
                <w:szCs w:val="21"/>
                <w:lang w:val="zh-CN"/>
              </w:rPr>
              <w:t>有效期</w:t>
            </w:r>
          </w:p>
        </w:tc>
        <w:tc>
          <w:tcPr>
            <w:tcW w:w="5220" w:type="dxa"/>
            <w:tcBorders>
              <w:top w:val="single" w:color="auto" w:sz="8" w:space="0"/>
              <w:left w:val="single" w:color="auto" w:sz="8" w:space="0"/>
              <w:bottom w:val="single" w:color="auto" w:sz="8" w:space="0"/>
              <w:right w:val="single" w:color="auto" w:sz="18" w:space="0"/>
            </w:tcBorders>
            <w:vAlign w:val="center"/>
          </w:tcPr>
          <w:p>
            <w:pPr>
              <w:pStyle w:val="36"/>
              <w:autoSpaceDE/>
              <w:autoSpaceDN/>
              <w:snapToGrid w:val="0"/>
              <w:spacing w:line="400" w:lineRule="exact"/>
              <w:ind w:left="105" w:leftChars="50"/>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自响应文件递交截止之日起90天。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6"/>
              <w:autoSpaceDE/>
              <w:autoSpaceDN/>
              <w:snapToGrid w:val="0"/>
              <w:spacing w:line="400" w:lineRule="exact"/>
              <w:ind w:left="9"/>
              <w:jc w:val="center"/>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9</w:t>
            </w:r>
          </w:p>
        </w:tc>
        <w:tc>
          <w:tcPr>
            <w:tcW w:w="2435" w:type="dxa"/>
            <w:tcBorders>
              <w:top w:val="single" w:color="auto" w:sz="8" w:space="0"/>
              <w:left w:val="single" w:color="auto" w:sz="4" w:space="0"/>
              <w:bottom w:val="single" w:color="auto" w:sz="8" w:space="0"/>
              <w:right w:val="single" w:color="auto" w:sz="8" w:space="0"/>
            </w:tcBorders>
            <w:vAlign w:val="center"/>
          </w:tcPr>
          <w:p>
            <w:pPr>
              <w:pStyle w:val="36"/>
              <w:autoSpaceDE/>
              <w:autoSpaceDN/>
              <w:snapToGrid w:val="0"/>
              <w:spacing w:line="400" w:lineRule="exact"/>
              <w:ind w:left="105" w:leftChars="50"/>
              <w:rPr>
                <w:bCs/>
                <w:color w:val="auto"/>
                <w:kern w:val="2"/>
                <w:sz w:val="21"/>
                <w:szCs w:val="21"/>
              </w:rPr>
            </w:pPr>
            <w:r>
              <w:rPr>
                <w:rFonts w:hint="eastAsia"/>
                <w:bCs/>
                <w:color w:val="auto"/>
                <w:kern w:val="2"/>
                <w:sz w:val="21"/>
                <w:szCs w:val="21"/>
                <w:lang w:val="zh-CN"/>
              </w:rPr>
              <w:t>响应保证金</w:t>
            </w:r>
            <w:r>
              <w:rPr>
                <w:rFonts w:hint="eastAsia"/>
                <w:bCs/>
                <w:color w:val="auto"/>
                <w:kern w:val="2"/>
                <w:sz w:val="21"/>
                <w:szCs w:val="21"/>
              </w:rPr>
              <w:t>要求</w:t>
            </w:r>
          </w:p>
          <w:p>
            <w:pPr>
              <w:pStyle w:val="36"/>
              <w:autoSpaceDE/>
              <w:autoSpaceDN/>
              <w:snapToGrid w:val="0"/>
              <w:spacing w:line="400" w:lineRule="exact"/>
              <w:ind w:left="105" w:leftChars="50"/>
              <w:rPr>
                <w:bCs/>
                <w:color w:val="auto"/>
                <w:kern w:val="2"/>
                <w:sz w:val="21"/>
                <w:szCs w:val="21"/>
              </w:rPr>
            </w:pPr>
          </w:p>
        </w:tc>
        <w:tc>
          <w:tcPr>
            <w:tcW w:w="5220" w:type="dxa"/>
            <w:tcBorders>
              <w:top w:val="single" w:color="auto" w:sz="8" w:space="0"/>
              <w:left w:val="single" w:color="auto" w:sz="8" w:space="0"/>
              <w:bottom w:val="single" w:color="auto" w:sz="8" w:space="0"/>
              <w:right w:val="single" w:color="auto" w:sz="18" w:space="0"/>
            </w:tcBorders>
            <w:vAlign w:val="center"/>
          </w:tcPr>
          <w:p>
            <w:pPr>
              <w:pStyle w:val="7"/>
              <w:adjustRightInd w:val="0"/>
              <w:snapToGrid w:val="0"/>
              <w:spacing w:line="400" w:lineRule="exact"/>
              <w:rPr>
                <w:rFonts w:asciiTheme="minorEastAsia" w:hAnsiTheme="minorEastAsia" w:cstheme="minorEastAsia"/>
                <w:color w:val="auto"/>
              </w:rPr>
            </w:pPr>
            <w:r>
              <w:rPr>
                <w:rFonts w:hint="eastAsia"/>
                <w:color w:val="auto"/>
              </w:rPr>
              <w:t>本项目不收取保证金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6"/>
              <w:autoSpaceDE/>
              <w:autoSpaceDN/>
              <w:snapToGrid w:val="0"/>
              <w:spacing w:line="400" w:lineRule="exact"/>
              <w:ind w:left="9"/>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pPr>
              <w:pStyle w:val="36"/>
              <w:autoSpaceDE/>
              <w:autoSpaceDN/>
              <w:snapToGrid w:val="0"/>
              <w:spacing w:line="400" w:lineRule="exact"/>
              <w:ind w:left="105" w:leftChars="50"/>
              <w:jc w:val="both"/>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响应</w:t>
            </w:r>
            <w:r>
              <w:rPr>
                <w:rFonts w:hint="eastAsia" w:asciiTheme="minorEastAsia" w:hAnsiTheme="minorEastAsia" w:eastAsiaTheme="minorEastAsia" w:cstheme="minorEastAsia"/>
                <w:bCs/>
                <w:color w:val="auto"/>
                <w:sz w:val="21"/>
                <w:szCs w:val="21"/>
                <w:lang w:val="zh-CN"/>
              </w:rPr>
              <w:t>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7"/>
              <w:adjustRightInd w:val="0"/>
              <w:snapToGrid w:val="0"/>
              <w:spacing w:line="400" w:lineRule="exact"/>
              <w:ind w:left="105" w:leftChars="50"/>
              <w:rPr>
                <w:color w:val="auto"/>
                <w:lang w:val="zh-CN"/>
              </w:rPr>
            </w:pPr>
            <w:r>
              <w:rPr>
                <w:rFonts w:hint="eastAsia"/>
                <w:color w:val="auto"/>
                <w:lang w:val="zh-CN"/>
              </w:rPr>
              <w:fldChar w:fldCharType="begin"/>
            </w:r>
            <w:r>
              <w:rPr>
                <w:rFonts w:hint="eastAsia"/>
                <w:color w:val="auto"/>
                <w:lang w:val="zh-CN"/>
              </w:rPr>
              <w:instrText xml:space="preserve"> = 1 \* GB3 \* MERGEFORMAT </w:instrText>
            </w:r>
            <w:r>
              <w:rPr>
                <w:rFonts w:hint="eastAsia"/>
                <w:color w:val="auto"/>
                <w:lang w:val="zh-CN"/>
              </w:rPr>
              <w:fldChar w:fldCharType="separate"/>
            </w:r>
            <w:r>
              <w:rPr>
                <w:rFonts w:hint="eastAsia"/>
                <w:color w:val="auto"/>
              </w:rPr>
              <w:t>①</w:t>
            </w:r>
            <w:r>
              <w:rPr>
                <w:rFonts w:hint="eastAsia"/>
                <w:color w:val="auto"/>
                <w:lang w:val="zh-CN"/>
              </w:rPr>
              <w:fldChar w:fldCharType="end"/>
            </w:r>
            <w:r>
              <w:rPr>
                <w:rFonts w:hint="eastAsia"/>
                <w:color w:val="auto"/>
                <w:lang w:val="zh-CN"/>
              </w:rPr>
              <w:t>正本</w:t>
            </w:r>
            <w:r>
              <w:rPr>
                <w:rFonts w:hint="eastAsia"/>
                <w:color w:val="auto"/>
                <w:u w:val="single"/>
                <w:lang w:val="zh-CN"/>
              </w:rPr>
              <w:t>一</w:t>
            </w:r>
            <w:r>
              <w:rPr>
                <w:rFonts w:hint="eastAsia"/>
                <w:color w:val="auto"/>
                <w:lang w:val="zh-CN"/>
              </w:rPr>
              <w:t>份</w:t>
            </w:r>
            <w:r>
              <w:rPr>
                <w:rFonts w:hint="eastAsia"/>
                <w:color w:val="auto"/>
                <w:lang w:val="zh-CN"/>
              </w:rPr>
              <w:fldChar w:fldCharType="begin"/>
            </w:r>
            <w:r>
              <w:rPr>
                <w:rFonts w:hint="eastAsia"/>
                <w:color w:val="auto"/>
                <w:lang w:val="zh-CN"/>
              </w:rPr>
              <w:instrText xml:space="preserve"> = 2 \* GB3 \* MERGEFORMAT </w:instrText>
            </w:r>
            <w:r>
              <w:rPr>
                <w:rFonts w:hint="eastAsia"/>
                <w:color w:val="auto"/>
                <w:lang w:val="zh-CN"/>
              </w:rPr>
              <w:fldChar w:fldCharType="separate"/>
            </w:r>
            <w:r>
              <w:rPr>
                <w:rFonts w:hint="eastAsia"/>
                <w:color w:val="auto"/>
              </w:rPr>
              <w:t>②</w:t>
            </w:r>
            <w:r>
              <w:rPr>
                <w:rFonts w:hint="eastAsia"/>
                <w:color w:val="auto"/>
                <w:lang w:val="zh-CN"/>
              </w:rPr>
              <w:fldChar w:fldCharType="end"/>
            </w:r>
            <w:r>
              <w:rPr>
                <w:rFonts w:hint="eastAsia"/>
                <w:color w:val="auto"/>
                <w:lang w:val="zh-CN"/>
              </w:rPr>
              <w:t>副本</w:t>
            </w:r>
            <w:r>
              <w:rPr>
                <w:rFonts w:hint="eastAsia"/>
                <w:color w:val="auto"/>
                <w:u w:val="single"/>
              </w:rPr>
              <w:t>贰</w:t>
            </w:r>
            <w:r>
              <w:rPr>
                <w:rFonts w:hint="eastAsia"/>
                <w:color w:val="auto"/>
                <w:lang w:val="zh-CN"/>
              </w:rPr>
              <w:t>份</w:t>
            </w:r>
            <w:r>
              <w:rPr>
                <w:rFonts w:hint="eastAsia"/>
                <w:color w:val="auto"/>
                <w:lang w:val="zh-CN"/>
              </w:rPr>
              <w:fldChar w:fldCharType="begin"/>
            </w:r>
            <w:r>
              <w:rPr>
                <w:rFonts w:hint="eastAsia"/>
                <w:color w:val="auto"/>
                <w:lang w:val="zh-CN"/>
              </w:rPr>
              <w:instrText xml:space="preserve"> = 3 \* GB3 \* MERGEFORMAT </w:instrText>
            </w:r>
            <w:r>
              <w:rPr>
                <w:rFonts w:hint="eastAsia"/>
                <w:color w:val="auto"/>
                <w:lang w:val="zh-CN"/>
              </w:rPr>
              <w:fldChar w:fldCharType="separate"/>
            </w:r>
            <w:r>
              <w:rPr>
                <w:rFonts w:hint="eastAsia"/>
                <w:color w:val="auto"/>
              </w:rPr>
              <w:t>③</w:t>
            </w:r>
            <w:r>
              <w:rPr>
                <w:rFonts w:hint="eastAsia"/>
                <w:color w:val="auto"/>
                <w:lang w:val="zh-CN"/>
              </w:rPr>
              <w:fldChar w:fldCharType="end"/>
            </w:r>
            <w:r>
              <w:rPr>
                <w:rFonts w:hint="eastAsia"/>
                <w:color w:val="auto"/>
                <w:lang w:val="zh-CN"/>
              </w:rPr>
              <w:t>电子版响应文件</w:t>
            </w:r>
            <w:r>
              <w:rPr>
                <w:rFonts w:hint="eastAsia"/>
                <w:color w:val="auto"/>
              </w:rPr>
              <w:t>U盘一个。</w:t>
            </w:r>
          </w:p>
          <w:p>
            <w:pPr>
              <w:tabs>
                <w:tab w:val="left" w:pos="420"/>
              </w:tabs>
              <w:adjustRightInd w:val="0"/>
              <w:snapToGrid w:val="0"/>
              <w:spacing w:line="400" w:lineRule="exact"/>
              <w:ind w:left="105" w:leftChars="50"/>
              <w:rPr>
                <w:color w:val="auto"/>
              </w:rPr>
            </w:pPr>
            <w:r>
              <w:rPr>
                <w:rFonts w:hint="eastAsia"/>
                <w:color w:val="auto"/>
              </w:rPr>
              <w:t>要求：</w:t>
            </w:r>
          </w:p>
          <w:p>
            <w:pPr>
              <w:tabs>
                <w:tab w:val="left" w:pos="420"/>
              </w:tabs>
              <w:adjustRightInd w:val="0"/>
              <w:snapToGrid w:val="0"/>
              <w:spacing w:line="400" w:lineRule="exact"/>
              <w:ind w:left="105" w:leftChars="50"/>
              <w:rPr>
                <w:color w:val="auto"/>
              </w:rPr>
            </w:pPr>
            <w:r>
              <w:rPr>
                <w:rFonts w:hint="eastAsia"/>
                <w:color w:val="auto"/>
              </w:rPr>
              <w:t>1、少于数量要求的响应文件视为无效响应文件。</w:t>
            </w:r>
          </w:p>
          <w:p>
            <w:pPr>
              <w:pStyle w:val="7"/>
              <w:adjustRightInd w:val="0"/>
              <w:snapToGrid w:val="0"/>
              <w:spacing w:line="400" w:lineRule="exact"/>
              <w:ind w:left="105" w:leftChars="50"/>
              <w:rPr>
                <w:color w:val="auto"/>
                <w:lang w:val="zh-CN"/>
              </w:rPr>
            </w:pPr>
            <w:r>
              <w:rPr>
                <w:rFonts w:hint="eastAsia"/>
                <w:color w:val="auto"/>
              </w:rPr>
              <w:t>2、电子版响应文件（电子版</w:t>
            </w:r>
            <w:r>
              <w:rPr>
                <w:rFonts w:hint="eastAsia"/>
                <w:color w:val="auto"/>
                <w:lang w:val="zh-CN"/>
              </w:rPr>
              <w:t>响应文件</w:t>
            </w:r>
            <w:r>
              <w:rPr>
                <w:rFonts w:hint="eastAsia"/>
                <w:color w:val="auto"/>
              </w:rPr>
              <w:t>须是PDF格式）为正本完整版的扫描件</w:t>
            </w:r>
            <w:r>
              <w:rPr>
                <w:rFonts w:hint="eastAsia"/>
                <w:color w:val="auto"/>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36"/>
              <w:autoSpaceDE/>
              <w:autoSpaceDN/>
              <w:snapToGrid w:val="0"/>
              <w:spacing w:line="400" w:lineRule="exact"/>
              <w:ind w:left="9"/>
              <w:jc w:val="center"/>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pPr>
              <w:pStyle w:val="36"/>
              <w:autoSpaceDE/>
              <w:autoSpaceDN/>
              <w:snapToGrid w:val="0"/>
              <w:spacing w:line="400" w:lineRule="exact"/>
              <w:ind w:left="105" w:leftChars="50"/>
              <w:jc w:val="both"/>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pPr>
              <w:pStyle w:val="36"/>
              <w:autoSpaceDE/>
              <w:autoSpaceDN/>
              <w:snapToGrid w:val="0"/>
              <w:spacing w:line="400" w:lineRule="exact"/>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1、响应文件正本和副本须密封，并在密封处加盖单位公章或供应商授权代表签名；</w:t>
            </w:r>
          </w:p>
          <w:p>
            <w:pPr>
              <w:pStyle w:val="36"/>
              <w:autoSpaceDE/>
              <w:autoSpaceDN/>
              <w:snapToGrid w:val="0"/>
              <w:spacing w:line="400" w:lineRule="exact"/>
              <w:rPr>
                <w:rFonts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sz w:val="21"/>
                <w:szCs w:val="21"/>
              </w:rPr>
              <w:t>2、电子版响应文件（PDF格式）与开标一览表一并密封，并在密封处加盖单位公章或供应商授权代表签名。</w:t>
            </w:r>
          </w:p>
          <w:p>
            <w:pPr>
              <w:pStyle w:val="36"/>
              <w:autoSpaceDE/>
              <w:autoSpaceDN/>
              <w:snapToGrid w:val="0"/>
              <w:spacing w:line="400" w:lineRule="exact"/>
              <w:rPr>
                <w:rFonts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sz w:val="21"/>
                <w:szCs w:val="21"/>
              </w:rPr>
              <w:t>3、电子版响应文件和纸质版响应文件一起提交。</w:t>
            </w:r>
          </w:p>
          <w:p>
            <w:pPr>
              <w:pStyle w:val="36"/>
              <w:autoSpaceDE/>
              <w:autoSpaceDN/>
              <w:snapToGrid w:val="0"/>
              <w:spacing w:line="400" w:lineRule="exact"/>
              <w:ind w:left="105" w:leftChars="50"/>
              <w:rPr>
                <w:rFonts w:asciiTheme="minorEastAsia" w:hAnsiTheme="minorEastAsia" w:eastAsiaTheme="minorEastAsia" w:cstheme="minorEastAsia"/>
                <w:bCs/>
                <w:color w:val="auto"/>
                <w:kern w:val="2"/>
                <w:sz w:val="21"/>
                <w:szCs w:val="21"/>
              </w:rPr>
            </w:pPr>
            <w:r>
              <w:rPr>
                <w:rFonts w:hint="eastAsia" w:asciiTheme="minorEastAsia" w:hAnsiTheme="minorEastAsia" w:eastAsiaTheme="minorEastAsia" w:cstheme="minorEastAsia"/>
                <w:bCs/>
                <w:color w:val="auto"/>
                <w:kern w:val="2"/>
                <w:sz w:val="21"/>
                <w:szCs w:val="21"/>
              </w:rPr>
              <w:t>要求：不符合上述密封签章要求的响应文件存在视为无效响应文件风险。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pPr>
              <w:pStyle w:val="6"/>
              <w:rPr>
                <w:color w:val="auto"/>
                <w:lang w:val="zh-CN"/>
              </w:rPr>
            </w:pPr>
            <w:r>
              <w:rPr>
                <w:rFonts w:hint="eastAsia"/>
                <w:color w:val="auto"/>
                <w:lang w:val="zh-CN"/>
              </w:rPr>
              <w:t>1</w:t>
            </w:r>
            <w:r>
              <w:rPr>
                <w:rFonts w:hint="eastAsia"/>
                <w:color w:val="auto"/>
              </w:rPr>
              <w:t>2</w:t>
            </w:r>
          </w:p>
        </w:tc>
        <w:tc>
          <w:tcPr>
            <w:tcW w:w="2435"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400" w:lineRule="exact"/>
              <w:ind w:left="105" w:leftChars="50"/>
              <w:rPr>
                <w:color w:val="auto"/>
              </w:rPr>
            </w:pPr>
            <w:r>
              <w:rPr>
                <w:rFonts w:hint="eastAsia"/>
                <w:color w:val="auto"/>
              </w:rPr>
              <w:t>响应文件封套上标示</w:t>
            </w:r>
          </w:p>
        </w:tc>
        <w:tc>
          <w:tcPr>
            <w:tcW w:w="5220" w:type="dxa"/>
            <w:tcBorders>
              <w:top w:val="single" w:color="auto" w:sz="8" w:space="0"/>
              <w:left w:val="single" w:color="auto" w:sz="8" w:space="0"/>
              <w:bottom w:val="single" w:color="auto" w:sz="8" w:space="0"/>
              <w:right w:val="single" w:color="auto" w:sz="18" w:space="0"/>
            </w:tcBorders>
            <w:vAlign w:val="center"/>
          </w:tcPr>
          <w:p>
            <w:pPr>
              <w:adjustRightInd w:val="0"/>
              <w:snapToGrid w:val="0"/>
              <w:spacing w:line="400" w:lineRule="exact"/>
              <w:ind w:left="105" w:leftChars="50"/>
              <w:rPr>
                <w:color w:val="auto"/>
              </w:rPr>
            </w:pPr>
            <w:r>
              <w:rPr>
                <w:rFonts w:hint="eastAsia"/>
                <w:color w:val="auto"/>
              </w:rPr>
              <w:t>响应文件正本（副本）</w:t>
            </w:r>
          </w:p>
          <w:p>
            <w:pPr>
              <w:adjustRightInd w:val="0"/>
              <w:snapToGrid w:val="0"/>
              <w:spacing w:line="400" w:lineRule="exact"/>
              <w:ind w:left="105" w:leftChars="50"/>
              <w:rPr>
                <w:color w:val="auto"/>
                <w:u w:val="single"/>
              </w:rPr>
            </w:pPr>
            <w:r>
              <w:rPr>
                <w:rFonts w:hint="eastAsia"/>
                <w:color w:val="auto"/>
              </w:rPr>
              <w:t>项目名称:</w:t>
            </w:r>
          </w:p>
          <w:p>
            <w:pPr>
              <w:adjustRightInd w:val="0"/>
              <w:snapToGrid w:val="0"/>
              <w:spacing w:line="400" w:lineRule="exact"/>
              <w:ind w:left="105" w:leftChars="50"/>
              <w:rPr>
                <w:color w:val="auto"/>
              </w:rPr>
            </w:pPr>
            <w:r>
              <w:rPr>
                <w:rFonts w:hint="eastAsia"/>
                <w:color w:val="auto"/>
              </w:rPr>
              <w:t>项目编号（分包号，如果有）：</w:t>
            </w:r>
          </w:p>
          <w:p>
            <w:pPr>
              <w:adjustRightInd w:val="0"/>
              <w:snapToGrid w:val="0"/>
              <w:spacing w:line="400" w:lineRule="exact"/>
              <w:ind w:left="105" w:leftChars="50"/>
              <w:rPr>
                <w:color w:val="auto"/>
              </w:rPr>
            </w:pPr>
            <w:r>
              <w:rPr>
                <w:rFonts w:hint="eastAsia"/>
                <w:color w:val="auto"/>
              </w:rPr>
              <w:t>供应商的名称（加盖公章）：</w:t>
            </w:r>
          </w:p>
          <w:p>
            <w:pPr>
              <w:adjustRightInd w:val="0"/>
              <w:snapToGrid w:val="0"/>
              <w:spacing w:line="400" w:lineRule="exact"/>
              <w:ind w:left="105" w:leftChars="50"/>
              <w:rPr>
                <w:color w:val="auto"/>
              </w:rPr>
            </w:pPr>
            <w:r>
              <w:rPr>
                <w:rFonts w:hint="eastAsia"/>
                <w:color w:val="auto"/>
              </w:rPr>
              <w:t>供应商联系人姓名、联系电话：</w:t>
            </w:r>
          </w:p>
          <w:p>
            <w:pPr>
              <w:adjustRightInd w:val="0"/>
              <w:snapToGrid w:val="0"/>
              <w:spacing w:line="400" w:lineRule="exact"/>
              <w:ind w:left="105" w:leftChars="50"/>
              <w:rPr>
                <w:color w:val="auto"/>
              </w:rPr>
            </w:pPr>
            <w:r>
              <w:rPr>
                <w:rFonts w:hint="eastAsia"/>
                <w:color w:val="auto"/>
              </w:rPr>
              <w:t>于在2024</w:t>
            </w:r>
            <w:r>
              <w:rPr>
                <w:rFonts w:hint="eastAsia"/>
                <w:color w:val="auto"/>
                <w:lang w:val="zh-CN"/>
              </w:rPr>
              <w:t>年</w:t>
            </w:r>
            <w:r>
              <w:rPr>
                <w:rFonts w:hint="eastAsia"/>
                <w:color w:val="auto"/>
              </w:rPr>
              <w:t>4</w:t>
            </w:r>
            <w:r>
              <w:rPr>
                <w:rFonts w:hint="eastAsia"/>
                <w:color w:val="auto"/>
                <w:lang w:val="zh-CN"/>
              </w:rPr>
              <w:t>月</w:t>
            </w:r>
            <w:r>
              <w:rPr>
                <w:rFonts w:hint="eastAsia"/>
                <w:color w:val="auto"/>
                <w:lang w:val="en-US" w:eastAsia="zh-CN"/>
              </w:rPr>
              <w:t>25</w:t>
            </w:r>
            <w:bookmarkStart w:id="101" w:name="_GoBack"/>
            <w:bookmarkEnd w:id="101"/>
            <w:r>
              <w:rPr>
                <w:rFonts w:hint="eastAsia"/>
                <w:color w:val="auto"/>
                <w:lang w:val="zh-CN"/>
              </w:rPr>
              <w:t>日</w:t>
            </w:r>
            <w:r>
              <w:rPr>
                <w:rFonts w:hint="eastAsia"/>
                <w:color w:val="auto"/>
              </w:rPr>
              <w:t>15</w:t>
            </w:r>
            <w:r>
              <w:rPr>
                <w:rFonts w:hint="eastAsia"/>
                <w:color w:val="auto"/>
                <w:lang w:val="zh-CN"/>
              </w:rPr>
              <w:t>时</w:t>
            </w:r>
            <w:r>
              <w:rPr>
                <w:rFonts w:hint="eastAsia"/>
                <w:color w:val="auto"/>
              </w:rPr>
              <w:t>00</w:t>
            </w:r>
            <w:r>
              <w:rPr>
                <w:rFonts w:hint="eastAsia"/>
                <w:color w:val="auto"/>
                <w:lang w:val="zh-CN"/>
              </w:rPr>
              <w:t>分前</w:t>
            </w:r>
            <w:r>
              <w:rPr>
                <w:rFonts w:hint="eastAsia"/>
                <w:color w:val="auto"/>
              </w:rPr>
              <w:t>（开标时间）不得开启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pPr>
              <w:pStyle w:val="6"/>
              <w:rPr>
                <w:color w:val="auto"/>
              </w:rPr>
            </w:pPr>
            <w:r>
              <w:rPr>
                <w:rFonts w:hint="eastAsia"/>
                <w:color w:val="auto"/>
              </w:rPr>
              <w:t>13</w:t>
            </w:r>
          </w:p>
        </w:tc>
        <w:tc>
          <w:tcPr>
            <w:tcW w:w="2435" w:type="dxa"/>
            <w:vAlign w:val="center"/>
          </w:tcPr>
          <w:p>
            <w:pPr>
              <w:pStyle w:val="36"/>
              <w:autoSpaceDE/>
              <w:autoSpaceDN/>
              <w:snapToGrid w:val="0"/>
              <w:spacing w:line="400" w:lineRule="exact"/>
              <w:ind w:left="105" w:leftChars="5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参加开标供应商代表身份证明文件</w:t>
            </w:r>
          </w:p>
        </w:tc>
        <w:tc>
          <w:tcPr>
            <w:tcW w:w="5220" w:type="dxa"/>
            <w:vAlign w:val="center"/>
          </w:tcPr>
          <w:p>
            <w:pPr>
              <w:pStyle w:val="36"/>
              <w:autoSpaceDE/>
              <w:autoSpaceDN/>
              <w:snapToGrid w:val="0"/>
              <w:spacing w:line="400" w:lineRule="exact"/>
              <w:ind w:left="105" w:leftChars="5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个人身份证（或其他有效证件）复印件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6"/>
              <w:rPr>
                <w:color w:val="auto"/>
              </w:rPr>
            </w:pPr>
            <w:r>
              <w:rPr>
                <w:rFonts w:hint="eastAsia"/>
                <w:color w:val="auto"/>
              </w:rPr>
              <w:t>14</w:t>
            </w:r>
          </w:p>
        </w:tc>
        <w:tc>
          <w:tcPr>
            <w:tcW w:w="2435" w:type="dxa"/>
            <w:vAlign w:val="center"/>
          </w:tcPr>
          <w:p>
            <w:pPr>
              <w:adjustRightInd w:val="0"/>
              <w:snapToGrid w:val="0"/>
              <w:spacing w:line="400" w:lineRule="exact"/>
              <w:ind w:left="105" w:leftChars="50"/>
              <w:rPr>
                <w:color w:val="auto"/>
              </w:rPr>
            </w:pPr>
            <w:r>
              <w:rPr>
                <w:rFonts w:hint="eastAsia"/>
                <w:color w:val="auto"/>
              </w:rPr>
              <w:t>开标程序</w:t>
            </w:r>
          </w:p>
        </w:tc>
        <w:tc>
          <w:tcPr>
            <w:tcW w:w="5220" w:type="dxa"/>
            <w:vAlign w:val="center"/>
          </w:tcPr>
          <w:p>
            <w:pPr>
              <w:adjustRightInd w:val="0"/>
              <w:snapToGrid w:val="0"/>
              <w:spacing w:line="400" w:lineRule="exact"/>
              <w:ind w:left="105" w:leftChars="50"/>
              <w:outlineLvl w:val="1"/>
              <w:rPr>
                <w:color w:val="auto"/>
              </w:rPr>
            </w:pPr>
            <w:r>
              <w:rPr>
                <w:rFonts w:hint="eastAsia"/>
                <w:color w:val="auto"/>
              </w:rPr>
              <w:t>1、主持人宣布开标会议开始；</w:t>
            </w:r>
          </w:p>
          <w:p>
            <w:pPr>
              <w:adjustRightInd w:val="0"/>
              <w:snapToGrid w:val="0"/>
              <w:spacing w:line="400" w:lineRule="exact"/>
              <w:ind w:left="105" w:leftChars="50"/>
              <w:outlineLvl w:val="1"/>
              <w:rPr>
                <w:color w:val="auto"/>
              </w:rPr>
            </w:pPr>
            <w:r>
              <w:rPr>
                <w:rFonts w:hint="eastAsia"/>
                <w:color w:val="auto"/>
              </w:rPr>
              <w:t>2、介绍参加开标会议的人员；</w:t>
            </w:r>
          </w:p>
          <w:p>
            <w:pPr>
              <w:adjustRightInd w:val="0"/>
              <w:snapToGrid w:val="0"/>
              <w:spacing w:line="400" w:lineRule="exact"/>
              <w:ind w:left="105" w:leftChars="50"/>
              <w:outlineLvl w:val="1"/>
              <w:rPr>
                <w:color w:val="auto"/>
              </w:rPr>
            </w:pPr>
            <w:r>
              <w:rPr>
                <w:rFonts w:hint="eastAsia"/>
                <w:color w:val="auto"/>
              </w:rPr>
              <w:t>3、宣读开标纪律；</w:t>
            </w:r>
          </w:p>
          <w:p>
            <w:pPr>
              <w:adjustRightInd w:val="0"/>
              <w:snapToGrid w:val="0"/>
              <w:spacing w:line="400" w:lineRule="exact"/>
              <w:ind w:left="105" w:leftChars="50"/>
              <w:outlineLvl w:val="1"/>
              <w:rPr>
                <w:color w:val="auto"/>
              </w:rPr>
            </w:pPr>
            <w:r>
              <w:rPr>
                <w:rFonts w:hint="eastAsia"/>
                <w:color w:val="auto"/>
              </w:rPr>
              <w:t>4、查验各响应文件的密封性并予以确认；</w:t>
            </w:r>
          </w:p>
          <w:p>
            <w:pPr>
              <w:adjustRightInd w:val="0"/>
              <w:snapToGrid w:val="0"/>
              <w:spacing w:line="400" w:lineRule="exact"/>
              <w:ind w:left="105" w:leftChars="50"/>
              <w:outlineLvl w:val="1"/>
              <w:rPr>
                <w:color w:val="auto"/>
              </w:rPr>
            </w:pPr>
            <w:r>
              <w:rPr>
                <w:rFonts w:hint="eastAsia"/>
                <w:color w:val="auto"/>
              </w:rPr>
              <w:t>5、拆封响应文件；</w:t>
            </w:r>
          </w:p>
          <w:p>
            <w:pPr>
              <w:adjustRightInd w:val="0"/>
              <w:snapToGrid w:val="0"/>
              <w:spacing w:line="400" w:lineRule="exact"/>
              <w:ind w:left="105" w:leftChars="50"/>
              <w:outlineLvl w:val="1"/>
              <w:rPr>
                <w:color w:val="auto"/>
              </w:rPr>
            </w:pPr>
            <w:r>
              <w:rPr>
                <w:rFonts w:hint="eastAsia"/>
                <w:color w:val="auto"/>
              </w:rPr>
              <w:t>6、唱标，唱标内容为“开标一览表”所载明的内容；</w:t>
            </w:r>
          </w:p>
          <w:p>
            <w:pPr>
              <w:adjustRightInd w:val="0"/>
              <w:snapToGrid w:val="0"/>
              <w:spacing w:line="400" w:lineRule="exact"/>
              <w:ind w:left="105" w:leftChars="50"/>
              <w:outlineLvl w:val="1"/>
              <w:rPr>
                <w:color w:val="auto"/>
              </w:rPr>
            </w:pPr>
            <w:r>
              <w:rPr>
                <w:rFonts w:hint="eastAsia"/>
                <w:color w:val="auto"/>
              </w:rPr>
              <w:t>7、记录唱标结果及开标过程；</w:t>
            </w:r>
          </w:p>
          <w:p>
            <w:pPr>
              <w:adjustRightInd w:val="0"/>
              <w:snapToGrid w:val="0"/>
              <w:spacing w:line="400" w:lineRule="exact"/>
              <w:ind w:left="105" w:leftChars="50"/>
              <w:rPr>
                <w:color w:val="auto"/>
              </w:rPr>
            </w:pPr>
            <w:r>
              <w:rPr>
                <w:rFonts w:hint="eastAsia"/>
                <w:color w:val="auto"/>
              </w:rPr>
              <w:t>8、主持人宣布开标会议结束。</w:t>
            </w:r>
          </w:p>
          <w:p>
            <w:pPr>
              <w:pStyle w:val="11"/>
              <w:rPr>
                <w:color w:val="auto"/>
              </w:rPr>
            </w:pPr>
            <w:r>
              <w:rPr>
                <w:rFonts w:hint="eastAsia"/>
                <w:color w:val="auto"/>
              </w:rPr>
              <w:t>备注：本项目不要求供应商授权代表参与开标会议。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pPr>
              <w:pStyle w:val="6"/>
              <w:rPr>
                <w:color w:val="auto"/>
              </w:rPr>
            </w:pPr>
            <w:r>
              <w:rPr>
                <w:rFonts w:hint="eastAsia"/>
                <w:color w:val="auto"/>
              </w:rPr>
              <w:t>15</w:t>
            </w:r>
          </w:p>
        </w:tc>
        <w:tc>
          <w:tcPr>
            <w:tcW w:w="2435" w:type="dxa"/>
            <w:vAlign w:val="center"/>
          </w:tcPr>
          <w:p>
            <w:pPr>
              <w:adjustRightInd w:val="0"/>
              <w:snapToGrid w:val="0"/>
              <w:spacing w:line="400" w:lineRule="exact"/>
              <w:ind w:left="105" w:leftChars="50"/>
              <w:rPr>
                <w:color w:val="auto"/>
              </w:rPr>
            </w:pPr>
            <w:r>
              <w:rPr>
                <w:rFonts w:hint="eastAsia"/>
                <w:color w:val="auto"/>
              </w:rPr>
              <w:t>唱标内容</w:t>
            </w:r>
          </w:p>
        </w:tc>
        <w:tc>
          <w:tcPr>
            <w:tcW w:w="5220" w:type="dxa"/>
            <w:vAlign w:val="center"/>
          </w:tcPr>
          <w:p>
            <w:pPr>
              <w:adjustRightInd w:val="0"/>
              <w:snapToGrid w:val="0"/>
              <w:spacing w:line="400" w:lineRule="exact"/>
              <w:ind w:left="105" w:leftChars="50"/>
              <w:rPr>
                <w:color w:val="auto"/>
              </w:rPr>
            </w:pPr>
            <w:r>
              <w:rPr>
                <w:rFonts w:hint="eastAsia"/>
                <w:color w:val="auto"/>
              </w:rPr>
              <w:t>1、“开标一览表”所载明的内容</w:t>
            </w:r>
          </w:p>
          <w:p>
            <w:pPr>
              <w:adjustRightInd w:val="0"/>
              <w:snapToGrid w:val="0"/>
              <w:spacing w:line="400" w:lineRule="exact"/>
              <w:ind w:left="105" w:leftChars="50"/>
              <w:rPr>
                <w:color w:val="auto"/>
              </w:rPr>
            </w:pPr>
            <w:r>
              <w:rPr>
                <w:rFonts w:hint="eastAsia"/>
                <w:color w:val="auto"/>
              </w:rPr>
              <w:t>2、供应商对响应报价若有说明应在开标一览表显著处予以注明，只有开标时唱出的响应价格、价格折扣等内容才会被考虑。供应商若有响应报价、价格折扣等未被唱出的，应在唱标时及时提出。否则，采购人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pPr>
              <w:pStyle w:val="6"/>
              <w:rPr>
                <w:color w:val="auto"/>
              </w:rPr>
            </w:pPr>
            <w:r>
              <w:rPr>
                <w:rFonts w:hint="eastAsia"/>
                <w:color w:val="auto"/>
              </w:rPr>
              <w:t>16</w:t>
            </w:r>
          </w:p>
        </w:tc>
        <w:tc>
          <w:tcPr>
            <w:tcW w:w="2435" w:type="dxa"/>
            <w:vAlign w:val="center"/>
          </w:tcPr>
          <w:p>
            <w:pPr>
              <w:adjustRightInd w:val="0"/>
              <w:snapToGrid w:val="0"/>
              <w:spacing w:line="400" w:lineRule="exact"/>
              <w:ind w:left="105" w:leftChars="50"/>
              <w:rPr>
                <w:color w:val="auto"/>
              </w:rPr>
            </w:pPr>
            <w:r>
              <w:rPr>
                <w:rFonts w:hint="eastAsia"/>
                <w:color w:val="auto"/>
              </w:rPr>
              <w:t>修正内容</w:t>
            </w:r>
          </w:p>
        </w:tc>
        <w:tc>
          <w:tcPr>
            <w:tcW w:w="5220" w:type="dxa"/>
            <w:vAlign w:val="center"/>
          </w:tcPr>
          <w:p>
            <w:pPr>
              <w:adjustRightInd w:val="0"/>
              <w:snapToGrid w:val="0"/>
              <w:spacing w:line="400" w:lineRule="exact"/>
              <w:ind w:left="105" w:leftChars="50"/>
              <w:outlineLvl w:val="1"/>
              <w:rPr>
                <w:color w:val="auto"/>
              </w:rPr>
            </w:pPr>
            <w:r>
              <w:rPr>
                <w:rFonts w:hint="eastAsia"/>
                <w:color w:val="auto"/>
              </w:rPr>
              <w:t>响应文件中开标一览表（报价表）内容与响应文件中相应内容不一致的，以开标一览表（报价表）为准,但价格评审时则以最不利于评审结果的标准取值。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pPr>
              <w:pStyle w:val="6"/>
              <w:rPr>
                <w:color w:val="auto"/>
              </w:rPr>
            </w:pPr>
            <w:r>
              <w:rPr>
                <w:rFonts w:hint="eastAsia"/>
                <w:color w:val="auto"/>
              </w:rPr>
              <w:t>17</w:t>
            </w:r>
          </w:p>
        </w:tc>
        <w:tc>
          <w:tcPr>
            <w:tcW w:w="2435" w:type="dxa"/>
            <w:vAlign w:val="center"/>
          </w:tcPr>
          <w:p>
            <w:pPr>
              <w:pStyle w:val="36"/>
              <w:autoSpaceDE/>
              <w:autoSpaceDN/>
              <w:snapToGrid w:val="0"/>
              <w:spacing w:line="400" w:lineRule="exact"/>
              <w:ind w:left="105" w:leftChars="50"/>
              <w:jc w:val="both"/>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评审方法</w:t>
            </w:r>
          </w:p>
        </w:tc>
        <w:tc>
          <w:tcPr>
            <w:tcW w:w="5220" w:type="dxa"/>
            <w:vAlign w:val="center"/>
          </w:tcPr>
          <w:p>
            <w:pPr>
              <w:pStyle w:val="36"/>
              <w:autoSpaceDE/>
              <w:autoSpaceDN/>
              <w:snapToGrid w:val="0"/>
              <w:spacing w:line="400" w:lineRule="exact"/>
              <w:ind w:left="105" w:leftChars="50"/>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pPr>
              <w:pStyle w:val="6"/>
              <w:rPr>
                <w:color w:val="auto"/>
              </w:rPr>
            </w:pPr>
            <w:r>
              <w:rPr>
                <w:rFonts w:hint="eastAsia"/>
                <w:color w:val="auto"/>
              </w:rPr>
              <w:t>18</w:t>
            </w:r>
          </w:p>
        </w:tc>
        <w:tc>
          <w:tcPr>
            <w:tcW w:w="7655" w:type="dxa"/>
            <w:gridSpan w:val="2"/>
            <w:vAlign w:val="center"/>
          </w:tcPr>
          <w:p>
            <w:pPr>
              <w:pStyle w:val="36"/>
              <w:autoSpaceDE/>
              <w:autoSpaceDN/>
              <w:snapToGrid w:val="0"/>
              <w:spacing w:line="400" w:lineRule="exact"/>
              <w:ind w:left="105" w:leftChars="50"/>
              <w:rPr>
                <w:rFonts w:asciiTheme="minorEastAsia" w:hAnsi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本项目</w:t>
            </w:r>
            <w:r>
              <w:rPr>
                <w:rFonts w:hint="eastAsia"/>
                <w:color w:val="auto"/>
                <w:sz w:val="21"/>
                <w:szCs w:val="21"/>
              </w:rPr>
              <w:t>对应的中小企业划分标准所属行业：其他未列明行业</w:t>
            </w:r>
          </w:p>
        </w:tc>
      </w:tr>
    </w:tbl>
    <w:p>
      <w:pPr>
        <w:adjustRightInd w:val="0"/>
        <w:snapToGrid w:val="0"/>
        <w:spacing w:line="360" w:lineRule="auto"/>
        <w:ind w:firstLine="420" w:firstLineChars="200"/>
        <w:outlineLvl w:val="1"/>
        <w:rPr>
          <w:color w:val="auto"/>
        </w:rPr>
      </w:pPr>
    </w:p>
    <w:p>
      <w:pPr>
        <w:adjustRightInd w:val="0"/>
        <w:snapToGrid w:val="0"/>
        <w:spacing w:line="360" w:lineRule="auto"/>
        <w:ind w:firstLine="420" w:firstLineChars="200"/>
        <w:outlineLvl w:val="1"/>
        <w:rPr>
          <w:color w:val="auto"/>
        </w:rPr>
      </w:pPr>
      <w:r>
        <w:rPr>
          <w:rFonts w:hint="eastAsia"/>
          <w:color w:val="auto"/>
        </w:rPr>
        <w:t>一、总则</w:t>
      </w:r>
      <w:bookmarkEnd w:id="32"/>
    </w:p>
    <w:p>
      <w:pPr>
        <w:adjustRightInd w:val="0"/>
        <w:snapToGrid w:val="0"/>
        <w:spacing w:line="360" w:lineRule="auto"/>
        <w:ind w:firstLine="420" w:firstLineChars="200"/>
        <w:rPr>
          <w:color w:val="auto"/>
        </w:rPr>
      </w:pPr>
      <w:bookmarkStart w:id="33" w:name="_Toc246826115"/>
      <w:r>
        <w:rPr>
          <w:rFonts w:hint="eastAsia"/>
          <w:color w:val="auto"/>
        </w:rPr>
        <w:t>1、适用范围</w:t>
      </w:r>
    </w:p>
    <w:p>
      <w:pPr>
        <w:adjustRightInd w:val="0"/>
        <w:snapToGrid w:val="0"/>
        <w:spacing w:line="360" w:lineRule="auto"/>
        <w:ind w:firstLine="420" w:firstLineChars="200"/>
        <w:rPr>
          <w:color w:val="auto"/>
        </w:rPr>
      </w:pPr>
      <w:r>
        <w:rPr>
          <w:rFonts w:hint="eastAsia"/>
          <w:color w:val="auto"/>
        </w:rPr>
        <w:t>本采购文件仅适用于本次比选公告中所述项目的采购。</w:t>
      </w:r>
    </w:p>
    <w:p>
      <w:pPr>
        <w:adjustRightInd w:val="0"/>
        <w:snapToGrid w:val="0"/>
        <w:spacing w:line="360" w:lineRule="auto"/>
        <w:ind w:firstLine="420" w:firstLineChars="200"/>
        <w:rPr>
          <w:color w:val="auto"/>
        </w:rPr>
      </w:pPr>
      <w:r>
        <w:rPr>
          <w:rFonts w:hint="eastAsia"/>
          <w:color w:val="auto"/>
        </w:rPr>
        <w:t>2、定义</w:t>
      </w:r>
    </w:p>
    <w:p>
      <w:pPr>
        <w:adjustRightInd w:val="0"/>
        <w:snapToGrid w:val="0"/>
        <w:spacing w:line="360" w:lineRule="auto"/>
        <w:ind w:firstLine="420" w:firstLineChars="200"/>
        <w:rPr>
          <w:color w:val="auto"/>
        </w:rPr>
      </w:pPr>
      <w:r>
        <w:rPr>
          <w:rFonts w:hint="eastAsia"/>
          <w:color w:val="auto"/>
        </w:rPr>
        <w:t>本采购文件中的下列术语应解释为：</w:t>
      </w:r>
    </w:p>
    <w:p>
      <w:pPr>
        <w:adjustRightInd w:val="0"/>
        <w:snapToGrid w:val="0"/>
        <w:spacing w:line="360" w:lineRule="auto"/>
        <w:ind w:firstLine="420" w:firstLineChars="200"/>
        <w:rPr>
          <w:color w:val="auto"/>
        </w:rPr>
      </w:pPr>
      <w:r>
        <w:rPr>
          <w:rFonts w:hint="eastAsia"/>
          <w:color w:val="auto"/>
        </w:rPr>
        <w:t>2.1“采购人”系指本项目的采购人，是依法开展政府采购活动的国家机关、事业单位和团体组织。在履行合同阶段称为甲方或买方。</w:t>
      </w:r>
    </w:p>
    <w:p>
      <w:pPr>
        <w:adjustRightInd w:val="0"/>
        <w:snapToGrid w:val="0"/>
        <w:spacing w:line="360" w:lineRule="auto"/>
        <w:ind w:firstLine="420" w:firstLineChars="200"/>
        <w:rPr>
          <w:color w:val="auto"/>
        </w:rPr>
      </w:pPr>
      <w:r>
        <w:rPr>
          <w:rFonts w:hint="eastAsia"/>
          <w:color w:val="auto"/>
        </w:rPr>
        <w:t>2.2“供应商”系指向采购人提供货物、工程或者服务的法人、其他组织或者自然人。法人的分支机构不得参加政府采购活动，但银行、保险、石油石化、电力、电信等特殊行业除外</w:t>
      </w:r>
      <w:r>
        <w:rPr>
          <w:rFonts w:hint="eastAsia"/>
          <w:color w:val="auto"/>
          <w:lang w:val="zh-CN"/>
        </w:rPr>
        <w:t>。</w:t>
      </w:r>
      <w:bookmarkStart w:id="34" w:name="_Toc267320062"/>
    </w:p>
    <w:p>
      <w:pPr>
        <w:adjustRightInd w:val="0"/>
        <w:snapToGrid w:val="0"/>
        <w:spacing w:line="360" w:lineRule="auto"/>
        <w:ind w:firstLine="420" w:firstLineChars="200"/>
        <w:rPr>
          <w:color w:val="auto"/>
        </w:rPr>
      </w:pPr>
      <w:r>
        <w:rPr>
          <w:rFonts w:hint="eastAsia"/>
          <w:color w:val="auto"/>
        </w:rPr>
        <w:t>3、</w:t>
      </w:r>
      <w:bookmarkEnd w:id="34"/>
      <w:r>
        <w:rPr>
          <w:rFonts w:hint="eastAsia"/>
          <w:color w:val="auto"/>
        </w:rPr>
        <w:t>供应商</w:t>
      </w:r>
    </w:p>
    <w:p>
      <w:pPr>
        <w:adjustRightInd w:val="0"/>
        <w:snapToGrid w:val="0"/>
        <w:spacing w:line="360" w:lineRule="auto"/>
        <w:ind w:firstLine="420" w:firstLineChars="200"/>
        <w:rPr>
          <w:color w:val="auto"/>
        </w:rPr>
      </w:pPr>
      <w:r>
        <w:rPr>
          <w:rFonts w:hint="eastAsia"/>
          <w:color w:val="auto"/>
        </w:rPr>
        <w:t>3.1合格供应商条件</w:t>
      </w:r>
    </w:p>
    <w:p>
      <w:pPr>
        <w:adjustRightInd w:val="0"/>
        <w:snapToGrid w:val="0"/>
        <w:spacing w:line="360" w:lineRule="auto"/>
        <w:ind w:firstLine="420" w:firstLineChars="200"/>
        <w:rPr>
          <w:color w:val="auto"/>
        </w:rPr>
      </w:pPr>
      <w:r>
        <w:rPr>
          <w:rFonts w:hint="eastAsia"/>
          <w:color w:val="auto"/>
        </w:rPr>
        <w:t>3.1.1在中华人民共和国境内注册，能够独立承担民事责任，有生产或供应能力的本国供应商，包括法人、其他组织</w:t>
      </w:r>
      <w:r>
        <w:rPr>
          <w:rFonts w:hint="eastAsia"/>
          <w:color w:val="auto"/>
          <w:lang w:val="zh-CN"/>
        </w:rPr>
        <w:t>或者</w:t>
      </w:r>
      <w:r>
        <w:rPr>
          <w:rFonts w:hint="eastAsia"/>
          <w:color w:val="auto"/>
        </w:rPr>
        <w:t>自然人；</w:t>
      </w:r>
    </w:p>
    <w:p>
      <w:pPr>
        <w:adjustRightInd w:val="0"/>
        <w:snapToGrid w:val="0"/>
        <w:spacing w:line="360" w:lineRule="auto"/>
        <w:ind w:firstLine="420" w:firstLineChars="200"/>
        <w:rPr>
          <w:color w:val="auto"/>
        </w:rPr>
      </w:pPr>
      <w:r>
        <w:rPr>
          <w:rFonts w:hint="eastAsia"/>
          <w:color w:val="auto"/>
        </w:rPr>
        <w:t>3.1.2符合</w:t>
      </w:r>
      <w:r>
        <w:rPr>
          <w:color w:val="auto"/>
        </w:rPr>
        <w:t>《中华人民共和国政府采购法》</w:t>
      </w:r>
      <w:r>
        <w:rPr>
          <w:rFonts w:hint="eastAsia"/>
          <w:color w:val="auto"/>
        </w:rPr>
        <w:t>第二十二条规定的条件：</w:t>
      </w:r>
    </w:p>
    <w:p>
      <w:pPr>
        <w:adjustRightInd w:val="0"/>
        <w:snapToGrid w:val="0"/>
        <w:spacing w:line="360" w:lineRule="auto"/>
        <w:ind w:firstLine="420" w:firstLineChars="200"/>
        <w:rPr>
          <w:rFonts w:hint="eastAsia" w:eastAsia="宋体"/>
          <w:color w:val="auto"/>
          <w:lang w:eastAsia="zh-CN"/>
        </w:rPr>
      </w:pPr>
      <w:r>
        <w:rPr>
          <w:rFonts w:hint="eastAsia"/>
          <w:color w:val="auto"/>
        </w:rPr>
        <w:t>3.1.2.1具有独立承担民事责任的能力；</w:t>
      </w:r>
    </w:p>
    <w:p>
      <w:pPr>
        <w:adjustRightInd w:val="0"/>
        <w:snapToGrid w:val="0"/>
        <w:spacing w:line="360" w:lineRule="auto"/>
        <w:ind w:firstLine="420" w:firstLineChars="200"/>
        <w:rPr>
          <w:rFonts w:hint="eastAsia" w:eastAsia="宋体"/>
          <w:color w:val="auto"/>
          <w:lang w:eastAsia="zh-CN"/>
        </w:rPr>
      </w:pPr>
      <w:r>
        <w:rPr>
          <w:rFonts w:hint="eastAsia"/>
          <w:color w:val="auto"/>
        </w:rPr>
        <w:t>  3.1.2.1具有良好的商业信誉和健全的财务会计制度；</w:t>
      </w:r>
    </w:p>
    <w:p>
      <w:pPr>
        <w:adjustRightInd w:val="0"/>
        <w:snapToGrid w:val="0"/>
        <w:spacing w:line="360" w:lineRule="auto"/>
        <w:ind w:firstLine="420" w:firstLineChars="200"/>
        <w:rPr>
          <w:rFonts w:hint="eastAsia" w:eastAsia="宋体"/>
          <w:color w:val="auto"/>
          <w:lang w:eastAsia="zh-CN"/>
        </w:rPr>
      </w:pPr>
      <w:r>
        <w:rPr>
          <w:rFonts w:hint="eastAsia"/>
          <w:color w:val="auto"/>
        </w:rPr>
        <w:t>  3.1.2.1具有履行合同所必需的设备和专业技术能力；</w:t>
      </w:r>
    </w:p>
    <w:p>
      <w:pPr>
        <w:adjustRightInd w:val="0"/>
        <w:snapToGrid w:val="0"/>
        <w:spacing w:line="360" w:lineRule="auto"/>
        <w:ind w:firstLine="420" w:firstLineChars="200"/>
        <w:rPr>
          <w:rFonts w:hint="eastAsia" w:eastAsia="宋体"/>
          <w:color w:val="auto"/>
          <w:lang w:eastAsia="zh-CN"/>
        </w:rPr>
      </w:pPr>
      <w:r>
        <w:rPr>
          <w:rFonts w:hint="eastAsia"/>
          <w:color w:val="auto"/>
        </w:rPr>
        <w:t>  3.1.2.1有依法缴纳税收和社会保障资金的良好记录；</w:t>
      </w:r>
    </w:p>
    <w:p>
      <w:pPr>
        <w:adjustRightInd w:val="0"/>
        <w:snapToGrid w:val="0"/>
        <w:spacing w:line="360" w:lineRule="auto"/>
        <w:ind w:firstLine="420" w:firstLineChars="200"/>
        <w:rPr>
          <w:rFonts w:hint="eastAsia" w:eastAsia="宋体"/>
          <w:color w:val="auto"/>
          <w:lang w:eastAsia="zh-CN"/>
        </w:rPr>
      </w:pPr>
      <w:r>
        <w:rPr>
          <w:rFonts w:hint="eastAsia"/>
          <w:color w:val="auto"/>
        </w:rPr>
        <w:t>  3.1.2.1参加政府采购活动前三年内，在经营活动中没有重大违法记录；</w:t>
      </w:r>
    </w:p>
    <w:p>
      <w:pPr>
        <w:adjustRightInd w:val="0"/>
        <w:snapToGrid w:val="0"/>
        <w:spacing w:line="360" w:lineRule="auto"/>
        <w:ind w:firstLine="420" w:firstLineChars="200"/>
        <w:rPr>
          <w:color w:val="auto"/>
        </w:rPr>
      </w:pPr>
      <w:r>
        <w:rPr>
          <w:rFonts w:hint="eastAsia"/>
          <w:color w:val="auto"/>
        </w:rPr>
        <w:t>  3.1.2.1法律、行政法规规定的其他条件。</w:t>
      </w:r>
    </w:p>
    <w:p>
      <w:pPr>
        <w:adjustRightInd w:val="0"/>
        <w:snapToGrid w:val="0"/>
        <w:spacing w:line="360" w:lineRule="auto"/>
        <w:ind w:firstLine="420" w:firstLineChars="200"/>
        <w:rPr>
          <w:color w:val="auto"/>
        </w:rPr>
      </w:pPr>
      <w:r>
        <w:rPr>
          <w:rFonts w:hint="eastAsia"/>
          <w:color w:val="auto"/>
        </w:rPr>
        <w:t>3.1.3满足采购文件报价、商务和技术等实质性要求的；</w:t>
      </w:r>
    </w:p>
    <w:p>
      <w:pPr>
        <w:adjustRightInd w:val="0"/>
        <w:snapToGrid w:val="0"/>
        <w:spacing w:line="360" w:lineRule="auto"/>
        <w:ind w:firstLine="420" w:firstLineChars="200"/>
        <w:rPr>
          <w:color w:val="auto"/>
        </w:rPr>
      </w:pPr>
      <w:r>
        <w:rPr>
          <w:rFonts w:hint="eastAsia"/>
          <w:color w:val="auto"/>
        </w:rPr>
        <w:t>3.2供应商的风险</w:t>
      </w:r>
    </w:p>
    <w:p>
      <w:pPr>
        <w:adjustRightInd w:val="0"/>
        <w:snapToGrid w:val="0"/>
        <w:spacing w:line="360" w:lineRule="auto"/>
        <w:ind w:firstLine="420" w:firstLineChars="200"/>
        <w:rPr>
          <w:color w:val="auto"/>
        </w:rPr>
      </w:pPr>
      <w:r>
        <w:rPr>
          <w:rFonts w:hint="eastAsia"/>
          <w:color w:val="auto"/>
        </w:rPr>
        <w:t>3.2.1供应商没有按照采购文件的要求编制、签署、密封、标记、递交及修正响应文件的，或者响应文件没有对采购文件在各方面都做出实质性响应的，将导致响应无效。</w:t>
      </w:r>
    </w:p>
    <w:p>
      <w:pPr>
        <w:adjustRightInd w:val="0"/>
        <w:snapToGrid w:val="0"/>
        <w:spacing w:line="360" w:lineRule="auto"/>
        <w:ind w:firstLine="420" w:firstLineChars="200"/>
        <w:rPr>
          <w:color w:val="auto"/>
        </w:rPr>
      </w:pPr>
      <w:r>
        <w:rPr>
          <w:rFonts w:hint="eastAsia"/>
          <w:color w:val="auto"/>
        </w:rPr>
        <w:t>3.2.2供应商提交的响应文件内容有下列情形之一的，一经发现，视为无效响应，并依法上报政府采购监督管理部门处理</w:t>
      </w:r>
      <w:r>
        <w:rPr>
          <w:rFonts w:hint="eastAsia"/>
          <w:color w:val="auto"/>
          <w:kern w:val="0"/>
        </w:rPr>
        <w:t>：</w:t>
      </w:r>
    </w:p>
    <w:p>
      <w:pPr>
        <w:adjustRightInd w:val="0"/>
        <w:snapToGrid w:val="0"/>
        <w:spacing w:line="360" w:lineRule="auto"/>
        <w:ind w:firstLine="420" w:firstLineChars="200"/>
        <w:rPr>
          <w:color w:val="auto"/>
        </w:rPr>
      </w:pPr>
      <w:r>
        <w:rPr>
          <w:rFonts w:hint="eastAsia"/>
          <w:color w:val="auto"/>
        </w:rPr>
        <w:t>（1）提供虚假的资料；</w:t>
      </w:r>
    </w:p>
    <w:p>
      <w:pPr>
        <w:adjustRightInd w:val="0"/>
        <w:snapToGrid w:val="0"/>
        <w:spacing w:line="360" w:lineRule="auto"/>
        <w:ind w:firstLine="420" w:firstLineChars="200"/>
        <w:rPr>
          <w:color w:val="auto"/>
        </w:rPr>
      </w:pPr>
      <w:r>
        <w:rPr>
          <w:rFonts w:hint="eastAsia"/>
          <w:color w:val="auto"/>
        </w:rPr>
        <w:t>（2）在实质性方面失实；</w:t>
      </w:r>
    </w:p>
    <w:p>
      <w:pPr>
        <w:adjustRightInd w:val="0"/>
        <w:snapToGrid w:val="0"/>
        <w:spacing w:line="360" w:lineRule="auto"/>
        <w:ind w:firstLine="420" w:firstLineChars="200"/>
        <w:rPr>
          <w:color w:val="auto"/>
        </w:rPr>
      </w:pPr>
      <w:r>
        <w:rPr>
          <w:rFonts w:hint="eastAsia"/>
          <w:color w:val="auto"/>
          <w:kern w:val="0"/>
        </w:rPr>
        <w:t>3.2.3</w:t>
      </w:r>
      <w:r>
        <w:rPr>
          <w:rFonts w:hint="eastAsia"/>
          <w:color w:val="auto"/>
        </w:rPr>
        <w:t>供应商享受政策优惠条件但提供的证明（说明）文件或承诺文件失实的，视同响应文件提供虚假资料论处。</w:t>
      </w:r>
    </w:p>
    <w:p>
      <w:pPr>
        <w:adjustRightInd w:val="0"/>
        <w:snapToGrid w:val="0"/>
        <w:spacing w:line="360" w:lineRule="auto"/>
        <w:ind w:firstLine="420" w:firstLineChars="200"/>
        <w:rPr>
          <w:color w:val="auto"/>
        </w:rPr>
      </w:pPr>
      <w:r>
        <w:rPr>
          <w:rFonts w:hint="eastAsia"/>
          <w:color w:val="auto"/>
        </w:rPr>
        <w:t>4、参与采购活动费用</w:t>
      </w:r>
    </w:p>
    <w:p>
      <w:pPr>
        <w:adjustRightInd w:val="0"/>
        <w:snapToGrid w:val="0"/>
        <w:spacing w:line="360" w:lineRule="auto"/>
        <w:ind w:firstLine="420" w:firstLineChars="200"/>
        <w:rPr>
          <w:color w:val="auto"/>
        </w:rPr>
      </w:pPr>
      <w:r>
        <w:rPr>
          <w:rFonts w:hint="eastAsia"/>
          <w:color w:val="auto"/>
        </w:rPr>
        <w:t>4.1无论响应过程中的做法和结果如何，供应商自行承担所有与参加采购活动有关的全部费用；</w:t>
      </w:r>
    </w:p>
    <w:p>
      <w:pPr>
        <w:adjustRightInd w:val="0"/>
        <w:snapToGrid w:val="0"/>
        <w:spacing w:line="360" w:lineRule="auto"/>
        <w:ind w:firstLine="420" w:firstLineChars="200"/>
        <w:rPr>
          <w:color w:val="auto"/>
        </w:rPr>
      </w:pPr>
      <w:r>
        <w:rPr>
          <w:rFonts w:hint="eastAsia"/>
          <w:color w:val="auto"/>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pPr>
        <w:pStyle w:val="7"/>
        <w:adjustRightInd w:val="0"/>
        <w:snapToGrid w:val="0"/>
        <w:spacing w:line="360" w:lineRule="auto"/>
        <w:ind w:firstLine="420" w:firstLineChars="200"/>
        <w:rPr>
          <w:color w:val="auto"/>
        </w:rPr>
      </w:pPr>
      <w:r>
        <w:rPr>
          <w:rFonts w:hint="eastAsia"/>
          <w:color w:val="auto"/>
        </w:rPr>
        <w:t>5.1关于符合上述规定的小微企业（供应商）参与响应</w:t>
      </w:r>
    </w:p>
    <w:p>
      <w:pPr>
        <w:adjustRightInd w:val="0"/>
        <w:snapToGrid w:val="0"/>
        <w:spacing w:line="360" w:lineRule="auto"/>
        <w:ind w:firstLine="420" w:firstLineChars="200"/>
        <w:rPr>
          <w:color w:val="auto"/>
        </w:rPr>
      </w:pPr>
      <w:r>
        <w:rPr>
          <w:rFonts w:hint="eastAsia"/>
          <w:color w:val="auto"/>
        </w:rPr>
        <w:t>5.1.1监狱企业、残疾人福利性单位视同小型、微型企业；以联合体形式参加政府采购活动，联合体各方均为小微企业的，联合体视同为小微企业。</w:t>
      </w:r>
    </w:p>
    <w:p>
      <w:pPr>
        <w:adjustRightInd w:val="0"/>
        <w:snapToGrid w:val="0"/>
        <w:spacing w:line="360" w:lineRule="auto"/>
        <w:ind w:firstLine="420" w:firstLineChars="200"/>
        <w:rPr>
          <w:color w:val="auto"/>
        </w:rPr>
      </w:pPr>
      <w:r>
        <w:rPr>
          <w:rFonts w:hint="eastAsia"/>
          <w:color w:val="auto"/>
        </w:rPr>
        <w:t>5.1.2供应商为符合规定的小型或微型企业时，报价给予20%的价格扣除，用扣除后的价格参与评审；</w:t>
      </w:r>
    </w:p>
    <w:p>
      <w:pPr>
        <w:adjustRightInd w:val="0"/>
        <w:snapToGrid w:val="0"/>
        <w:spacing w:line="360" w:lineRule="auto"/>
        <w:ind w:firstLine="420" w:firstLineChars="200"/>
        <w:rPr>
          <w:color w:val="auto"/>
        </w:rPr>
      </w:pPr>
      <w:r>
        <w:rPr>
          <w:rFonts w:hint="eastAsia"/>
          <w:color w:val="auto"/>
        </w:rPr>
        <w:t>5.1.3供应商为大中型企业和其他自然人、法人或者其他组织与小微企业组成联合体或者大中型企业向小微企业分包的，对联合体报价给予6%</w:t>
      </w:r>
      <w:r>
        <w:rPr>
          <w:rFonts w:hint="eastAsia"/>
          <w:i/>
          <w:iCs/>
          <w:color w:val="auto"/>
          <w:u w:val="single"/>
        </w:rPr>
        <w:t>（</w:t>
      </w:r>
      <w:r>
        <w:rPr>
          <w:rFonts w:hint="eastAsia"/>
          <w:color w:val="auto"/>
        </w:rPr>
        <w:t>的价格扣除，用扣除后的价格参与评审；</w:t>
      </w:r>
    </w:p>
    <w:p>
      <w:pPr>
        <w:adjustRightInd w:val="0"/>
        <w:snapToGrid w:val="0"/>
        <w:spacing w:line="360" w:lineRule="auto"/>
        <w:ind w:firstLine="420" w:firstLineChars="200"/>
        <w:rPr>
          <w:color w:val="auto"/>
        </w:rPr>
      </w:pPr>
      <w:r>
        <w:rPr>
          <w:rFonts w:hint="eastAsia"/>
          <w:color w:val="auto"/>
        </w:rPr>
        <w:t>5.1.4本条款中两种价格扣除优惠原则不同时使用。</w:t>
      </w:r>
    </w:p>
    <w:p>
      <w:pPr>
        <w:adjustRightInd w:val="0"/>
        <w:snapToGrid w:val="0"/>
        <w:spacing w:line="360" w:lineRule="auto"/>
        <w:ind w:firstLine="420" w:firstLineChars="200"/>
        <w:rPr>
          <w:color w:val="auto"/>
        </w:rPr>
      </w:pPr>
      <w:r>
        <w:rPr>
          <w:rFonts w:hint="eastAsia"/>
          <w:color w:val="auto"/>
        </w:rPr>
        <w:t>5.1.5组成联合体或者接受分包的小微企业与联合体内其他企业、分包企业之间存在直接控股、管理关系的，不享受价格扣除优惠政策；</w:t>
      </w:r>
    </w:p>
    <w:p>
      <w:pPr>
        <w:adjustRightInd w:val="0"/>
        <w:snapToGrid w:val="0"/>
        <w:spacing w:line="360" w:lineRule="auto"/>
        <w:ind w:firstLine="420" w:firstLineChars="200"/>
        <w:rPr>
          <w:color w:val="auto"/>
        </w:rPr>
      </w:pPr>
      <w:r>
        <w:rPr>
          <w:rFonts w:hint="eastAsia"/>
          <w:color w:val="auto"/>
        </w:rPr>
        <w:t>5.1.6供应商认为其为小型或微型企业的应提供合法有效的“中小企业声明函”（附件2），并明确企业类型；供应商认为其为监狱企业须提供由省级以上监狱管理局、戒毒管理局（含新疆生产建设兵团）出具的属于监狱企业的证明文件(附件3)；供应商认为其为符合条件的残疾人福利性单位在参加政府采购活动时，应当提供《残疾人福利性单位声明函》（附件4），并对声明的真实性负责，否则评审时不能享受相应的价格扣除。</w:t>
      </w:r>
    </w:p>
    <w:p>
      <w:pPr>
        <w:adjustRightInd w:val="0"/>
        <w:snapToGrid w:val="0"/>
        <w:spacing w:line="360" w:lineRule="auto"/>
        <w:ind w:firstLine="420" w:firstLineChars="200"/>
        <w:rPr>
          <w:color w:val="auto"/>
        </w:rPr>
      </w:pPr>
      <w:r>
        <w:rPr>
          <w:rFonts w:hint="eastAsia"/>
          <w:color w:val="auto"/>
        </w:rPr>
        <w:t>5.1.7在货物采购项目中，供应商提供的货物既有小微企业制造货物，也有大中型企业制造货物的，不享受本办法规定的小微企业扶持政策。</w:t>
      </w:r>
    </w:p>
    <w:p>
      <w:pPr>
        <w:adjustRightInd w:val="0"/>
        <w:snapToGrid w:val="0"/>
        <w:spacing w:line="360" w:lineRule="auto"/>
        <w:ind w:firstLine="420" w:firstLineChars="200"/>
        <w:rPr>
          <w:color w:val="auto"/>
        </w:rPr>
      </w:pPr>
      <w:r>
        <w:rPr>
          <w:rFonts w:hint="eastAsia"/>
          <w:color w:val="auto"/>
        </w:rPr>
        <w:t>5.1.8享受扶持政策获得政府采购合同的，小微企业不得将合同分包给大中型企业，中型企业不得将合同分包给大型企业。</w:t>
      </w:r>
    </w:p>
    <w:p>
      <w:pPr>
        <w:adjustRightInd w:val="0"/>
        <w:snapToGrid w:val="0"/>
        <w:spacing w:line="360" w:lineRule="auto"/>
        <w:ind w:firstLine="420" w:firstLineChars="200"/>
        <w:rPr>
          <w:color w:val="auto"/>
        </w:rPr>
      </w:pPr>
      <w:r>
        <w:rPr>
          <w:rFonts w:hint="eastAsia"/>
          <w:color w:val="auto"/>
        </w:rPr>
        <w:t>5.2关于强制采购节能产品、信息安全产品和优先采购环境标志产品的要求。</w:t>
      </w:r>
    </w:p>
    <w:p>
      <w:pPr>
        <w:adjustRightInd w:val="0"/>
        <w:snapToGrid w:val="0"/>
        <w:spacing w:line="360" w:lineRule="auto"/>
        <w:ind w:firstLine="420" w:firstLineChars="200"/>
        <w:rPr>
          <w:color w:val="auto"/>
        </w:rPr>
      </w:pPr>
      <w:r>
        <w:rPr>
          <w:rFonts w:hint="eastAsia"/>
          <w:color w:val="auto"/>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pPr>
        <w:adjustRightInd w:val="0"/>
        <w:snapToGrid w:val="0"/>
        <w:spacing w:line="360" w:lineRule="auto"/>
        <w:ind w:firstLine="420" w:firstLineChars="200"/>
        <w:rPr>
          <w:color w:val="auto"/>
        </w:rPr>
      </w:pPr>
      <w:r>
        <w:rPr>
          <w:rFonts w:hint="eastAsia"/>
          <w:color w:val="auto"/>
        </w:rPr>
        <w:t>5.2.2提供的产品属于信息安全产品的，供应商应当选择经国家认证的信息安全产品响应，并提供有效的中国国家信息安全产品认证证书复印件。</w:t>
      </w:r>
    </w:p>
    <w:p>
      <w:pPr>
        <w:adjustRightInd w:val="0"/>
        <w:snapToGrid w:val="0"/>
        <w:spacing w:line="360" w:lineRule="auto"/>
        <w:ind w:firstLine="420" w:firstLineChars="200"/>
        <w:rPr>
          <w:color w:val="auto"/>
        </w:rPr>
      </w:pPr>
      <w:r>
        <w:rPr>
          <w:rFonts w:hint="eastAsia"/>
          <w:color w:val="auto"/>
        </w:rPr>
        <w:t>5.2.3提供的产品属于政府强制采购节能产品的，供应商应当选择《节能产品政府采购清单》中的产品响应，并提供有效的节能产品认证证书复印件。</w:t>
      </w:r>
    </w:p>
    <w:p>
      <w:pPr>
        <w:adjustRightInd w:val="0"/>
        <w:snapToGrid w:val="0"/>
        <w:spacing w:line="360" w:lineRule="auto"/>
        <w:ind w:firstLine="420" w:firstLineChars="200"/>
        <w:rPr>
          <w:color w:val="auto"/>
        </w:rPr>
      </w:pPr>
      <w:r>
        <w:rPr>
          <w:rFonts w:hint="eastAsia"/>
          <w:color w:val="auto"/>
        </w:rPr>
        <w:t>5.2.4提供的产品属于优先采购环境标志产品的，供应商应当选择《环境标志产品政府采购清单》中的产品响应，并提供有效的环境标志产品认证证书复印件。</w:t>
      </w:r>
    </w:p>
    <w:p>
      <w:pPr>
        <w:adjustRightInd w:val="0"/>
        <w:snapToGrid w:val="0"/>
        <w:spacing w:line="360" w:lineRule="auto"/>
        <w:ind w:firstLine="420" w:firstLineChars="200"/>
        <w:rPr>
          <w:color w:val="auto"/>
        </w:rPr>
      </w:pPr>
      <w:r>
        <w:rPr>
          <w:rFonts w:hint="eastAsia"/>
          <w:color w:val="auto"/>
        </w:rPr>
        <w:t>6、注意事项</w:t>
      </w:r>
    </w:p>
    <w:p>
      <w:pPr>
        <w:adjustRightInd w:val="0"/>
        <w:snapToGrid w:val="0"/>
        <w:spacing w:line="360" w:lineRule="auto"/>
        <w:ind w:firstLine="420" w:firstLineChars="200"/>
        <w:rPr>
          <w:color w:val="auto"/>
        </w:rPr>
      </w:pPr>
      <w:r>
        <w:rPr>
          <w:rFonts w:hint="eastAsia"/>
          <w:color w:val="auto"/>
        </w:rPr>
        <w:t>6.1如果没有特别声明或要求，供应商被视为充分熟悉本招标项目所在地与履行合同有关的各种情况，包括自然环境、气候条件、劳动力及公用设施等，本采购文件不再对上述情况进行描述。</w:t>
      </w:r>
    </w:p>
    <w:p>
      <w:pPr>
        <w:adjustRightInd w:val="0"/>
        <w:snapToGrid w:val="0"/>
        <w:spacing w:line="360" w:lineRule="auto"/>
        <w:ind w:firstLine="420" w:firstLineChars="200"/>
        <w:rPr>
          <w:color w:val="auto"/>
        </w:rPr>
      </w:pPr>
      <w:r>
        <w:rPr>
          <w:rFonts w:hint="eastAsia"/>
          <w:color w:val="auto"/>
        </w:rPr>
        <w:t>6.2分包采购详见“供应商须知前附表”要求。</w:t>
      </w:r>
    </w:p>
    <w:p>
      <w:pPr>
        <w:adjustRightInd w:val="0"/>
        <w:snapToGrid w:val="0"/>
        <w:spacing w:line="360" w:lineRule="auto"/>
        <w:ind w:firstLine="420" w:firstLineChars="200"/>
        <w:rPr>
          <w:color w:val="auto"/>
        </w:rPr>
      </w:pPr>
      <w:bookmarkStart w:id="35" w:name="_Toc246826107"/>
      <w:r>
        <w:rPr>
          <w:rFonts w:hint="eastAsia"/>
          <w:color w:val="auto"/>
        </w:rPr>
        <w:t>二、采购文件</w:t>
      </w:r>
      <w:bookmarkEnd w:id="35"/>
    </w:p>
    <w:p>
      <w:pPr>
        <w:adjustRightInd w:val="0"/>
        <w:snapToGrid w:val="0"/>
        <w:spacing w:line="360" w:lineRule="auto"/>
        <w:ind w:firstLine="420" w:firstLineChars="200"/>
        <w:outlineLvl w:val="1"/>
        <w:rPr>
          <w:color w:val="auto"/>
        </w:rPr>
      </w:pPr>
      <w:r>
        <w:rPr>
          <w:rFonts w:hint="eastAsia"/>
          <w:color w:val="auto"/>
        </w:rPr>
        <w:t>7、采购文件的组成</w:t>
      </w:r>
    </w:p>
    <w:p>
      <w:pPr>
        <w:pStyle w:val="6"/>
        <w:rPr>
          <w:color w:val="auto"/>
        </w:rPr>
      </w:pPr>
      <w:r>
        <w:rPr>
          <w:rFonts w:hint="eastAsia"/>
          <w:color w:val="auto"/>
        </w:rPr>
        <w:t>采购文件用以阐明供应商准备响应文件所必须的信息，以及响应、开标、评审和签订合同等有关规定。采购文件以电子版形式下载，采购文件由下述章节组成：</w:t>
      </w:r>
    </w:p>
    <w:p>
      <w:pPr>
        <w:pStyle w:val="6"/>
        <w:rPr>
          <w:color w:val="auto"/>
        </w:rPr>
      </w:pPr>
      <w:r>
        <w:rPr>
          <w:rFonts w:hint="eastAsia"/>
          <w:color w:val="auto"/>
        </w:rPr>
        <w:t>（1）比选公告</w:t>
      </w:r>
    </w:p>
    <w:p>
      <w:pPr>
        <w:pStyle w:val="6"/>
        <w:rPr>
          <w:color w:val="auto"/>
        </w:rPr>
      </w:pPr>
      <w:r>
        <w:rPr>
          <w:rFonts w:hint="eastAsia"/>
          <w:color w:val="auto"/>
        </w:rPr>
        <w:t>（2）采购需求</w:t>
      </w:r>
    </w:p>
    <w:p>
      <w:pPr>
        <w:pStyle w:val="6"/>
        <w:rPr>
          <w:color w:val="auto"/>
        </w:rPr>
      </w:pPr>
      <w:r>
        <w:rPr>
          <w:rFonts w:hint="eastAsia"/>
          <w:color w:val="auto"/>
        </w:rPr>
        <w:t>（3）供应商须知</w:t>
      </w:r>
    </w:p>
    <w:p>
      <w:pPr>
        <w:pStyle w:val="6"/>
        <w:rPr>
          <w:color w:val="auto"/>
        </w:rPr>
      </w:pPr>
      <w:r>
        <w:rPr>
          <w:rFonts w:hint="eastAsia"/>
          <w:color w:val="auto"/>
        </w:rPr>
        <w:t>（4）审查标准和评审标准</w:t>
      </w:r>
    </w:p>
    <w:p>
      <w:pPr>
        <w:pStyle w:val="6"/>
        <w:rPr>
          <w:color w:val="auto"/>
        </w:rPr>
      </w:pPr>
      <w:r>
        <w:rPr>
          <w:rFonts w:hint="eastAsia"/>
          <w:color w:val="auto"/>
        </w:rPr>
        <w:t>（5）政府采购合同格式</w:t>
      </w:r>
    </w:p>
    <w:p>
      <w:pPr>
        <w:pStyle w:val="6"/>
        <w:rPr>
          <w:color w:val="auto"/>
        </w:rPr>
      </w:pPr>
      <w:r>
        <w:rPr>
          <w:rFonts w:hint="eastAsia"/>
          <w:color w:val="auto"/>
        </w:rPr>
        <w:t>（6）响应文件格式及附件</w:t>
      </w:r>
    </w:p>
    <w:p>
      <w:pPr>
        <w:tabs>
          <w:tab w:val="left" w:pos="720"/>
        </w:tabs>
        <w:adjustRightInd w:val="0"/>
        <w:snapToGrid w:val="0"/>
        <w:spacing w:line="360" w:lineRule="auto"/>
        <w:ind w:firstLine="420" w:firstLineChars="200"/>
        <w:rPr>
          <w:color w:val="auto"/>
        </w:rPr>
      </w:pPr>
      <w:bookmarkStart w:id="36" w:name="_Toc183682348"/>
      <w:bookmarkStart w:id="37" w:name="_Toc183582211"/>
      <w:bookmarkStart w:id="38" w:name="_Toc217446040"/>
      <w:r>
        <w:rPr>
          <w:rFonts w:hint="eastAsia"/>
          <w:color w:val="auto"/>
        </w:rPr>
        <w:t>8、采购文件的澄清</w:t>
      </w:r>
      <w:bookmarkEnd w:id="36"/>
      <w:bookmarkEnd w:id="37"/>
      <w:r>
        <w:rPr>
          <w:rFonts w:hint="eastAsia"/>
          <w:color w:val="auto"/>
        </w:rPr>
        <w:t>和修改</w:t>
      </w:r>
      <w:bookmarkEnd w:id="38"/>
    </w:p>
    <w:p>
      <w:pPr>
        <w:tabs>
          <w:tab w:val="left" w:pos="720"/>
        </w:tabs>
        <w:adjustRightInd w:val="0"/>
        <w:snapToGrid w:val="0"/>
        <w:spacing w:line="360" w:lineRule="auto"/>
        <w:ind w:firstLine="420" w:firstLineChars="200"/>
        <w:rPr>
          <w:color w:val="auto"/>
        </w:rPr>
      </w:pPr>
      <w:r>
        <w:rPr>
          <w:rFonts w:hint="eastAsia"/>
          <w:color w:val="auto"/>
        </w:rPr>
        <w:t>8.1在响应文件递交截止时间前，采购人无论出于何种原因，可以对采购文件进行澄清或者修改。</w:t>
      </w:r>
    </w:p>
    <w:p>
      <w:pPr>
        <w:adjustRightInd w:val="0"/>
        <w:snapToGrid w:val="0"/>
        <w:spacing w:line="360" w:lineRule="auto"/>
        <w:ind w:firstLine="420" w:firstLineChars="200"/>
        <w:rPr>
          <w:color w:val="auto"/>
        </w:rPr>
      </w:pPr>
      <w:r>
        <w:rPr>
          <w:rFonts w:hint="eastAsia"/>
          <w:color w:val="auto"/>
        </w:rPr>
        <w:t>8.2</w:t>
      </w:r>
      <w:bookmarkStart w:id="39" w:name="_Toc430422414"/>
      <w:bookmarkStart w:id="40" w:name="_Toc430489120"/>
      <w:bookmarkStart w:id="41" w:name="_Toc415567498"/>
      <w:bookmarkStart w:id="42" w:name="_Toc430488852"/>
      <w:bookmarkStart w:id="43" w:name="_Toc430492127"/>
      <w:bookmarkStart w:id="44" w:name="_Toc430490613"/>
      <w:bookmarkStart w:id="45" w:name="_Toc430488645"/>
      <w:r>
        <w:rPr>
          <w:rFonts w:hint="eastAsia"/>
          <w:color w:val="auto"/>
        </w:rPr>
        <w:t>采购文件的修改</w:t>
      </w:r>
      <w:bookmarkEnd w:id="39"/>
      <w:bookmarkEnd w:id="40"/>
      <w:bookmarkEnd w:id="41"/>
      <w:bookmarkEnd w:id="42"/>
      <w:bookmarkEnd w:id="43"/>
      <w:bookmarkEnd w:id="44"/>
      <w:bookmarkEnd w:id="45"/>
    </w:p>
    <w:p>
      <w:pPr>
        <w:pStyle w:val="12"/>
        <w:rPr>
          <w:color w:val="auto"/>
        </w:rPr>
      </w:pPr>
      <w:bookmarkStart w:id="46" w:name="_Toc246826109"/>
      <w:bookmarkStart w:id="47" w:name="_Toc246825804"/>
      <w:bookmarkStart w:id="48" w:name="_Toc245887536"/>
      <w:bookmarkStart w:id="49" w:name="_Toc245888275"/>
      <w:r>
        <w:rPr>
          <w:rFonts w:hint="eastAsia"/>
          <w:color w:val="auto"/>
        </w:rPr>
        <w:t>（1）在响应文件递交截止时间以前，采购人可主动或依供应商要求澄清或质疑的问题对采购文件进行必要的补遗、澄清或修改；</w:t>
      </w:r>
      <w:bookmarkEnd w:id="46"/>
      <w:bookmarkEnd w:id="47"/>
      <w:bookmarkEnd w:id="48"/>
      <w:bookmarkEnd w:id="49"/>
      <w:bookmarkStart w:id="50" w:name="_Toc217446041"/>
      <w:bookmarkStart w:id="51" w:name="_Toc208848971"/>
    </w:p>
    <w:p>
      <w:pPr>
        <w:pStyle w:val="12"/>
        <w:rPr>
          <w:color w:val="auto"/>
        </w:rPr>
      </w:pPr>
      <w:r>
        <w:rPr>
          <w:rFonts w:hint="eastAsia"/>
          <w:color w:val="auto"/>
        </w:rPr>
        <w:t>（2）补遗、澄清或修改内容可能影响响应文件编制的，采购人须在响应文件递交截止时间2日前发布公告；不足2日的，采购人应当顺延提交响应文件的截止时间和开标时间，在此情况下，采购当事人受响应文件递交截止期制约的所有权利和义务均应延长至新的截止日期；</w:t>
      </w:r>
    </w:p>
    <w:p>
      <w:pPr>
        <w:pStyle w:val="12"/>
        <w:rPr>
          <w:color w:val="auto"/>
        </w:rPr>
      </w:pPr>
      <w:r>
        <w:rPr>
          <w:rFonts w:hint="eastAsia"/>
          <w:color w:val="auto"/>
        </w:rPr>
        <w:t>（3）补遗、澄清或修改后的内容是采购文件的组成部分，并对潜在供应商具有约束力。有关</w:t>
      </w:r>
      <w:r>
        <w:rPr>
          <w:rFonts w:hint="eastAsia"/>
          <w:color w:val="auto"/>
          <w:spacing w:val="-8"/>
        </w:rPr>
        <w:t>本项目采购文件的补遗、澄清及变更信息以第一章指定网站公告及下载内容为准，</w:t>
      </w:r>
      <w:r>
        <w:rPr>
          <w:rFonts w:hint="eastAsia"/>
          <w:color w:val="auto"/>
        </w:rPr>
        <w:t>采购人不再另行通知，潜在供应商须及时关注关于本项目采购信息的更新事项，否则自行承担由此产生的风险。采购文件与更正公告的内容相互矛盾时，以最后发出的更正公告为准。</w:t>
      </w:r>
    </w:p>
    <w:p>
      <w:pPr>
        <w:adjustRightInd w:val="0"/>
        <w:snapToGrid w:val="0"/>
        <w:spacing w:line="360" w:lineRule="auto"/>
        <w:ind w:firstLine="420" w:firstLineChars="200"/>
        <w:rPr>
          <w:color w:val="auto"/>
        </w:rPr>
      </w:pPr>
      <w:r>
        <w:rPr>
          <w:rFonts w:hint="eastAsia"/>
          <w:color w:val="auto"/>
        </w:rPr>
        <w:t>9、其他</w:t>
      </w:r>
    </w:p>
    <w:p>
      <w:pPr>
        <w:adjustRightInd w:val="0"/>
        <w:snapToGrid w:val="0"/>
        <w:spacing w:line="360" w:lineRule="auto"/>
        <w:ind w:firstLine="420" w:firstLineChars="200"/>
        <w:rPr>
          <w:color w:val="auto"/>
        </w:rPr>
      </w:pPr>
      <w:r>
        <w:rPr>
          <w:rFonts w:hint="eastAsia"/>
          <w:color w:val="auto"/>
        </w:rPr>
        <w:t>9.1标前答疑会和</w:t>
      </w:r>
      <w:bookmarkEnd w:id="50"/>
      <w:bookmarkEnd w:id="51"/>
      <w:r>
        <w:rPr>
          <w:rFonts w:hint="eastAsia"/>
          <w:color w:val="auto"/>
        </w:rPr>
        <w:t>现场考察</w:t>
      </w:r>
    </w:p>
    <w:p>
      <w:pPr>
        <w:adjustRightInd w:val="0"/>
        <w:snapToGrid w:val="0"/>
        <w:spacing w:line="360" w:lineRule="auto"/>
        <w:ind w:firstLine="420" w:firstLineChars="200"/>
        <w:rPr>
          <w:color w:val="auto"/>
        </w:rPr>
      </w:pPr>
      <w:r>
        <w:rPr>
          <w:rFonts w:hint="eastAsia"/>
          <w:color w:val="auto"/>
        </w:rPr>
        <w:t>9.1.1供应商须知前附表规定组织答疑会或/和现场考察的，采购人按供应商须知前附表规定的时间、地点组织答疑会或考察项目现场，供应商如不参加的，其风险由供应商自行承担，采购人不承担任何责任。采购人不组织现场考察的，供应商可以自行决定是否考察现场。</w:t>
      </w:r>
    </w:p>
    <w:p>
      <w:pPr>
        <w:adjustRightInd w:val="0"/>
        <w:snapToGrid w:val="0"/>
        <w:spacing w:line="360" w:lineRule="auto"/>
        <w:ind w:firstLine="420" w:firstLineChars="200"/>
        <w:rPr>
          <w:color w:val="auto"/>
        </w:rPr>
      </w:pPr>
      <w:r>
        <w:rPr>
          <w:rFonts w:hint="eastAsia"/>
          <w:color w:val="auto"/>
        </w:rPr>
        <w:t>9.1.2答疑会上，采购人将解答供应商的疑问。会上所有的解答与说明仅供供应商编制响应文件时参考，采购人不对供应商据此作出的判断和决策负责。</w:t>
      </w:r>
    </w:p>
    <w:p>
      <w:pPr>
        <w:adjustRightInd w:val="0"/>
        <w:snapToGrid w:val="0"/>
        <w:spacing w:line="360" w:lineRule="auto"/>
        <w:ind w:firstLine="420" w:firstLineChars="200"/>
        <w:rPr>
          <w:color w:val="auto"/>
        </w:rPr>
      </w:pPr>
      <w:r>
        <w:rPr>
          <w:rFonts w:hint="eastAsia"/>
          <w:color w:val="auto"/>
        </w:rPr>
        <w:t>9.1.3采购人在考察现场中口头介绍的情况（如有），供供应商在编制响应文件时参考，采购人不对供应商据此作出的判断和决策负责。</w:t>
      </w:r>
    </w:p>
    <w:p>
      <w:pPr>
        <w:adjustRightInd w:val="0"/>
        <w:snapToGrid w:val="0"/>
        <w:spacing w:line="360" w:lineRule="auto"/>
        <w:ind w:firstLine="420" w:firstLineChars="200"/>
        <w:rPr>
          <w:color w:val="auto"/>
        </w:rPr>
      </w:pPr>
      <w:r>
        <w:rPr>
          <w:rFonts w:hint="eastAsia"/>
          <w:color w:val="auto"/>
        </w:rPr>
        <w:t>9.1.4采购人不单独或者分别组织只有1个供应商参加的现场考察及标前答疑会。</w:t>
      </w:r>
    </w:p>
    <w:p>
      <w:pPr>
        <w:adjustRightInd w:val="0"/>
        <w:snapToGrid w:val="0"/>
        <w:spacing w:line="360" w:lineRule="auto"/>
        <w:ind w:firstLine="420" w:firstLineChars="200"/>
        <w:rPr>
          <w:color w:val="auto"/>
        </w:rPr>
      </w:pPr>
      <w:r>
        <w:rPr>
          <w:rFonts w:hint="eastAsia"/>
          <w:color w:val="auto"/>
        </w:rPr>
        <w:t>9.1.5供应商自行承担参加答疑或现场考察所发生的一切费用。</w:t>
      </w:r>
    </w:p>
    <w:p>
      <w:pPr>
        <w:adjustRightInd w:val="0"/>
        <w:snapToGrid w:val="0"/>
        <w:spacing w:line="360" w:lineRule="auto"/>
        <w:ind w:firstLine="420" w:firstLineChars="200"/>
        <w:rPr>
          <w:color w:val="auto"/>
        </w:rPr>
      </w:pPr>
      <w:r>
        <w:rPr>
          <w:rFonts w:hint="eastAsia"/>
          <w:color w:val="auto"/>
        </w:rPr>
        <w:t>9.2述标和/或演示</w:t>
      </w:r>
    </w:p>
    <w:p>
      <w:pPr>
        <w:pStyle w:val="6"/>
        <w:rPr>
          <w:color w:val="auto"/>
        </w:rPr>
      </w:pPr>
      <w:r>
        <w:rPr>
          <w:rFonts w:hint="eastAsia"/>
          <w:color w:val="auto"/>
        </w:rPr>
        <w:t>具体要求详见第二章“采购需求”和/或“供应商须知前附表”有关规定。</w:t>
      </w:r>
    </w:p>
    <w:p>
      <w:pPr>
        <w:adjustRightInd w:val="0"/>
        <w:snapToGrid w:val="0"/>
        <w:spacing w:line="360" w:lineRule="auto"/>
        <w:ind w:firstLine="420" w:firstLineChars="200"/>
        <w:outlineLvl w:val="1"/>
        <w:rPr>
          <w:color w:val="auto"/>
        </w:rPr>
      </w:pPr>
      <w:bookmarkStart w:id="52" w:name="_Toc246826110"/>
      <w:r>
        <w:rPr>
          <w:rFonts w:hint="eastAsia"/>
          <w:color w:val="auto"/>
        </w:rPr>
        <w:t>三、响应文件的编写</w:t>
      </w:r>
      <w:bookmarkEnd w:id="52"/>
    </w:p>
    <w:p>
      <w:pPr>
        <w:adjustRightInd w:val="0"/>
        <w:snapToGrid w:val="0"/>
        <w:spacing w:line="360" w:lineRule="auto"/>
        <w:ind w:firstLine="420" w:firstLineChars="200"/>
        <w:outlineLvl w:val="1"/>
        <w:rPr>
          <w:color w:val="auto"/>
        </w:rPr>
      </w:pPr>
      <w:r>
        <w:rPr>
          <w:rFonts w:hint="eastAsia"/>
          <w:color w:val="auto"/>
        </w:rPr>
        <w:t>10.响应文件的编制要求：供应商应当根据采购文件的要求编制响应文件（包括签名和盖章），否则自行承担由此产生的风险。</w:t>
      </w:r>
    </w:p>
    <w:p>
      <w:pPr>
        <w:adjustRightInd w:val="0"/>
        <w:snapToGrid w:val="0"/>
        <w:spacing w:line="360" w:lineRule="auto"/>
        <w:ind w:firstLine="420" w:firstLineChars="200"/>
        <w:rPr>
          <w:color w:val="auto"/>
        </w:rPr>
      </w:pPr>
      <w:r>
        <w:rPr>
          <w:rFonts w:hint="eastAsia"/>
          <w:color w:val="auto"/>
        </w:rPr>
        <w:t>10.1供应商应当根据自己的商务能力、技术水平对采购文件提出的要求和条件逐条标明响应与否。如果因为响应文件填报的内容不详，或没有提供采购文件中所要求的全部资料及数据，则供应商自行承担由此产生的风险。</w:t>
      </w:r>
    </w:p>
    <w:p>
      <w:pPr>
        <w:adjustRightInd w:val="0"/>
        <w:snapToGrid w:val="0"/>
        <w:spacing w:line="360" w:lineRule="auto"/>
        <w:ind w:firstLine="420" w:firstLineChars="200"/>
        <w:rPr>
          <w:color w:val="auto"/>
        </w:rPr>
      </w:pPr>
      <w:r>
        <w:rPr>
          <w:rFonts w:hint="eastAsia"/>
          <w:color w:val="auto"/>
        </w:rPr>
        <w:t>10.2供应商提供的文件必须真实、充分、全面，并对响应文件所提供全部资料的真实性和合法性承担法律责任。</w:t>
      </w:r>
    </w:p>
    <w:p>
      <w:pPr>
        <w:adjustRightInd w:val="0"/>
        <w:snapToGrid w:val="0"/>
        <w:spacing w:line="360" w:lineRule="auto"/>
        <w:ind w:firstLine="420" w:firstLineChars="200"/>
        <w:outlineLvl w:val="1"/>
        <w:rPr>
          <w:color w:val="auto"/>
        </w:rPr>
      </w:pPr>
      <w:r>
        <w:rPr>
          <w:rFonts w:hint="eastAsia"/>
          <w:color w:val="auto"/>
        </w:rPr>
        <w:t>10.3每一单项服务项目只允许有一个报价，否则将被视为无效响应。</w:t>
      </w:r>
    </w:p>
    <w:p>
      <w:pPr>
        <w:adjustRightInd w:val="0"/>
        <w:snapToGrid w:val="0"/>
        <w:spacing w:line="360" w:lineRule="auto"/>
        <w:ind w:firstLine="420" w:firstLineChars="200"/>
        <w:outlineLvl w:val="1"/>
        <w:rPr>
          <w:color w:val="auto"/>
        </w:rPr>
      </w:pPr>
      <w:r>
        <w:rPr>
          <w:rFonts w:hint="eastAsia"/>
          <w:color w:val="auto"/>
        </w:rPr>
        <w:t>10.4只允许供应商有一个响应方案，否则将被视为无效响应。（采购文件允许有备选方案的除外）</w:t>
      </w:r>
    </w:p>
    <w:p>
      <w:pPr>
        <w:adjustRightInd w:val="0"/>
        <w:snapToGrid w:val="0"/>
        <w:spacing w:line="360" w:lineRule="auto"/>
        <w:ind w:firstLine="420" w:firstLineChars="200"/>
        <w:outlineLvl w:val="1"/>
        <w:rPr>
          <w:color w:val="auto"/>
        </w:rPr>
      </w:pPr>
      <w:r>
        <w:rPr>
          <w:rFonts w:hint="eastAsia"/>
          <w:color w:val="auto"/>
        </w:rPr>
        <w:t>10.5供应商根据采购文件载明的采购项目实际情况，拟在成交后将成交项目的非主体、非关键性工作交由他人完成的，应当在响应文件中载明。</w:t>
      </w:r>
    </w:p>
    <w:p>
      <w:pPr>
        <w:pStyle w:val="7"/>
        <w:adjustRightInd w:val="0"/>
        <w:snapToGrid w:val="0"/>
        <w:spacing w:line="360" w:lineRule="auto"/>
        <w:ind w:firstLine="420" w:firstLineChars="200"/>
        <w:rPr>
          <w:color w:val="auto"/>
        </w:rPr>
      </w:pPr>
      <w:r>
        <w:rPr>
          <w:rFonts w:hint="eastAsia"/>
          <w:color w:val="auto"/>
        </w:rPr>
        <w:t>10.6响应文件的正本、副本和电子版响应文件的数量应当符合采购文件的要求。</w:t>
      </w:r>
    </w:p>
    <w:p>
      <w:pPr>
        <w:adjustRightInd w:val="0"/>
        <w:snapToGrid w:val="0"/>
        <w:spacing w:line="360" w:lineRule="auto"/>
        <w:ind w:firstLine="420" w:firstLineChars="200"/>
        <w:outlineLvl w:val="1"/>
        <w:rPr>
          <w:color w:val="auto"/>
        </w:rPr>
      </w:pPr>
      <w:r>
        <w:rPr>
          <w:rFonts w:hint="eastAsia"/>
          <w:color w:val="auto"/>
        </w:rPr>
        <w:t>10.7响应文件必须编页码，页码必须连续。</w:t>
      </w:r>
    </w:p>
    <w:p>
      <w:pPr>
        <w:adjustRightInd w:val="0"/>
        <w:snapToGrid w:val="0"/>
        <w:spacing w:line="360" w:lineRule="auto"/>
        <w:ind w:firstLine="420" w:firstLineChars="200"/>
        <w:outlineLvl w:val="1"/>
        <w:rPr>
          <w:color w:val="auto"/>
        </w:rPr>
      </w:pPr>
      <w:r>
        <w:rPr>
          <w:rFonts w:hint="eastAsia"/>
          <w:color w:val="auto"/>
        </w:rPr>
        <w:t>10.8响应文件应装订牢固不可拆卸（如：胶订），如因装订不牢固导致的任何损失及风险由供应商承担。</w:t>
      </w:r>
    </w:p>
    <w:p>
      <w:pPr>
        <w:pStyle w:val="12"/>
        <w:rPr>
          <w:color w:val="auto"/>
        </w:rPr>
      </w:pPr>
      <w:r>
        <w:rPr>
          <w:rFonts w:hint="eastAsia"/>
          <w:color w:val="auto"/>
        </w:rPr>
        <w:t>11.响应文件语言、货物及计量单位</w:t>
      </w:r>
    </w:p>
    <w:p>
      <w:pPr>
        <w:pStyle w:val="12"/>
        <w:rPr>
          <w:color w:val="auto"/>
        </w:rPr>
      </w:pPr>
      <w:r>
        <w:rPr>
          <w:rFonts w:hint="eastAsia"/>
          <w:color w:val="auto"/>
        </w:rPr>
        <w:t>11.1除采购文件中另有规定外，供应商提交的响应文件及其与采购人和采购人所有来往文件均应使用中文，若有不同文本，以中文文本为准。非中文的响应文件内容应翻译成中文。</w:t>
      </w:r>
    </w:p>
    <w:p>
      <w:pPr>
        <w:pStyle w:val="12"/>
        <w:rPr>
          <w:color w:val="auto"/>
        </w:rPr>
      </w:pPr>
      <w:r>
        <w:rPr>
          <w:rFonts w:hint="eastAsia"/>
          <w:color w:val="auto"/>
        </w:rPr>
        <w:t>11.2货币单位：本次采购项目的响应均以人民币报价。</w:t>
      </w:r>
    </w:p>
    <w:p>
      <w:pPr>
        <w:pStyle w:val="12"/>
        <w:rPr>
          <w:color w:val="auto"/>
        </w:rPr>
      </w:pPr>
      <w:r>
        <w:rPr>
          <w:rFonts w:hint="eastAsia"/>
          <w:color w:val="auto"/>
        </w:rPr>
        <w:t>11.3计量单位：除采购文件中另有规定外，供应商在响应文件中及其与采购人所有往来文件中所使用的计量单位均应采用中华人民共和国法定计量单位。</w:t>
      </w:r>
      <w:bookmarkStart w:id="53" w:name="_Toc217446046"/>
    </w:p>
    <w:bookmarkEnd w:id="53"/>
    <w:p>
      <w:pPr>
        <w:pStyle w:val="12"/>
        <w:rPr>
          <w:color w:val="auto"/>
        </w:rPr>
      </w:pPr>
      <w:r>
        <w:rPr>
          <w:rFonts w:hint="eastAsia"/>
          <w:color w:val="auto"/>
        </w:rPr>
        <w:t>12、响应文件的组成：由商务部分、技术部分、价格部分以及其他部分组成。所有证明材料、说明文件、响应要求详见“供应商须知前附表”的具体要求，供应商不提供或不按要求提供的则自行承担由此产生的风险。</w:t>
      </w:r>
    </w:p>
    <w:p>
      <w:pPr>
        <w:pStyle w:val="10"/>
        <w:rPr>
          <w:rFonts w:hint="eastAsia" w:ascii="宋体" w:hAnsi="Courier New" w:eastAsia="宋体" w:cs="Times New Roman"/>
          <w:bCs w:val="0"/>
          <w:color w:val="auto"/>
          <w:kern w:val="2"/>
          <w:sz w:val="21"/>
          <w:szCs w:val="20"/>
          <w:lang w:val="en-US" w:eastAsia="zh-CN" w:bidi="ar-SA"/>
        </w:rPr>
      </w:pPr>
      <w:r>
        <w:rPr>
          <w:rFonts w:hint="eastAsia" w:ascii="宋体" w:hAnsi="Courier New" w:eastAsia="宋体" w:cs="Times New Roman"/>
          <w:bCs w:val="0"/>
          <w:color w:val="auto"/>
          <w:kern w:val="2"/>
          <w:sz w:val="21"/>
          <w:szCs w:val="20"/>
          <w:lang w:val="en-US" w:eastAsia="zh-CN" w:bidi="ar-SA"/>
        </w:rPr>
        <w:t>12.1响应文件的商务部分</w:t>
      </w:r>
    </w:p>
    <w:p>
      <w:pPr>
        <w:pStyle w:val="10"/>
        <w:rPr>
          <w:rFonts w:hint="eastAsia" w:ascii="宋体" w:hAnsi="Courier New" w:eastAsia="宋体" w:cs="Times New Roman"/>
          <w:bCs w:val="0"/>
          <w:color w:val="auto"/>
          <w:kern w:val="2"/>
          <w:sz w:val="21"/>
          <w:szCs w:val="20"/>
          <w:lang w:val="en-US" w:eastAsia="zh-CN" w:bidi="ar-SA"/>
        </w:rPr>
      </w:pPr>
      <w:r>
        <w:rPr>
          <w:rFonts w:hint="eastAsia" w:ascii="宋体" w:hAnsi="Courier New" w:eastAsia="宋体" w:cs="Times New Roman"/>
          <w:bCs w:val="0"/>
          <w:color w:val="auto"/>
          <w:kern w:val="2"/>
          <w:sz w:val="21"/>
          <w:szCs w:val="20"/>
          <w:lang w:val="en-US" w:eastAsia="zh-CN" w:bidi="ar-SA"/>
        </w:rPr>
        <w:t>12.1.1商务部分是证明供应商是合格的，并且在成交后有能力履行合同的证明文件，这些文件可以是但不限于文字资料、证书复印件和数据报表等。</w:t>
      </w:r>
    </w:p>
    <w:p>
      <w:pPr>
        <w:autoSpaceDE w:val="0"/>
        <w:autoSpaceDN w:val="0"/>
        <w:adjustRightInd w:val="0"/>
        <w:snapToGrid w:val="0"/>
        <w:spacing w:line="360" w:lineRule="auto"/>
        <w:ind w:firstLine="420" w:firstLineChars="200"/>
        <w:rPr>
          <w:color w:val="auto"/>
        </w:rPr>
      </w:pPr>
      <w:r>
        <w:rPr>
          <w:rFonts w:hint="eastAsia"/>
          <w:color w:val="auto"/>
        </w:rPr>
        <w:t>12.1.2不满足商务部分实质性要求的将视为无效响应。</w:t>
      </w:r>
    </w:p>
    <w:p>
      <w:pPr>
        <w:pStyle w:val="10"/>
        <w:widowControl w:val="0"/>
        <w:jc w:val="both"/>
        <w:rPr>
          <w:rFonts w:hint="eastAsia" w:ascii="宋体" w:hAnsi="Courier New" w:eastAsia="宋体"/>
          <w:bCs w:val="0"/>
          <w:color w:val="auto"/>
          <w:kern w:val="2"/>
          <w:sz w:val="21"/>
          <w:szCs w:val="20"/>
          <w:lang w:val="en-US" w:eastAsia="zh-CN" w:bidi="ar-SA"/>
        </w:rPr>
      </w:pPr>
      <w:r>
        <w:rPr>
          <w:rFonts w:hint="eastAsia" w:ascii="宋体" w:hAnsi="Courier New" w:eastAsia="宋体"/>
          <w:bCs w:val="0"/>
          <w:color w:val="auto"/>
          <w:kern w:val="2"/>
          <w:sz w:val="21"/>
          <w:szCs w:val="20"/>
          <w:lang w:val="en-US" w:eastAsia="zh-CN" w:bidi="ar-SA"/>
        </w:rPr>
        <w:t>12.2响应文件的技术部分</w:t>
      </w:r>
    </w:p>
    <w:p>
      <w:pPr>
        <w:pStyle w:val="10"/>
        <w:widowControl w:val="0"/>
        <w:jc w:val="both"/>
        <w:rPr>
          <w:rFonts w:hint="eastAsia" w:ascii="宋体" w:hAnsi="Courier New" w:eastAsia="宋体" w:cs="Times New Roman"/>
          <w:bCs w:val="0"/>
          <w:color w:val="auto"/>
          <w:kern w:val="2"/>
          <w:sz w:val="21"/>
          <w:szCs w:val="20"/>
          <w:lang w:val="en-US" w:eastAsia="zh-CN" w:bidi="ar-SA"/>
        </w:rPr>
      </w:pPr>
      <w:r>
        <w:rPr>
          <w:rFonts w:hint="eastAsia" w:ascii="宋体" w:hAnsi="Courier New" w:eastAsia="宋体" w:cs="Times New Roman"/>
          <w:bCs w:val="0"/>
          <w:color w:val="auto"/>
          <w:kern w:val="2"/>
          <w:sz w:val="21"/>
          <w:szCs w:val="20"/>
          <w:lang w:val="en-US" w:eastAsia="zh-CN" w:bidi="ar-SA"/>
        </w:rPr>
        <w:t>技术部分是证明响应的技术（服务）标准以及配套/辅助服务标准是符合国家或/和行业的强制标准（包括但不限于经营许可或质量标准等），并符合采购文件要求的证明文件，这些文件可以是但不限于文字资料、图片和数据等。</w:t>
      </w:r>
    </w:p>
    <w:p>
      <w:pPr>
        <w:autoSpaceDE w:val="0"/>
        <w:autoSpaceDN w:val="0"/>
        <w:adjustRightInd w:val="0"/>
        <w:snapToGrid w:val="0"/>
        <w:spacing w:line="360" w:lineRule="auto"/>
        <w:ind w:firstLine="420" w:firstLineChars="200"/>
        <w:jc w:val="left"/>
        <w:rPr>
          <w:color w:val="auto"/>
        </w:rPr>
      </w:pPr>
      <w:r>
        <w:rPr>
          <w:rFonts w:hint="eastAsia"/>
          <w:color w:val="auto"/>
        </w:rPr>
        <w:t>12.3响应文件的价格部分</w:t>
      </w:r>
    </w:p>
    <w:p>
      <w:pPr>
        <w:adjustRightInd w:val="0"/>
        <w:snapToGrid w:val="0"/>
        <w:spacing w:line="360" w:lineRule="auto"/>
        <w:ind w:firstLine="420" w:firstLineChars="200"/>
        <w:rPr>
          <w:color w:val="auto"/>
        </w:rPr>
      </w:pPr>
      <w:r>
        <w:rPr>
          <w:rFonts w:hint="eastAsia"/>
          <w:color w:val="auto"/>
        </w:rPr>
        <w:t>价格部分是供应商对响应服务以及配套所需设施设备等价格的构成所作的说明。该响应总价是供应商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响应报价之内；该响应总价不得高于预算金额或最高限价，且须是本项目服务期限内所有服务费用的总和，否则视为无效效响应。</w:t>
      </w:r>
    </w:p>
    <w:p>
      <w:pPr>
        <w:autoSpaceDE w:val="0"/>
        <w:autoSpaceDN w:val="0"/>
        <w:adjustRightInd w:val="0"/>
        <w:snapToGrid w:val="0"/>
        <w:spacing w:line="360" w:lineRule="auto"/>
        <w:ind w:firstLine="420" w:firstLineChars="200"/>
        <w:rPr>
          <w:color w:val="auto"/>
        </w:rPr>
      </w:pPr>
      <w:r>
        <w:rPr>
          <w:rFonts w:hint="eastAsia"/>
          <w:color w:val="auto"/>
        </w:rPr>
        <w:t>12.4响应文件的其他部分</w:t>
      </w:r>
    </w:p>
    <w:p>
      <w:pPr>
        <w:autoSpaceDE w:val="0"/>
        <w:autoSpaceDN w:val="0"/>
        <w:adjustRightInd w:val="0"/>
        <w:snapToGrid w:val="0"/>
        <w:spacing w:line="360" w:lineRule="auto"/>
        <w:ind w:firstLine="420" w:firstLineChars="200"/>
        <w:rPr>
          <w:color w:val="auto"/>
        </w:rPr>
      </w:pPr>
      <w:r>
        <w:rPr>
          <w:rFonts w:hint="eastAsia"/>
          <w:color w:val="auto"/>
        </w:rPr>
        <w:t>其他部分由供应商根据编制响应文件需要提供的其他相关文件组成。</w:t>
      </w:r>
    </w:p>
    <w:p>
      <w:pPr>
        <w:adjustRightInd w:val="0"/>
        <w:snapToGrid w:val="0"/>
        <w:spacing w:line="360" w:lineRule="auto"/>
        <w:ind w:firstLine="420" w:firstLineChars="200"/>
        <w:rPr>
          <w:color w:val="auto"/>
        </w:rPr>
      </w:pPr>
      <w:r>
        <w:rPr>
          <w:rFonts w:hint="eastAsia"/>
          <w:color w:val="auto"/>
        </w:rPr>
        <w:t>13、响应有效期</w:t>
      </w:r>
    </w:p>
    <w:p>
      <w:pPr>
        <w:autoSpaceDE w:val="0"/>
        <w:autoSpaceDN w:val="0"/>
        <w:adjustRightInd w:val="0"/>
        <w:snapToGrid w:val="0"/>
        <w:spacing w:line="360" w:lineRule="auto"/>
        <w:ind w:firstLine="420" w:firstLineChars="200"/>
        <w:rPr>
          <w:color w:val="auto"/>
        </w:rPr>
      </w:pPr>
      <w:r>
        <w:rPr>
          <w:rFonts w:hint="eastAsia"/>
          <w:color w:val="auto"/>
        </w:rPr>
        <w:t>13.1响应文件从“供应商须知前附表”所规定的响应文件递交截止期之后开始生效，在“供应商须知前附表”所规定的响应有效期期限内保持有效。有效期不足将导致其响应无效。</w:t>
      </w:r>
    </w:p>
    <w:p>
      <w:pPr>
        <w:adjustRightInd w:val="0"/>
        <w:snapToGrid w:val="0"/>
        <w:spacing w:line="360" w:lineRule="auto"/>
        <w:ind w:firstLine="420" w:firstLineChars="200"/>
        <w:rPr>
          <w:color w:val="auto"/>
        </w:rPr>
      </w:pPr>
      <w:r>
        <w:rPr>
          <w:rFonts w:hint="eastAsia"/>
          <w:color w:val="auto"/>
        </w:rPr>
        <w:t>13.2特殊情况下采购人可于响应有效期满之前书面要求供应商同意延长有效期，供应商应在采购人规定的期限内以书面形式予以答复，供应商答复不明确或者逾期未答复的，均视为拒绝上述要求。供应商拒绝上述要求的，其响应保证金（如有）可按规定予以退还。对于接受该要求的供应商，既不要求也不允许其修改响应文件，但将要求其相应延长响应保证金有效期，有关退还和不予退还响应保证金的规定在响应有效期延长期内继续有效。同意响应有效期延长的，如提交的保证金为保函，应对保函做相应延长，供应商自行承担由此产生的费用，不同意延长响应有效期的，响应有效期满自动失效。</w:t>
      </w:r>
    </w:p>
    <w:p>
      <w:pPr>
        <w:adjustRightInd w:val="0"/>
        <w:snapToGrid w:val="0"/>
        <w:spacing w:line="360" w:lineRule="auto"/>
        <w:ind w:firstLine="420" w:firstLineChars="200"/>
        <w:rPr>
          <w:color w:val="auto"/>
        </w:rPr>
      </w:pPr>
      <w:r>
        <w:rPr>
          <w:rFonts w:hint="eastAsia"/>
          <w:color w:val="auto"/>
        </w:rPr>
        <w:t>14、响应保证金</w:t>
      </w:r>
    </w:p>
    <w:p>
      <w:pPr>
        <w:pStyle w:val="12"/>
        <w:rPr>
          <w:color w:val="auto"/>
        </w:rPr>
      </w:pPr>
      <w:r>
        <w:rPr>
          <w:rFonts w:hint="eastAsia"/>
          <w:color w:val="auto"/>
        </w:rPr>
        <w:t>14.1如项目需交纳响应保证金，则响应保证金为响应文件的组成部分之一。</w:t>
      </w:r>
    </w:p>
    <w:p>
      <w:pPr>
        <w:adjustRightInd w:val="0"/>
        <w:snapToGrid w:val="0"/>
        <w:spacing w:line="360" w:lineRule="auto"/>
        <w:ind w:firstLine="420" w:firstLineChars="200"/>
        <w:rPr>
          <w:color w:val="auto"/>
        </w:rPr>
      </w:pPr>
      <w:r>
        <w:rPr>
          <w:rFonts w:hint="eastAsia"/>
          <w:color w:val="auto"/>
        </w:rPr>
        <w:t>14.2供应商应在提交响应文件之前向采购人交纳“供应商须知前附表”所规定的响应保证金。联合体响应的，由联合体中的一方提交响应保证金，以一方名义提交响应保证金的，对联合体各方均具有约束力。</w:t>
      </w:r>
    </w:p>
    <w:p>
      <w:pPr>
        <w:adjustRightInd w:val="0"/>
        <w:snapToGrid w:val="0"/>
        <w:spacing w:line="360" w:lineRule="auto"/>
        <w:ind w:firstLine="420" w:firstLineChars="200"/>
        <w:rPr>
          <w:color w:val="auto"/>
        </w:rPr>
      </w:pPr>
      <w:r>
        <w:rPr>
          <w:rFonts w:hint="eastAsia"/>
          <w:color w:val="auto"/>
        </w:rPr>
        <w:t>14.3响应保证金用于保护本次采购活动免受供应商的行为而引起的风险。</w:t>
      </w:r>
    </w:p>
    <w:p>
      <w:pPr>
        <w:adjustRightInd w:val="0"/>
        <w:snapToGrid w:val="0"/>
        <w:spacing w:line="360" w:lineRule="auto"/>
        <w:ind w:firstLine="420" w:firstLineChars="200"/>
        <w:rPr>
          <w:color w:val="auto"/>
        </w:rPr>
      </w:pPr>
      <w:r>
        <w:rPr>
          <w:rFonts w:hint="eastAsia"/>
          <w:color w:val="auto"/>
        </w:rPr>
        <w:t>14.4供应商未按采购文件要求提交响应保证金的，视为无效响应；项目免收响应保证金的除外。</w:t>
      </w:r>
    </w:p>
    <w:p>
      <w:pPr>
        <w:adjustRightInd w:val="0"/>
        <w:snapToGrid w:val="0"/>
        <w:spacing w:line="360" w:lineRule="auto"/>
        <w:ind w:firstLine="420" w:firstLineChars="200"/>
        <w:rPr>
          <w:color w:val="auto"/>
        </w:rPr>
      </w:pPr>
      <w:r>
        <w:rPr>
          <w:rFonts w:hint="eastAsia"/>
          <w:color w:val="auto"/>
        </w:rPr>
        <w:t>14.5未成交供应商的响应保证金将在成交通知书发出后5个工作日内退还，成交供应商的响应保证金将在合同送达采购人存档及公告后5个工作日内退还。</w:t>
      </w:r>
    </w:p>
    <w:p>
      <w:pPr>
        <w:adjustRightInd w:val="0"/>
        <w:snapToGrid w:val="0"/>
        <w:spacing w:line="360" w:lineRule="auto"/>
        <w:ind w:firstLine="420" w:firstLineChars="200"/>
        <w:rPr>
          <w:color w:val="auto"/>
        </w:rPr>
      </w:pPr>
      <w:r>
        <w:rPr>
          <w:rFonts w:hint="eastAsia"/>
          <w:color w:val="auto"/>
        </w:rPr>
        <w:t>14.6响应保证金的有效期与响应有效期一致。</w:t>
      </w:r>
    </w:p>
    <w:p>
      <w:pPr>
        <w:adjustRightInd w:val="0"/>
        <w:snapToGrid w:val="0"/>
        <w:spacing w:line="360" w:lineRule="auto"/>
        <w:ind w:firstLine="420" w:firstLineChars="200"/>
        <w:rPr>
          <w:color w:val="auto"/>
        </w:rPr>
      </w:pPr>
      <w:r>
        <w:rPr>
          <w:rFonts w:hint="eastAsia"/>
          <w:color w:val="auto"/>
        </w:rPr>
        <w:t>14.7供应商交纳响应保证金的单位名称须与响应的单位名称一致，否则自行承担响应无效的风险。</w:t>
      </w:r>
    </w:p>
    <w:p>
      <w:pPr>
        <w:adjustRightInd w:val="0"/>
        <w:snapToGrid w:val="0"/>
        <w:spacing w:line="360" w:lineRule="auto"/>
        <w:ind w:firstLine="420" w:firstLineChars="200"/>
        <w:rPr>
          <w:color w:val="auto"/>
        </w:rPr>
      </w:pPr>
      <w:r>
        <w:rPr>
          <w:rFonts w:hint="eastAsia"/>
          <w:color w:val="auto"/>
        </w:rPr>
        <w:t>14.8发生以下情况之一的，响应保证金将不予退还：</w:t>
      </w:r>
    </w:p>
    <w:p>
      <w:pPr>
        <w:adjustRightInd w:val="0"/>
        <w:snapToGrid w:val="0"/>
        <w:spacing w:line="360" w:lineRule="auto"/>
        <w:ind w:firstLine="420" w:firstLineChars="200"/>
        <w:rPr>
          <w:color w:val="auto"/>
        </w:rPr>
      </w:pPr>
      <w:r>
        <w:rPr>
          <w:rFonts w:hint="eastAsia"/>
          <w:color w:val="auto"/>
        </w:rPr>
        <w:t>（1）供应商在响应有效期内撤回已提交的响应文件的；</w:t>
      </w:r>
    </w:p>
    <w:p>
      <w:pPr>
        <w:adjustRightInd w:val="0"/>
        <w:snapToGrid w:val="0"/>
        <w:spacing w:line="360" w:lineRule="auto"/>
        <w:ind w:firstLine="420" w:firstLineChars="200"/>
        <w:rPr>
          <w:color w:val="auto"/>
        </w:rPr>
      </w:pPr>
      <w:r>
        <w:rPr>
          <w:rFonts w:hint="eastAsia"/>
          <w:color w:val="auto"/>
        </w:rPr>
        <w:t>（2）供应商在响应文件中提供虚假材料的；</w:t>
      </w:r>
    </w:p>
    <w:p>
      <w:pPr>
        <w:adjustRightInd w:val="0"/>
        <w:snapToGrid w:val="0"/>
        <w:spacing w:line="360" w:lineRule="auto"/>
        <w:ind w:firstLine="420" w:firstLineChars="200"/>
        <w:rPr>
          <w:color w:val="auto"/>
        </w:rPr>
      </w:pPr>
      <w:r>
        <w:rPr>
          <w:rFonts w:hint="eastAsia"/>
          <w:color w:val="auto"/>
        </w:rPr>
        <w:t>（3）除因不可抗力或采购文件认可的情形以外，成交供应商放弃成交资格的；</w:t>
      </w:r>
    </w:p>
    <w:p>
      <w:pPr>
        <w:adjustRightInd w:val="0"/>
        <w:snapToGrid w:val="0"/>
        <w:spacing w:line="360" w:lineRule="auto"/>
        <w:ind w:firstLine="420" w:firstLineChars="200"/>
        <w:rPr>
          <w:color w:val="auto"/>
        </w:rPr>
      </w:pPr>
      <w:r>
        <w:rPr>
          <w:rFonts w:hint="eastAsia"/>
          <w:color w:val="auto"/>
        </w:rPr>
        <w:t>（4）供应商与采购人、其他供应商或者采购人恶意串通的；</w:t>
      </w:r>
    </w:p>
    <w:p>
      <w:pPr>
        <w:adjustRightInd w:val="0"/>
        <w:snapToGrid w:val="0"/>
        <w:spacing w:line="360" w:lineRule="auto"/>
        <w:ind w:firstLine="420" w:firstLineChars="200"/>
        <w:rPr>
          <w:color w:val="auto"/>
        </w:rPr>
      </w:pPr>
      <w:r>
        <w:rPr>
          <w:rFonts w:hint="eastAsia"/>
          <w:color w:val="auto"/>
        </w:rPr>
        <w:t>（5）成交供应商无正当理由不与采购人签订合同的；</w:t>
      </w:r>
    </w:p>
    <w:p>
      <w:pPr>
        <w:adjustRightInd w:val="0"/>
        <w:snapToGrid w:val="0"/>
        <w:spacing w:line="360" w:lineRule="auto"/>
        <w:ind w:firstLine="420" w:firstLineChars="200"/>
        <w:rPr>
          <w:color w:val="auto"/>
        </w:rPr>
      </w:pPr>
      <w:r>
        <w:rPr>
          <w:rFonts w:hint="eastAsia"/>
          <w:color w:val="auto"/>
        </w:rPr>
        <w:t>（6）供应商有违反政府采购法律、法规和扰乱会场秩序行为的；</w:t>
      </w:r>
    </w:p>
    <w:p>
      <w:pPr>
        <w:adjustRightInd w:val="0"/>
        <w:snapToGrid w:val="0"/>
        <w:spacing w:line="360" w:lineRule="auto"/>
        <w:ind w:firstLine="420" w:firstLineChars="200"/>
        <w:rPr>
          <w:color w:val="auto"/>
        </w:rPr>
      </w:pPr>
      <w:r>
        <w:rPr>
          <w:rFonts w:hint="eastAsia"/>
          <w:color w:val="auto"/>
        </w:rPr>
        <w:t>（7）拒绝履行合同义务的；</w:t>
      </w:r>
    </w:p>
    <w:p>
      <w:pPr>
        <w:pStyle w:val="11"/>
        <w:rPr>
          <w:color w:val="auto"/>
        </w:rPr>
      </w:pPr>
      <w:r>
        <w:rPr>
          <w:rFonts w:hint="eastAsia"/>
          <w:color w:val="auto"/>
        </w:rPr>
        <w:t>（8）法律法规及采购文件规定的其他情形。</w:t>
      </w:r>
    </w:p>
    <w:p>
      <w:pPr>
        <w:adjustRightInd w:val="0"/>
        <w:snapToGrid w:val="0"/>
        <w:spacing w:line="360" w:lineRule="auto"/>
        <w:ind w:firstLine="420" w:firstLineChars="200"/>
        <w:rPr>
          <w:color w:val="auto"/>
        </w:rPr>
      </w:pPr>
      <w:r>
        <w:rPr>
          <w:rFonts w:hint="eastAsia"/>
          <w:color w:val="auto"/>
        </w:rPr>
        <w:t>上述不予退还响应保证金的情况给采购人或采购人造成损失的，还要承担赔偿责任。</w:t>
      </w:r>
    </w:p>
    <w:p>
      <w:pPr>
        <w:adjustRightInd w:val="0"/>
        <w:snapToGrid w:val="0"/>
        <w:spacing w:line="360" w:lineRule="auto"/>
        <w:ind w:firstLine="420" w:firstLineChars="200"/>
        <w:rPr>
          <w:color w:val="auto"/>
        </w:rPr>
      </w:pPr>
      <w:r>
        <w:rPr>
          <w:rFonts w:hint="eastAsia"/>
          <w:color w:val="auto"/>
        </w:rPr>
        <w:t>15.响应文件的格式及签署</w:t>
      </w:r>
    </w:p>
    <w:p>
      <w:pPr>
        <w:adjustRightInd w:val="0"/>
        <w:snapToGrid w:val="0"/>
        <w:spacing w:line="360" w:lineRule="auto"/>
        <w:ind w:firstLine="420" w:firstLineChars="200"/>
        <w:rPr>
          <w:color w:val="auto"/>
        </w:rPr>
      </w:pPr>
      <w:r>
        <w:rPr>
          <w:rFonts w:hint="eastAsia"/>
          <w:color w:val="auto"/>
        </w:rPr>
        <w:t>15.1响应文件正本一份，副本若干份，电子版响应文件（PDF格式）U盘一个。正本、副本必须打印装订，副本可以用正本的完整复印件，并在封面标明“正本”、“副本”字样。电子版响应文件（PDF格式）为正本完整版的扫描件。正本与副本如有不一致，则以正本为准。</w:t>
      </w:r>
    </w:p>
    <w:p>
      <w:pPr>
        <w:adjustRightInd w:val="0"/>
        <w:snapToGrid w:val="0"/>
        <w:spacing w:line="360" w:lineRule="auto"/>
        <w:ind w:firstLine="420" w:firstLineChars="200"/>
        <w:rPr>
          <w:color w:val="auto"/>
        </w:rPr>
      </w:pPr>
      <w:r>
        <w:rPr>
          <w:rFonts w:hint="eastAsia"/>
          <w:color w:val="auto"/>
        </w:rPr>
        <w:t>15.2响应文件应当由供应商的法定代表人或经其正式授权的代表签字，授权代表须出具书面的法定代表人授权委托书并附载响应文件中，否则视为无效响应文件；</w:t>
      </w:r>
    </w:p>
    <w:p>
      <w:pPr>
        <w:adjustRightInd w:val="0"/>
        <w:snapToGrid w:val="0"/>
        <w:spacing w:line="360" w:lineRule="auto"/>
        <w:ind w:firstLine="420" w:firstLineChars="200"/>
        <w:rPr>
          <w:color w:val="auto"/>
        </w:rPr>
      </w:pPr>
      <w:r>
        <w:rPr>
          <w:rFonts w:hint="eastAsia"/>
          <w:color w:val="auto"/>
        </w:rPr>
        <w:t>15.3响应文件所使用的印章必须为单位公章，且与供应商单位名称完全一致，不能以其他业务章或附属机构印章代替，否则视为无效响应文件；</w:t>
      </w:r>
    </w:p>
    <w:p>
      <w:pPr>
        <w:adjustRightInd w:val="0"/>
        <w:snapToGrid w:val="0"/>
        <w:spacing w:line="360" w:lineRule="auto"/>
        <w:ind w:firstLine="420" w:firstLineChars="200"/>
        <w:rPr>
          <w:color w:val="auto"/>
        </w:rPr>
      </w:pPr>
      <w:r>
        <w:rPr>
          <w:rFonts w:hint="eastAsia"/>
          <w:color w:val="auto"/>
        </w:rPr>
        <w:t>15.4响应文件中的任何行间插字，涂改和增删，须由法定代表人或经其正式授权的代表在旁边签字方可有效；</w:t>
      </w:r>
    </w:p>
    <w:p>
      <w:pPr>
        <w:adjustRightInd w:val="0"/>
        <w:snapToGrid w:val="0"/>
        <w:spacing w:line="360" w:lineRule="auto"/>
        <w:ind w:firstLine="420" w:firstLineChars="200"/>
        <w:rPr>
          <w:color w:val="auto"/>
        </w:rPr>
      </w:pPr>
      <w:r>
        <w:rPr>
          <w:rFonts w:hint="eastAsia"/>
          <w:color w:val="auto"/>
        </w:rPr>
        <w:t>15.5供应商应按照采购文件第六章中提供的“响应文件格式”编制响应文件，如自有格式并按其格式编制的响应文件，其内容必须包含“响应文件格式”中所有的实质性内容并受其约束。</w:t>
      </w:r>
    </w:p>
    <w:p>
      <w:pPr>
        <w:adjustRightInd w:val="0"/>
        <w:snapToGrid w:val="0"/>
        <w:spacing w:line="360" w:lineRule="auto"/>
        <w:ind w:firstLine="420" w:firstLineChars="200"/>
        <w:rPr>
          <w:color w:val="auto"/>
        </w:rPr>
      </w:pPr>
      <w:r>
        <w:rPr>
          <w:rFonts w:hint="eastAsia"/>
          <w:color w:val="auto"/>
        </w:rPr>
        <w:t>15.6供应商须将响应文件的商务部分、技术部分和价格部分整合为一份响应文件，并制作详细目录、页码索引。</w:t>
      </w:r>
    </w:p>
    <w:p>
      <w:pPr>
        <w:adjustRightInd w:val="0"/>
        <w:snapToGrid w:val="0"/>
        <w:spacing w:line="360" w:lineRule="auto"/>
        <w:ind w:firstLine="420" w:firstLineChars="200"/>
        <w:rPr>
          <w:color w:val="auto"/>
        </w:rPr>
      </w:pPr>
      <w:r>
        <w:rPr>
          <w:rFonts w:hint="eastAsia"/>
          <w:color w:val="auto"/>
        </w:rPr>
        <w:t>15.7响应文件因字迹潦草或表达不清所引起的后果由供应商负责。</w:t>
      </w:r>
    </w:p>
    <w:p>
      <w:pPr>
        <w:adjustRightInd w:val="0"/>
        <w:snapToGrid w:val="0"/>
        <w:spacing w:line="360" w:lineRule="auto"/>
        <w:ind w:firstLine="420" w:firstLineChars="200"/>
        <w:outlineLvl w:val="1"/>
        <w:rPr>
          <w:color w:val="auto"/>
        </w:rPr>
      </w:pPr>
      <w:bookmarkStart w:id="54" w:name="_Toc246826111"/>
      <w:r>
        <w:rPr>
          <w:rFonts w:hint="eastAsia"/>
          <w:color w:val="auto"/>
        </w:rPr>
        <w:t>四、响应文件的提交</w:t>
      </w:r>
      <w:bookmarkEnd w:id="54"/>
    </w:p>
    <w:p>
      <w:pPr>
        <w:adjustRightInd w:val="0"/>
        <w:snapToGrid w:val="0"/>
        <w:spacing w:line="360" w:lineRule="auto"/>
        <w:ind w:firstLine="420" w:firstLineChars="200"/>
        <w:outlineLvl w:val="1"/>
        <w:rPr>
          <w:color w:val="auto"/>
        </w:rPr>
      </w:pPr>
      <w:r>
        <w:rPr>
          <w:rFonts w:hint="eastAsia"/>
          <w:color w:val="auto"/>
        </w:rPr>
        <w:t>16.响应文件的密封和递交</w:t>
      </w:r>
    </w:p>
    <w:p>
      <w:pPr>
        <w:pStyle w:val="7"/>
        <w:adjustRightInd w:val="0"/>
        <w:snapToGrid w:val="0"/>
        <w:spacing w:line="360" w:lineRule="auto"/>
        <w:ind w:firstLine="420" w:firstLineChars="200"/>
        <w:rPr>
          <w:color w:val="auto"/>
        </w:rPr>
      </w:pPr>
      <w:r>
        <w:rPr>
          <w:rFonts w:hint="eastAsia"/>
          <w:color w:val="auto"/>
        </w:rPr>
        <w:t>16.1供应商应将纸质版响应文件和电子版响应文件（PDF格式）密封提交，响应文件密封袋上标示“供应商须知前附表”所规定的内容。</w:t>
      </w:r>
    </w:p>
    <w:p>
      <w:pPr>
        <w:adjustRightInd w:val="0"/>
        <w:snapToGrid w:val="0"/>
        <w:spacing w:line="360" w:lineRule="auto"/>
        <w:ind w:firstLine="420" w:firstLineChars="200"/>
        <w:outlineLvl w:val="1"/>
        <w:rPr>
          <w:color w:val="auto"/>
        </w:rPr>
      </w:pPr>
      <w:r>
        <w:rPr>
          <w:rFonts w:hint="eastAsia"/>
          <w:color w:val="auto"/>
        </w:rPr>
        <w:t>16.2电子版响应文件U盘应密封提交。</w:t>
      </w:r>
    </w:p>
    <w:p>
      <w:pPr>
        <w:adjustRightInd w:val="0"/>
        <w:snapToGrid w:val="0"/>
        <w:spacing w:line="360" w:lineRule="auto"/>
        <w:ind w:firstLine="420" w:firstLineChars="200"/>
        <w:outlineLvl w:val="1"/>
        <w:rPr>
          <w:color w:val="auto"/>
        </w:rPr>
      </w:pPr>
      <w:r>
        <w:rPr>
          <w:rFonts w:hint="eastAsia"/>
          <w:color w:val="auto"/>
        </w:rPr>
        <w:t>16.3供应商应将响应文件按照本须知正文第16.1条及16.2的规定进行密封和标记后，按第一章/比选公告注明的递交响应文件地址送至采购人指定地点。</w:t>
      </w:r>
    </w:p>
    <w:p>
      <w:pPr>
        <w:adjustRightInd w:val="0"/>
        <w:snapToGrid w:val="0"/>
        <w:spacing w:line="360" w:lineRule="auto"/>
        <w:ind w:firstLine="420" w:firstLineChars="200"/>
        <w:outlineLvl w:val="1"/>
        <w:rPr>
          <w:color w:val="auto"/>
        </w:rPr>
      </w:pPr>
      <w:r>
        <w:rPr>
          <w:rFonts w:hint="eastAsia"/>
          <w:color w:val="auto"/>
        </w:rPr>
        <w:t>16.4如果未按上述规定进行密封和标记，采购人将不承担由此造成的对响应文件的误投或提前拆封的责任。</w:t>
      </w:r>
    </w:p>
    <w:p>
      <w:pPr>
        <w:adjustRightInd w:val="0"/>
        <w:snapToGrid w:val="0"/>
        <w:spacing w:line="360" w:lineRule="auto"/>
        <w:ind w:firstLine="420" w:firstLineChars="200"/>
        <w:outlineLvl w:val="1"/>
        <w:rPr>
          <w:color w:val="auto"/>
        </w:rPr>
      </w:pPr>
      <w:r>
        <w:rPr>
          <w:rFonts w:hint="eastAsia"/>
          <w:color w:val="auto"/>
        </w:rPr>
        <w:t>16.5响应文件应在第一章/比选公告中所规定的响应文件递交截止时间前送达，迟到的响应文件为无效响应文件,将被拒收；未按照采购文件要求密封的响应文件将被拒收。</w:t>
      </w:r>
    </w:p>
    <w:p>
      <w:pPr>
        <w:adjustRightInd w:val="0"/>
        <w:snapToGrid w:val="0"/>
        <w:spacing w:line="360" w:lineRule="auto"/>
        <w:ind w:firstLine="420" w:firstLineChars="200"/>
        <w:outlineLvl w:val="1"/>
        <w:rPr>
          <w:color w:val="auto"/>
        </w:rPr>
      </w:pPr>
      <w:r>
        <w:rPr>
          <w:rFonts w:hint="eastAsia"/>
          <w:color w:val="auto"/>
        </w:rPr>
        <w:t>16.6接受邮寄的响应文件，但必须密封完整。</w:t>
      </w:r>
      <w:bookmarkStart w:id="55" w:name="_Toc183682365"/>
      <w:bookmarkStart w:id="56" w:name="_Toc183582228"/>
      <w:bookmarkStart w:id="57" w:name="_Toc217446055"/>
    </w:p>
    <w:p>
      <w:pPr>
        <w:adjustRightInd w:val="0"/>
        <w:snapToGrid w:val="0"/>
        <w:spacing w:line="360" w:lineRule="auto"/>
        <w:ind w:firstLine="420" w:firstLineChars="200"/>
        <w:outlineLvl w:val="1"/>
        <w:rPr>
          <w:color w:val="auto"/>
        </w:rPr>
      </w:pPr>
      <w:r>
        <w:rPr>
          <w:rFonts w:hint="eastAsia"/>
          <w:color w:val="auto"/>
        </w:rPr>
        <w:t>17.响应文件的修改和撤</w:t>
      </w:r>
      <w:bookmarkEnd w:id="55"/>
      <w:bookmarkEnd w:id="56"/>
      <w:r>
        <w:rPr>
          <w:rFonts w:hint="eastAsia"/>
          <w:color w:val="auto"/>
        </w:rPr>
        <w:t>回</w:t>
      </w:r>
      <w:bookmarkEnd w:id="57"/>
    </w:p>
    <w:p>
      <w:pPr>
        <w:adjustRightInd w:val="0"/>
        <w:snapToGrid w:val="0"/>
        <w:spacing w:line="360" w:lineRule="auto"/>
        <w:ind w:firstLine="420" w:firstLineChars="200"/>
        <w:rPr>
          <w:color w:val="auto"/>
        </w:rPr>
      </w:pPr>
      <w:bookmarkStart w:id="58" w:name="_Toc246826112"/>
      <w:r>
        <w:rPr>
          <w:rFonts w:hint="eastAsia"/>
          <w:color w:val="auto"/>
        </w:rPr>
        <w:t>17.l供应商在提交响应文件后可对其进行修改或撤回，但必须使采购人在响应文件递交截止时间前收到该修改的书面内容或撤回的书面通知。</w:t>
      </w:r>
    </w:p>
    <w:p>
      <w:pPr>
        <w:adjustRightInd w:val="0"/>
        <w:snapToGrid w:val="0"/>
        <w:spacing w:line="360" w:lineRule="auto"/>
        <w:ind w:firstLine="420" w:firstLineChars="200"/>
        <w:rPr>
          <w:color w:val="auto"/>
        </w:rPr>
      </w:pPr>
      <w:r>
        <w:rPr>
          <w:rFonts w:hint="eastAsia"/>
          <w:color w:val="auto"/>
        </w:rPr>
        <w:t>17.2响应文件的修改文件应按第15条规定签署，并按第16.1条规定盖章及标记，还须注明“修改响应文件”和“开标前不得启封”字样。修改文件须在响应文件递交截止时间前送达规定的响应文件递交地点。上述补充或修改若涉及响应报价，必须注明“最终唯一报价”字样，否则将视为有选择的报价。</w:t>
      </w:r>
    </w:p>
    <w:p>
      <w:pPr>
        <w:adjustRightInd w:val="0"/>
        <w:snapToGrid w:val="0"/>
        <w:spacing w:line="360" w:lineRule="auto"/>
        <w:ind w:firstLine="420" w:firstLineChars="200"/>
        <w:rPr>
          <w:color w:val="auto"/>
        </w:rPr>
      </w:pPr>
      <w:r>
        <w:rPr>
          <w:rFonts w:hint="eastAsia"/>
          <w:color w:val="auto"/>
        </w:rPr>
        <w:t>17.3供应商不得在响应文件递交截止时间以后修改或/和撤回响应文件。</w:t>
      </w:r>
    </w:p>
    <w:p>
      <w:pPr>
        <w:adjustRightInd w:val="0"/>
        <w:snapToGrid w:val="0"/>
        <w:spacing w:line="360" w:lineRule="auto"/>
        <w:ind w:firstLine="420" w:firstLineChars="200"/>
        <w:rPr>
          <w:color w:val="auto"/>
        </w:rPr>
      </w:pPr>
      <w:r>
        <w:rPr>
          <w:rFonts w:hint="eastAsia"/>
          <w:color w:val="auto"/>
        </w:rPr>
        <w:t>五、开标与</w:t>
      </w:r>
      <w:bookmarkEnd w:id="58"/>
      <w:r>
        <w:rPr>
          <w:rFonts w:hint="eastAsia"/>
          <w:color w:val="auto"/>
        </w:rPr>
        <w:t>评审</w:t>
      </w:r>
    </w:p>
    <w:p>
      <w:pPr>
        <w:adjustRightInd w:val="0"/>
        <w:snapToGrid w:val="0"/>
        <w:spacing w:line="360" w:lineRule="auto"/>
        <w:ind w:firstLine="420" w:firstLineChars="200"/>
        <w:outlineLvl w:val="1"/>
        <w:rPr>
          <w:color w:val="auto"/>
        </w:rPr>
      </w:pPr>
      <w:r>
        <w:rPr>
          <w:rFonts w:hint="eastAsia"/>
          <w:color w:val="auto"/>
        </w:rPr>
        <w:t>18．开标</w:t>
      </w:r>
    </w:p>
    <w:p>
      <w:pPr>
        <w:adjustRightInd w:val="0"/>
        <w:snapToGrid w:val="0"/>
        <w:spacing w:line="360" w:lineRule="auto"/>
        <w:ind w:firstLine="420" w:firstLineChars="200"/>
        <w:outlineLvl w:val="1"/>
        <w:rPr>
          <w:color w:val="auto"/>
        </w:rPr>
      </w:pPr>
      <w:r>
        <w:rPr>
          <w:rFonts w:hint="eastAsia"/>
          <w:color w:val="auto"/>
        </w:rPr>
        <w:t>18.1在第一章/比选公告所规定的开标时间和地点开标。</w:t>
      </w:r>
    </w:p>
    <w:p>
      <w:pPr>
        <w:adjustRightInd w:val="0"/>
        <w:snapToGrid w:val="0"/>
        <w:spacing w:line="360" w:lineRule="auto"/>
        <w:ind w:firstLine="420" w:firstLineChars="200"/>
        <w:outlineLvl w:val="1"/>
        <w:rPr>
          <w:color w:val="auto"/>
        </w:rPr>
      </w:pPr>
      <w:r>
        <w:rPr>
          <w:rFonts w:hint="eastAsia"/>
          <w:color w:val="auto"/>
        </w:rPr>
        <w:t>18.2开标时，供应商法定代表人或法人授权的供应商授权代表须携带个人身份证（或其他有效证件）复印件和授权委托书原件亲自出席开标会并确认开标情况。如果不参加开标会议的，则视为认可开标情况。</w:t>
      </w:r>
    </w:p>
    <w:p>
      <w:pPr>
        <w:adjustRightInd w:val="0"/>
        <w:snapToGrid w:val="0"/>
        <w:spacing w:line="360" w:lineRule="auto"/>
        <w:ind w:firstLine="420" w:firstLineChars="200"/>
        <w:outlineLvl w:val="1"/>
        <w:rPr>
          <w:color w:val="auto"/>
        </w:rPr>
      </w:pPr>
      <w:r>
        <w:rPr>
          <w:rFonts w:hint="eastAsia"/>
          <w:color w:val="auto"/>
        </w:rPr>
        <w:t>18.3开标时，由供应商代表或采购人内部监督部门，检查响应文件的密封情况，。供应商认为响应文件存在密封有瑕疵情形的，现场应如实记录，由评审委员会对响应文件实质性有效与否作出判断，由此产生的风险由供应商自行承担。</w:t>
      </w:r>
    </w:p>
    <w:p>
      <w:pPr>
        <w:adjustRightInd w:val="0"/>
        <w:snapToGrid w:val="0"/>
        <w:spacing w:line="360" w:lineRule="auto"/>
        <w:ind w:firstLine="420" w:firstLineChars="200"/>
        <w:outlineLvl w:val="1"/>
        <w:rPr>
          <w:color w:val="auto"/>
        </w:rPr>
      </w:pPr>
      <w:r>
        <w:rPr>
          <w:rFonts w:hint="eastAsia"/>
          <w:color w:val="auto"/>
        </w:rPr>
        <w:t>18.4开标程序详见“供应商须知前附表”。</w:t>
      </w:r>
    </w:p>
    <w:p>
      <w:pPr>
        <w:adjustRightInd w:val="0"/>
        <w:snapToGrid w:val="0"/>
        <w:spacing w:line="360" w:lineRule="auto"/>
        <w:ind w:firstLine="420" w:firstLineChars="200"/>
        <w:outlineLvl w:val="1"/>
        <w:rPr>
          <w:color w:val="auto"/>
        </w:rPr>
      </w:pPr>
      <w:r>
        <w:rPr>
          <w:rFonts w:hint="eastAsia"/>
          <w:color w:val="auto"/>
        </w:rPr>
        <w:t>18.5唱标要求详见“供应商须知前附表”。</w:t>
      </w:r>
    </w:p>
    <w:p>
      <w:pPr>
        <w:adjustRightInd w:val="0"/>
        <w:snapToGrid w:val="0"/>
        <w:spacing w:line="360" w:lineRule="auto"/>
        <w:ind w:firstLine="420" w:firstLineChars="200"/>
        <w:outlineLvl w:val="1"/>
        <w:rPr>
          <w:color w:val="auto"/>
        </w:rPr>
      </w:pPr>
      <w:r>
        <w:rPr>
          <w:rFonts w:hint="eastAsia"/>
          <w:color w:val="auto"/>
        </w:rPr>
        <w:t>19、评审</w:t>
      </w:r>
    </w:p>
    <w:p>
      <w:pPr>
        <w:adjustRightInd w:val="0"/>
        <w:snapToGrid w:val="0"/>
        <w:spacing w:line="360" w:lineRule="auto"/>
        <w:ind w:firstLine="420" w:firstLineChars="200"/>
        <w:outlineLvl w:val="1"/>
        <w:rPr>
          <w:color w:val="auto"/>
        </w:rPr>
      </w:pPr>
      <w:r>
        <w:rPr>
          <w:rFonts w:hint="eastAsia"/>
          <w:color w:val="auto"/>
        </w:rPr>
        <w:t>19.1评审委员会</w:t>
      </w:r>
    </w:p>
    <w:p>
      <w:pPr>
        <w:pStyle w:val="7"/>
        <w:adjustRightInd w:val="0"/>
        <w:snapToGrid w:val="0"/>
        <w:spacing w:line="360" w:lineRule="auto"/>
        <w:ind w:firstLine="420" w:firstLineChars="200"/>
        <w:rPr>
          <w:color w:val="auto"/>
        </w:rPr>
      </w:pPr>
      <w:r>
        <w:rPr>
          <w:rFonts w:hint="eastAsia"/>
          <w:color w:val="auto"/>
        </w:rPr>
        <w:t>19.1.1评审委员会由采购人自行组建，成员人数应当为3人以上单数。</w:t>
      </w:r>
    </w:p>
    <w:p>
      <w:pPr>
        <w:snapToGrid w:val="0"/>
        <w:spacing w:line="360" w:lineRule="auto"/>
        <w:ind w:firstLine="420" w:firstLineChars="200"/>
        <w:outlineLvl w:val="1"/>
        <w:rPr>
          <w:color w:val="auto"/>
        </w:rPr>
      </w:pPr>
      <w:r>
        <w:rPr>
          <w:rFonts w:hint="eastAsia"/>
          <w:color w:val="auto"/>
        </w:rPr>
        <w:t>19.1.2评审委员会成员与供应商有下列利害关系之一的，应当回避：</w:t>
      </w:r>
    </w:p>
    <w:p>
      <w:pPr>
        <w:snapToGrid w:val="0"/>
        <w:spacing w:line="360" w:lineRule="auto"/>
        <w:ind w:firstLine="420" w:firstLineChars="200"/>
        <w:outlineLvl w:val="1"/>
        <w:rPr>
          <w:color w:val="auto"/>
        </w:rPr>
      </w:pPr>
      <w:r>
        <w:rPr>
          <w:rFonts w:hint="eastAsia"/>
          <w:color w:val="auto"/>
        </w:rPr>
        <w:t>（1）参加采购活动前3年内与供应商存在劳动关系；</w:t>
      </w:r>
    </w:p>
    <w:p>
      <w:pPr>
        <w:snapToGrid w:val="0"/>
        <w:spacing w:line="360" w:lineRule="auto"/>
        <w:ind w:firstLine="420" w:firstLineChars="200"/>
        <w:outlineLvl w:val="1"/>
        <w:rPr>
          <w:color w:val="auto"/>
        </w:rPr>
      </w:pPr>
      <w:r>
        <w:rPr>
          <w:rFonts w:hint="eastAsia"/>
          <w:color w:val="auto"/>
        </w:rPr>
        <w:t>（2）参加采购活动前3年内担任供应商的董事、监事；</w:t>
      </w:r>
    </w:p>
    <w:p>
      <w:pPr>
        <w:snapToGrid w:val="0"/>
        <w:spacing w:line="360" w:lineRule="auto"/>
        <w:ind w:firstLine="420" w:firstLineChars="200"/>
        <w:outlineLvl w:val="1"/>
        <w:rPr>
          <w:color w:val="auto"/>
        </w:rPr>
      </w:pPr>
      <w:r>
        <w:rPr>
          <w:rFonts w:hint="eastAsia"/>
          <w:color w:val="auto"/>
        </w:rPr>
        <w:t>（3）参加采购活动前3年内是供应商的控股股东或者实际控制人；</w:t>
      </w:r>
    </w:p>
    <w:p>
      <w:pPr>
        <w:snapToGrid w:val="0"/>
        <w:spacing w:line="360" w:lineRule="auto"/>
        <w:ind w:firstLine="420" w:firstLineChars="200"/>
        <w:outlineLvl w:val="1"/>
        <w:rPr>
          <w:color w:val="auto"/>
        </w:rPr>
      </w:pPr>
      <w:r>
        <w:rPr>
          <w:rFonts w:hint="eastAsia"/>
          <w:color w:val="auto"/>
        </w:rPr>
        <w:t>（4）与供应商的法定代表人或者负责人有夫妻、直系血亲、三代以内旁系血亲或者近姻亲关系；</w:t>
      </w:r>
    </w:p>
    <w:p>
      <w:pPr>
        <w:snapToGrid w:val="0"/>
        <w:spacing w:line="360" w:lineRule="auto"/>
        <w:ind w:firstLine="420" w:firstLineChars="200"/>
        <w:outlineLvl w:val="1"/>
        <w:rPr>
          <w:color w:val="auto"/>
        </w:rPr>
      </w:pPr>
      <w:r>
        <w:rPr>
          <w:rFonts w:hint="eastAsia"/>
          <w:color w:val="auto"/>
        </w:rPr>
        <w:t>（5）与供应商有其他可能影响政府采购活动公平、公正进行的关系。</w:t>
      </w:r>
    </w:p>
    <w:p>
      <w:pPr>
        <w:snapToGrid w:val="0"/>
        <w:spacing w:line="360" w:lineRule="auto"/>
        <w:ind w:firstLine="420" w:firstLineChars="200"/>
        <w:outlineLvl w:val="1"/>
        <w:rPr>
          <w:rFonts w:asciiTheme="minorEastAsia" w:hAnsiTheme="minorEastAsia" w:eastAsiaTheme="minorEastAsia" w:cstheme="minorEastAsia"/>
          <w:color w:val="auto"/>
        </w:rPr>
      </w:pPr>
      <w:r>
        <w:rPr>
          <w:rFonts w:hint="eastAsia"/>
          <w:color w:val="auto"/>
        </w:rPr>
        <w:t>供应商认为评审委员会成员与其他供应商有利害关系的，可以向采购人书面提出回避申请，并说明理由。采购人应当及时询问被申请回避人员，有利害关系的被申请回避人员应当回避。评审专家发现本人与参加采购活动的供应商有利害关系的，应当主动提出回避。</w:t>
      </w:r>
    </w:p>
    <w:p>
      <w:pPr>
        <w:pStyle w:val="7"/>
        <w:adjustRightInd w:val="0"/>
        <w:snapToGrid w:val="0"/>
        <w:spacing w:line="360" w:lineRule="auto"/>
        <w:ind w:firstLine="420" w:firstLineChars="200"/>
        <w:rPr>
          <w:color w:val="auto"/>
        </w:rPr>
      </w:pPr>
      <w:r>
        <w:rPr>
          <w:rFonts w:hint="eastAsia" w:asciiTheme="minorEastAsia" w:hAnsiTheme="minorEastAsia" w:eastAsiaTheme="minorEastAsia" w:cstheme="minorEastAsia"/>
          <w:color w:val="auto"/>
        </w:rPr>
        <w:t>19.1.3</w:t>
      </w:r>
      <w:r>
        <w:rPr>
          <w:rFonts w:hint="eastAsia"/>
          <w:color w:val="auto"/>
        </w:rPr>
        <w:t>评审委员会将严格遵守评审工作纪律，按照客观、公正、审慎的原则，根据采购文件规定的评审程序、评审方法和评审标准进行独立评审。</w:t>
      </w:r>
    </w:p>
    <w:p>
      <w:pPr>
        <w:adjustRightInd w:val="0"/>
        <w:snapToGrid w:val="0"/>
        <w:spacing w:line="360" w:lineRule="auto"/>
        <w:ind w:firstLine="420" w:firstLineChars="200"/>
        <w:outlineLvl w:val="1"/>
        <w:rPr>
          <w:color w:val="auto"/>
        </w:rPr>
      </w:pPr>
      <w:r>
        <w:rPr>
          <w:rFonts w:hint="eastAsia"/>
          <w:color w:val="auto"/>
        </w:rPr>
        <w:t>19.2响应文件的评审</w:t>
      </w:r>
    </w:p>
    <w:p>
      <w:pPr>
        <w:adjustRightInd w:val="0"/>
        <w:snapToGrid w:val="0"/>
        <w:spacing w:line="360" w:lineRule="auto"/>
        <w:ind w:firstLine="420" w:firstLineChars="200"/>
        <w:outlineLvl w:val="1"/>
        <w:rPr>
          <w:color w:val="auto"/>
        </w:rPr>
      </w:pPr>
      <w:r>
        <w:rPr>
          <w:rFonts w:hint="eastAsia"/>
          <w:color w:val="auto"/>
        </w:rPr>
        <w:t>19.2.1要求</w:t>
      </w:r>
    </w:p>
    <w:p>
      <w:pPr>
        <w:adjustRightInd w:val="0"/>
        <w:snapToGrid w:val="0"/>
        <w:spacing w:line="360" w:lineRule="auto"/>
        <w:ind w:firstLine="420" w:firstLineChars="200"/>
        <w:outlineLvl w:val="1"/>
        <w:rPr>
          <w:color w:val="auto"/>
        </w:rPr>
      </w:pPr>
      <w:r>
        <w:rPr>
          <w:rFonts w:hint="eastAsia"/>
          <w:color w:val="auto"/>
        </w:rPr>
        <w:t>评审委员会对所有供应商的评审，都采用相同的程序和标准并严格按照采购文件的要求和条件进行。评审委员会决定响应文件是否实质性响应只根据响应文件本身的内容，以及述标和/或演示内容（如果有），而不寻求其他的外部证据。</w:t>
      </w:r>
    </w:p>
    <w:p>
      <w:pPr>
        <w:adjustRightInd w:val="0"/>
        <w:snapToGrid w:val="0"/>
        <w:spacing w:line="360" w:lineRule="auto"/>
        <w:ind w:firstLine="420" w:firstLineChars="200"/>
        <w:outlineLvl w:val="1"/>
        <w:rPr>
          <w:color w:val="auto"/>
        </w:rPr>
      </w:pPr>
      <w:r>
        <w:rPr>
          <w:rFonts w:hint="eastAsia"/>
          <w:color w:val="auto"/>
        </w:rPr>
        <w:t>19.2.2符合性审查：依据采购文件的规定，评审委员会将从响应文件的有效性、完整性和对采购文件的响应程度进行审查，以确定是否符合对采购文件的实质性要求作出响应。</w:t>
      </w:r>
    </w:p>
    <w:p>
      <w:pPr>
        <w:adjustRightInd w:val="0"/>
        <w:snapToGrid w:val="0"/>
        <w:spacing w:line="360" w:lineRule="auto"/>
        <w:ind w:firstLine="420" w:firstLineChars="200"/>
        <w:outlineLvl w:val="1"/>
        <w:rPr>
          <w:color w:val="auto"/>
        </w:rPr>
      </w:pPr>
      <w:r>
        <w:rPr>
          <w:rFonts w:hint="eastAsia"/>
          <w:color w:val="auto"/>
        </w:rPr>
        <w:t>19.2.3响应文件的澄清</w:t>
      </w:r>
    </w:p>
    <w:p>
      <w:pPr>
        <w:adjustRightInd w:val="0"/>
        <w:snapToGrid w:val="0"/>
        <w:spacing w:line="360" w:lineRule="auto"/>
        <w:ind w:firstLine="420" w:firstLineChars="200"/>
        <w:outlineLvl w:val="1"/>
        <w:rPr>
          <w:color w:val="auto"/>
        </w:rPr>
      </w:pPr>
      <w:r>
        <w:rPr>
          <w:rFonts w:hint="eastAsia"/>
          <w:color w:val="auto"/>
        </w:rPr>
        <w:t>19.2.3．1对响应文件中含义不明确、同类问题表述不一致或者有明显文字和计算错误的内容，评审委员会应当以书面形式要求供应商作出必要的澄清、说明或者补正。供应商的澄清、说明或者补正应当在评审委员会规定的时间内以书面形式作出，并加盖公章，或者由法定代表人或者其授权代表签字。供应商的澄清、说明或者补正不得超出响应文件的范围或者改变响应文件的实质性内容。</w:t>
      </w:r>
    </w:p>
    <w:p>
      <w:pPr>
        <w:adjustRightInd w:val="0"/>
        <w:snapToGrid w:val="0"/>
        <w:spacing w:line="360" w:lineRule="auto"/>
        <w:ind w:firstLine="420" w:firstLineChars="200"/>
        <w:outlineLvl w:val="1"/>
        <w:rPr>
          <w:color w:val="auto"/>
        </w:rPr>
      </w:pPr>
      <w:r>
        <w:rPr>
          <w:rFonts w:hint="eastAsia"/>
          <w:color w:val="auto"/>
        </w:rPr>
        <w:t>19.2.3.2算术错误将按以下方法更正：</w:t>
      </w:r>
    </w:p>
    <w:p>
      <w:pPr>
        <w:adjustRightInd w:val="0"/>
        <w:snapToGrid w:val="0"/>
        <w:spacing w:line="360" w:lineRule="auto"/>
        <w:ind w:firstLine="420" w:firstLineChars="200"/>
        <w:outlineLvl w:val="1"/>
        <w:rPr>
          <w:color w:val="auto"/>
        </w:rPr>
      </w:pPr>
      <w:r>
        <w:rPr>
          <w:rFonts w:hint="eastAsia"/>
          <w:color w:val="auto"/>
        </w:rPr>
        <w:t>（1）响应文件中开标一览表（报价表）内容与响应文件中相应内容不一致的，以开标一览表（报价表）为准；</w:t>
      </w:r>
    </w:p>
    <w:p>
      <w:pPr>
        <w:adjustRightInd w:val="0"/>
        <w:snapToGrid w:val="0"/>
        <w:spacing w:line="360" w:lineRule="auto"/>
        <w:ind w:firstLine="420" w:firstLineChars="200"/>
        <w:outlineLvl w:val="1"/>
        <w:rPr>
          <w:color w:val="auto"/>
        </w:rPr>
      </w:pPr>
      <w:r>
        <w:rPr>
          <w:rFonts w:hint="eastAsia"/>
          <w:color w:val="auto"/>
        </w:rPr>
        <w:t>（2）大写金额和小写金额不一致的，以大写金额为准；</w:t>
      </w:r>
    </w:p>
    <w:p>
      <w:pPr>
        <w:adjustRightInd w:val="0"/>
        <w:snapToGrid w:val="0"/>
        <w:spacing w:line="360" w:lineRule="auto"/>
        <w:ind w:firstLine="420" w:firstLineChars="200"/>
        <w:outlineLvl w:val="1"/>
        <w:rPr>
          <w:color w:val="auto"/>
        </w:rPr>
      </w:pPr>
      <w:r>
        <w:rPr>
          <w:rFonts w:hint="eastAsia"/>
          <w:color w:val="auto"/>
        </w:rPr>
        <w:t>（3）单价金额小数点或者百分比有明显错位的，以开标一览表的总价为准，并修改单价；</w:t>
      </w:r>
    </w:p>
    <w:p>
      <w:pPr>
        <w:adjustRightInd w:val="0"/>
        <w:snapToGrid w:val="0"/>
        <w:spacing w:line="360" w:lineRule="auto"/>
        <w:ind w:firstLine="420" w:firstLineChars="200"/>
        <w:outlineLvl w:val="1"/>
        <w:rPr>
          <w:color w:val="auto"/>
        </w:rPr>
      </w:pPr>
      <w:r>
        <w:rPr>
          <w:rFonts w:hint="eastAsia"/>
          <w:color w:val="auto"/>
        </w:rPr>
        <w:t>（4）总价金额与按单价汇总金额不一致的，以单价金额计算结果为准；同时出现两种以上不一致的，按照前款规定的顺序修正。修正后的报价经供应商确认后产生约束力，供应商不确认的，其响应无效。</w:t>
      </w:r>
    </w:p>
    <w:p>
      <w:pPr>
        <w:adjustRightInd w:val="0"/>
        <w:snapToGrid w:val="0"/>
        <w:spacing w:line="360" w:lineRule="auto"/>
        <w:ind w:firstLine="420" w:firstLineChars="200"/>
        <w:outlineLvl w:val="1"/>
        <w:rPr>
          <w:color w:val="auto"/>
        </w:rPr>
      </w:pPr>
      <w:r>
        <w:rPr>
          <w:rFonts w:hint="eastAsia"/>
          <w:color w:val="auto"/>
        </w:rPr>
        <w:t>19.2.4比较与评价</w:t>
      </w:r>
    </w:p>
    <w:p>
      <w:pPr>
        <w:adjustRightInd w:val="0"/>
        <w:snapToGrid w:val="0"/>
        <w:spacing w:line="360" w:lineRule="auto"/>
        <w:ind w:firstLine="420" w:firstLineChars="200"/>
        <w:outlineLvl w:val="1"/>
        <w:rPr>
          <w:color w:val="auto"/>
        </w:rPr>
      </w:pPr>
      <w:r>
        <w:rPr>
          <w:rFonts w:hint="eastAsia"/>
          <w:color w:val="auto"/>
        </w:rPr>
        <w:t>19.2.4.1评审委员会将按第四章所规定的评审方法与标准，对资格性审查和符合性检查合格的响应文件进行评审。</w:t>
      </w:r>
    </w:p>
    <w:p>
      <w:pPr>
        <w:adjustRightInd w:val="0"/>
        <w:snapToGrid w:val="0"/>
        <w:spacing w:line="360" w:lineRule="auto"/>
        <w:ind w:firstLine="420" w:firstLineChars="200"/>
        <w:outlineLvl w:val="1"/>
        <w:rPr>
          <w:color w:val="auto"/>
        </w:rPr>
      </w:pPr>
      <w:r>
        <w:rPr>
          <w:rFonts w:hint="eastAsia"/>
          <w:color w:val="auto"/>
        </w:rPr>
        <w:t>19.2.4.2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经评审委员会投票认定，超过半数将以无效响应处理。</w:t>
      </w:r>
    </w:p>
    <w:p>
      <w:pPr>
        <w:adjustRightInd w:val="0"/>
        <w:snapToGrid w:val="0"/>
        <w:spacing w:line="360" w:lineRule="auto"/>
        <w:ind w:firstLine="420" w:firstLineChars="200"/>
        <w:outlineLvl w:val="1"/>
        <w:rPr>
          <w:color w:val="auto"/>
        </w:rPr>
      </w:pPr>
      <w:r>
        <w:rPr>
          <w:rFonts w:hint="eastAsia"/>
          <w:color w:val="auto"/>
        </w:rPr>
        <w:t>19.2.5有下列情形之一的，视为供应商串通响应，其响应无效：</w:t>
      </w:r>
    </w:p>
    <w:p>
      <w:pPr>
        <w:adjustRightInd w:val="0"/>
        <w:snapToGrid w:val="0"/>
        <w:spacing w:line="360" w:lineRule="auto"/>
        <w:ind w:firstLine="420" w:firstLineChars="200"/>
        <w:outlineLvl w:val="1"/>
        <w:rPr>
          <w:color w:val="auto"/>
        </w:rPr>
      </w:pPr>
      <w:r>
        <w:rPr>
          <w:rFonts w:hint="eastAsia"/>
          <w:color w:val="auto"/>
        </w:rPr>
        <w:t>（一）不同供应商的响应文件由同一单位或者个人编制；</w:t>
      </w:r>
    </w:p>
    <w:p>
      <w:pPr>
        <w:adjustRightInd w:val="0"/>
        <w:snapToGrid w:val="0"/>
        <w:spacing w:line="360" w:lineRule="auto"/>
        <w:ind w:firstLine="420" w:firstLineChars="200"/>
        <w:outlineLvl w:val="1"/>
        <w:rPr>
          <w:color w:val="auto"/>
        </w:rPr>
      </w:pPr>
      <w:r>
        <w:rPr>
          <w:rFonts w:hint="eastAsia"/>
          <w:color w:val="auto"/>
        </w:rPr>
        <w:t>（二）不同供应商委托同一单位或者个人办理项目响应相关事宜；</w:t>
      </w:r>
    </w:p>
    <w:p>
      <w:pPr>
        <w:adjustRightInd w:val="0"/>
        <w:snapToGrid w:val="0"/>
        <w:spacing w:line="360" w:lineRule="auto"/>
        <w:ind w:firstLine="420" w:firstLineChars="200"/>
        <w:outlineLvl w:val="1"/>
        <w:rPr>
          <w:color w:val="auto"/>
        </w:rPr>
      </w:pPr>
      <w:r>
        <w:rPr>
          <w:rFonts w:hint="eastAsia"/>
          <w:color w:val="auto"/>
        </w:rPr>
        <w:t>（三）不同供应商的响应文件载明的项目管理成员或者联系人员为同一人；</w:t>
      </w:r>
    </w:p>
    <w:p>
      <w:pPr>
        <w:adjustRightInd w:val="0"/>
        <w:snapToGrid w:val="0"/>
        <w:spacing w:line="360" w:lineRule="auto"/>
        <w:ind w:firstLine="420" w:firstLineChars="200"/>
        <w:outlineLvl w:val="1"/>
        <w:rPr>
          <w:color w:val="auto"/>
        </w:rPr>
      </w:pPr>
      <w:r>
        <w:rPr>
          <w:rFonts w:hint="eastAsia"/>
          <w:color w:val="auto"/>
        </w:rPr>
        <w:t>（四）不同供应商的响应文件异常一致或者响应报价呈规律性差异；</w:t>
      </w:r>
    </w:p>
    <w:p>
      <w:pPr>
        <w:adjustRightInd w:val="0"/>
        <w:snapToGrid w:val="0"/>
        <w:spacing w:line="360" w:lineRule="auto"/>
        <w:ind w:firstLine="420" w:firstLineChars="200"/>
        <w:outlineLvl w:val="1"/>
        <w:rPr>
          <w:color w:val="auto"/>
        </w:rPr>
      </w:pPr>
      <w:r>
        <w:rPr>
          <w:rFonts w:hint="eastAsia"/>
          <w:color w:val="auto"/>
        </w:rPr>
        <w:t>（五）不同供应商的响应文件相互混装；</w:t>
      </w:r>
    </w:p>
    <w:p>
      <w:pPr>
        <w:adjustRightInd w:val="0"/>
        <w:snapToGrid w:val="0"/>
        <w:spacing w:line="360" w:lineRule="auto"/>
        <w:ind w:firstLine="420" w:firstLineChars="200"/>
        <w:outlineLvl w:val="1"/>
        <w:rPr>
          <w:color w:val="auto"/>
        </w:rPr>
      </w:pPr>
      <w:r>
        <w:rPr>
          <w:rFonts w:hint="eastAsia"/>
          <w:color w:val="auto"/>
        </w:rPr>
        <w:t>（六）不同供应商的响应保证金从同一单位或者个人的账户转出。</w:t>
      </w:r>
    </w:p>
    <w:p>
      <w:pPr>
        <w:adjustRightInd w:val="0"/>
        <w:snapToGrid w:val="0"/>
        <w:spacing w:line="360" w:lineRule="auto"/>
        <w:ind w:firstLine="420" w:firstLineChars="200"/>
        <w:outlineLvl w:val="1"/>
        <w:rPr>
          <w:color w:val="auto"/>
        </w:rPr>
      </w:pPr>
      <w:r>
        <w:rPr>
          <w:rFonts w:hint="eastAsia"/>
          <w:color w:val="auto"/>
        </w:rPr>
        <w:t>20、废标</w:t>
      </w:r>
      <w:bookmarkStart w:id="59" w:name="_Toc217446072"/>
      <w:r>
        <w:rPr>
          <w:rFonts w:hint="eastAsia"/>
          <w:color w:val="auto"/>
        </w:rPr>
        <w:t>的情形</w:t>
      </w:r>
      <w:bookmarkEnd w:id="59"/>
    </w:p>
    <w:p>
      <w:pPr>
        <w:pStyle w:val="6"/>
        <w:rPr>
          <w:color w:val="auto"/>
        </w:rPr>
      </w:pPr>
      <w:r>
        <w:rPr>
          <w:rFonts w:hint="eastAsia"/>
          <w:color w:val="auto"/>
        </w:rPr>
        <w:t>招标采购中，出现下列情形之一的，予以废标：</w:t>
      </w:r>
    </w:p>
    <w:p>
      <w:pPr>
        <w:pStyle w:val="6"/>
        <w:rPr>
          <w:color w:val="auto"/>
        </w:rPr>
      </w:pPr>
      <w:r>
        <w:rPr>
          <w:rFonts w:hint="eastAsia"/>
          <w:color w:val="auto"/>
        </w:rPr>
        <w:t>（1）出现影响采购公正的违法、违规行为的；</w:t>
      </w:r>
    </w:p>
    <w:p>
      <w:pPr>
        <w:pStyle w:val="6"/>
        <w:rPr>
          <w:color w:val="auto"/>
        </w:rPr>
      </w:pPr>
      <w:r>
        <w:rPr>
          <w:rFonts w:hint="eastAsia"/>
          <w:color w:val="auto"/>
        </w:rPr>
        <w:t>（2）供应商的报价均超过了预算，采购人不能支付的；</w:t>
      </w:r>
    </w:p>
    <w:p>
      <w:pPr>
        <w:pStyle w:val="6"/>
        <w:rPr>
          <w:color w:val="auto"/>
        </w:rPr>
      </w:pPr>
      <w:r>
        <w:rPr>
          <w:rFonts w:hint="eastAsia"/>
          <w:color w:val="auto"/>
        </w:rPr>
        <w:t>（3）因重大变故，采购任务取消的。</w:t>
      </w:r>
    </w:p>
    <w:p>
      <w:pPr>
        <w:adjustRightInd w:val="0"/>
        <w:snapToGrid w:val="0"/>
        <w:spacing w:line="360" w:lineRule="auto"/>
        <w:ind w:firstLine="420" w:firstLineChars="200"/>
        <w:rPr>
          <w:color w:val="auto"/>
        </w:rPr>
      </w:pPr>
      <w:r>
        <w:rPr>
          <w:rFonts w:hint="eastAsia"/>
          <w:color w:val="auto"/>
        </w:rPr>
        <w:t>21、纪律和监督</w:t>
      </w:r>
    </w:p>
    <w:p>
      <w:pPr>
        <w:adjustRightInd w:val="0"/>
        <w:snapToGrid w:val="0"/>
        <w:spacing w:line="360" w:lineRule="auto"/>
        <w:ind w:firstLine="420" w:firstLineChars="200"/>
        <w:rPr>
          <w:color w:val="auto"/>
        </w:rPr>
      </w:pPr>
      <w:bookmarkStart w:id="60" w:name="_Toc247085733"/>
      <w:bookmarkStart w:id="61" w:name="_Toc179632593"/>
      <w:bookmarkStart w:id="62" w:name="_Toc152045575"/>
      <w:bookmarkStart w:id="63" w:name="_Toc152042351"/>
      <w:bookmarkStart w:id="64" w:name="_Toc144974543"/>
      <w:bookmarkStart w:id="65" w:name="_Toc246996962"/>
      <w:bookmarkStart w:id="66" w:name="_Toc296602462"/>
      <w:bookmarkStart w:id="67" w:name="_Toc296590983"/>
      <w:bookmarkStart w:id="68" w:name="_Toc246996219"/>
      <w:r>
        <w:rPr>
          <w:rFonts w:hint="eastAsia"/>
          <w:color w:val="auto"/>
        </w:rPr>
        <w:t>21.1对采购人的纪律要求</w:t>
      </w:r>
      <w:bookmarkEnd w:id="60"/>
      <w:bookmarkEnd w:id="61"/>
      <w:bookmarkEnd w:id="62"/>
      <w:bookmarkEnd w:id="63"/>
      <w:bookmarkEnd w:id="64"/>
      <w:bookmarkEnd w:id="65"/>
      <w:bookmarkEnd w:id="66"/>
      <w:bookmarkEnd w:id="67"/>
      <w:bookmarkEnd w:id="68"/>
    </w:p>
    <w:p>
      <w:pPr>
        <w:adjustRightInd w:val="0"/>
        <w:snapToGrid w:val="0"/>
        <w:spacing w:line="360" w:lineRule="auto"/>
        <w:ind w:firstLine="420" w:firstLineChars="200"/>
        <w:rPr>
          <w:color w:val="auto"/>
        </w:rPr>
      </w:pPr>
      <w:r>
        <w:rPr>
          <w:rFonts w:hint="eastAsia"/>
          <w:color w:val="auto"/>
        </w:rPr>
        <w:t>采购人不得泄漏招标采购活动中应当保密的情况和资料，不得与供应商串通损害国家利益、社会公共利益或者他人合法权益。</w:t>
      </w:r>
    </w:p>
    <w:p>
      <w:pPr>
        <w:adjustRightInd w:val="0"/>
        <w:snapToGrid w:val="0"/>
        <w:spacing w:line="360" w:lineRule="auto"/>
        <w:ind w:firstLine="420" w:firstLineChars="200"/>
        <w:rPr>
          <w:color w:val="auto"/>
        </w:rPr>
      </w:pPr>
      <w:bookmarkStart w:id="69" w:name="_Toc152042352"/>
      <w:bookmarkStart w:id="70" w:name="_Toc179632594"/>
      <w:bookmarkStart w:id="71" w:name="_Toc246996963"/>
      <w:bookmarkStart w:id="72" w:name="_Toc152045576"/>
      <w:bookmarkStart w:id="73" w:name="_Toc144974544"/>
      <w:bookmarkStart w:id="74" w:name="_Toc247085734"/>
      <w:bookmarkStart w:id="75" w:name="_Toc246996220"/>
      <w:bookmarkStart w:id="76" w:name="_Toc296602463"/>
      <w:r>
        <w:rPr>
          <w:rFonts w:hint="eastAsia"/>
          <w:color w:val="auto"/>
        </w:rPr>
        <w:t>21.2对供应商的纪律要求</w:t>
      </w:r>
      <w:bookmarkEnd w:id="69"/>
      <w:bookmarkEnd w:id="70"/>
      <w:bookmarkEnd w:id="71"/>
      <w:bookmarkEnd w:id="72"/>
      <w:bookmarkEnd w:id="73"/>
      <w:bookmarkEnd w:id="74"/>
      <w:bookmarkEnd w:id="75"/>
      <w:bookmarkEnd w:id="76"/>
    </w:p>
    <w:p>
      <w:pPr>
        <w:adjustRightInd w:val="0"/>
        <w:snapToGrid w:val="0"/>
        <w:spacing w:line="360" w:lineRule="auto"/>
        <w:ind w:firstLine="420" w:firstLineChars="200"/>
        <w:rPr>
          <w:color w:val="auto"/>
        </w:rPr>
      </w:pPr>
      <w:r>
        <w:rPr>
          <w:rFonts w:hint="eastAsia"/>
          <w:color w:val="auto"/>
        </w:rPr>
        <w:t>供应商不得相互串通响应或者与采购人串通响应，不得向采购人或者评审委员会成员行贿谋取成交，不得以他人名义响应或者以其他方式弄虚作假骗取成交；供应商不得以任何方式干扰、影响评审工作。</w:t>
      </w:r>
    </w:p>
    <w:p>
      <w:pPr>
        <w:adjustRightInd w:val="0"/>
        <w:snapToGrid w:val="0"/>
        <w:spacing w:line="360" w:lineRule="auto"/>
        <w:ind w:firstLine="420" w:firstLineChars="200"/>
        <w:rPr>
          <w:color w:val="auto"/>
        </w:rPr>
      </w:pPr>
      <w:bookmarkStart w:id="77" w:name="_Toc152045577"/>
      <w:bookmarkStart w:id="78" w:name="_Toc179632595"/>
      <w:bookmarkStart w:id="79" w:name="_Toc152042353"/>
      <w:bookmarkStart w:id="80" w:name="_Toc144974545"/>
      <w:bookmarkStart w:id="81" w:name="_Toc296602464"/>
      <w:bookmarkStart w:id="82" w:name="_Toc247085735"/>
      <w:bookmarkStart w:id="83" w:name="_Toc246996221"/>
      <w:bookmarkStart w:id="84" w:name="_Toc246996964"/>
      <w:r>
        <w:rPr>
          <w:rFonts w:hint="eastAsia"/>
          <w:color w:val="auto"/>
        </w:rPr>
        <w:t>21.3对评审委员会成员的纪律要求</w:t>
      </w:r>
      <w:bookmarkEnd w:id="77"/>
      <w:bookmarkEnd w:id="78"/>
      <w:bookmarkEnd w:id="79"/>
      <w:bookmarkEnd w:id="80"/>
      <w:bookmarkEnd w:id="81"/>
      <w:bookmarkEnd w:id="82"/>
      <w:bookmarkEnd w:id="83"/>
      <w:bookmarkEnd w:id="84"/>
    </w:p>
    <w:p>
      <w:pPr>
        <w:adjustRightInd w:val="0"/>
        <w:snapToGrid w:val="0"/>
        <w:spacing w:line="360" w:lineRule="auto"/>
        <w:ind w:firstLine="420" w:firstLineChars="200"/>
        <w:rPr>
          <w:color w:val="auto"/>
        </w:rPr>
      </w:pPr>
      <w:r>
        <w:rPr>
          <w:rFonts w:hint="eastAsia"/>
          <w:color w:val="auto"/>
        </w:rPr>
        <w:t>评审委员会成员不得收受他人的财物或者其他好处，不得向他人透漏对响应文件的评审和比较、成交候选人的推荐情况以及评审有关的其他情况。在评审活动中，评审委员会成员应当客观、公正地履行职责，独立评审，遵守职业道德，不得擅离职守，影响评审程序正常进行，不得使用采购文件没有规定的评审因素和标准进行评审。</w:t>
      </w:r>
    </w:p>
    <w:p>
      <w:pPr>
        <w:adjustRightInd w:val="0"/>
        <w:snapToGrid w:val="0"/>
        <w:spacing w:line="360" w:lineRule="auto"/>
        <w:ind w:firstLine="420" w:firstLineChars="200"/>
        <w:rPr>
          <w:color w:val="auto"/>
        </w:rPr>
      </w:pPr>
      <w:bookmarkStart w:id="85" w:name="_Toc246996222"/>
      <w:bookmarkStart w:id="86" w:name="_Toc247085736"/>
      <w:bookmarkStart w:id="87" w:name="_Toc152042354"/>
      <w:bookmarkStart w:id="88" w:name="_Toc296602465"/>
      <w:bookmarkStart w:id="89" w:name="_Toc179632596"/>
      <w:bookmarkStart w:id="90" w:name="_Toc152045578"/>
      <w:bookmarkStart w:id="91" w:name="_Toc246996965"/>
      <w:r>
        <w:rPr>
          <w:rFonts w:hint="eastAsia"/>
          <w:color w:val="auto"/>
        </w:rPr>
        <w:t>21.4对与评审活动有关的工作人员的纪律要求</w:t>
      </w:r>
      <w:bookmarkEnd w:id="85"/>
      <w:bookmarkEnd w:id="86"/>
      <w:bookmarkEnd w:id="87"/>
      <w:bookmarkEnd w:id="88"/>
      <w:bookmarkEnd w:id="89"/>
      <w:bookmarkEnd w:id="90"/>
      <w:bookmarkEnd w:id="91"/>
    </w:p>
    <w:p>
      <w:pPr>
        <w:adjustRightInd w:val="0"/>
        <w:snapToGrid w:val="0"/>
        <w:spacing w:line="360" w:lineRule="auto"/>
        <w:ind w:firstLine="420" w:firstLineChars="200"/>
        <w:rPr>
          <w:color w:val="auto"/>
        </w:rPr>
      </w:pPr>
      <w:bookmarkStart w:id="92" w:name="_Toc152042355"/>
      <w:r>
        <w:rPr>
          <w:rFonts w:hint="eastAsia"/>
          <w:color w:val="auto"/>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bookmarkEnd w:id="92"/>
    </w:p>
    <w:p>
      <w:pPr>
        <w:adjustRightInd w:val="0"/>
        <w:snapToGrid w:val="0"/>
        <w:spacing w:line="360" w:lineRule="auto"/>
        <w:ind w:firstLine="420" w:firstLineChars="200"/>
        <w:outlineLvl w:val="1"/>
        <w:rPr>
          <w:color w:val="auto"/>
        </w:rPr>
      </w:pPr>
      <w:bookmarkStart w:id="93" w:name="_Toc246826113"/>
      <w:r>
        <w:rPr>
          <w:rFonts w:hint="eastAsia"/>
          <w:color w:val="auto"/>
        </w:rPr>
        <w:t>六、定标、合同</w:t>
      </w:r>
      <w:bookmarkEnd w:id="93"/>
      <w:r>
        <w:rPr>
          <w:rFonts w:hint="eastAsia"/>
          <w:color w:val="auto"/>
        </w:rPr>
        <w:t>与验收</w:t>
      </w:r>
    </w:p>
    <w:p>
      <w:pPr>
        <w:adjustRightInd w:val="0"/>
        <w:snapToGrid w:val="0"/>
        <w:spacing w:line="360" w:lineRule="auto"/>
        <w:ind w:firstLine="420" w:firstLineChars="200"/>
        <w:outlineLvl w:val="1"/>
        <w:rPr>
          <w:color w:val="auto"/>
        </w:rPr>
      </w:pPr>
      <w:r>
        <w:rPr>
          <w:rFonts w:hint="eastAsia"/>
          <w:color w:val="auto"/>
        </w:rPr>
        <w:t>22、定标准则</w:t>
      </w:r>
    </w:p>
    <w:p>
      <w:pPr>
        <w:adjustRightInd w:val="0"/>
        <w:snapToGrid w:val="0"/>
        <w:spacing w:line="360" w:lineRule="auto"/>
        <w:ind w:firstLine="420" w:firstLineChars="200"/>
        <w:rPr>
          <w:color w:val="auto"/>
        </w:rPr>
      </w:pPr>
      <w:r>
        <w:rPr>
          <w:rFonts w:hint="eastAsia"/>
          <w:color w:val="auto"/>
        </w:rPr>
        <w:t>22.1任何单项因素的最优不能作为成交的保证。</w:t>
      </w:r>
    </w:p>
    <w:p>
      <w:pPr>
        <w:adjustRightInd w:val="0"/>
        <w:snapToGrid w:val="0"/>
        <w:spacing w:line="360" w:lineRule="auto"/>
        <w:ind w:firstLine="420" w:firstLineChars="200"/>
        <w:outlineLvl w:val="1"/>
        <w:rPr>
          <w:color w:val="auto"/>
        </w:rPr>
      </w:pPr>
      <w:r>
        <w:rPr>
          <w:rFonts w:hint="eastAsia"/>
          <w:color w:val="auto"/>
        </w:rPr>
        <w:t>22.2评审委员会推荐排名第一且经采购人确认的供应商即为成交供应商。</w:t>
      </w:r>
    </w:p>
    <w:p>
      <w:pPr>
        <w:adjustRightInd w:val="0"/>
        <w:snapToGrid w:val="0"/>
        <w:spacing w:line="360" w:lineRule="auto"/>
        <w:ind w:left="420" w:leftChars="200"/>
        <w:outlineLvl w:val="1"/>
        <w:rPr>
          <w:color w:val="auto"/>
        </w:rPr>
      </w:pPr>
      <w:r>
        <w:rPr>
          <w:rFonts w:hint="eastAsia"/>
          <w:color w:val="auto"/>
        </w:rPr>
        <w:t>23、成交通知</w:t>
      </w:r>
    </w:p>
    <w:p>
      <w:pPr>
        <w:adjustRightInd w:val="0"/>
        <w:snapToGrid w:val="0"/>
        <w:spacing w:line="360" w:lineRule="auto"/>
        <w:ind w:firstLine="420" w:firstLineChars="200"/>
        <w:outlineLvl w:val="1"/>
        <w:rPr>
          <w:color w:val="auto"/>
        </w:rPr>
      </w:pPr>
      <w:r>
        <w:rPr>
          <w:rFonts w:hint="eastAsia"/>
          <w:color w:val="auto"/>
        </w:rPr>
        <w:t>23.1由采购人在比选公告发布媒体上公布成交结果，并向成交供应商发送《成交通知书》。</w:t>
      </w:r>
    </w:p>
    <w:p>
      <w:pPr>
        <w:adjustRightInd w:val="0"/>
        <w:snapToGrid w:val="0"/>
        <w:spacing w:line="360" w:lineRule="auto"/>
        <w:ind w:firstLine="420" w:firstLineChars="200"/>
        <w:outlineLvl w:val="1"/>
        <w:rPr>
          <w:color w:val="auto"/>
        </w:rPr>
      </w:pPr>
      <w:r>
        <w:rPr>
          <w:rFonts w:hint="eastAsia"/>
          <w:color w:val="auto"/>
        </w:rPr>
        <w:t>23.2成交通知书为签订政府采购合同的依据，是合同的有效组成部分。</w:t>
      </w:r>
    </w:p>
    <w:p>
      <w:pPr>
        <w:adjustRightInd w:val="0"/>
        <w:snapToGrid w:val="0"/>
        <w:spacing w:line="360" w:lineRule="auto"/>
        <w:ind w:firstLine="420" w:firstLineChars="200"/>
        <w:outlineLvl w:val="1"/>
        <w:rPr>
          <w:color w:val="auto"/>
        </w:rPr>
      </w:pPr>
      <w:r>
        <w:rPr>
          <w:rFonts w:hint="eastAsia"/>
          <w:color w:val="auto"/>
        </w:rPr>
        <w:t>23.3成交通知书对采购人和成交人均具有法律效力。成交通知书发出后，采购人改变成交结果，或者成交人无正当理由放弃成交的，应当承担相应的法律责任。</w:t>
      </w:r>
    </w:p>
    <w:p>
      <w:pPr>
        <w:adjustRightInd w:val="0"/>
        <w:snapToGrid w:val="0"/>
        <w:spacing w:line="360" w:lineRule="auto"/>
        <w:ind w:firstLine="420" w:firstLineChars="200"/>
        <w:outlineLvl w:val="1"/>
        <w:rPr>
          <w:color w:val="auto"/>
        </w:rPr>
      </w:pPr>
      <w:r>
        <w:rPr>
          <w:rFonts w:hint="eastAsia"/>
          <w:color w:val="auto"/>
        </w:rPr>
        <w:t>24、合同签订</w:t>
      </w:r>
    </w:p>
    <w:p>
      <w:pPr>
        <w:adjustRightInd w:val="0"/>
        <w:snapToGrid w:val="0"/>
        <w:spacing w:line="360" w:lineRule="auto"/>
        <w:ind w:firstLine="420" w:firstLineChars="200"/>
        <w:outlineLvl w:val="1"/>
        <w:rPr>
          <w:color w:val="auto"/>
        </w:rPr>
      </w:pPr>
      <w:r>
        <w:rPr>
          <w:rFonts w:hint="eastAsia"/>
          <w:color w:val="auto"/>
        </w:rPr>
        <w:t>24.1成交人在收到《成交通知书》后，应在规定的时间内与采购人签订采购合同。由于成交人的原因逾期未与采购人签订采购合同的，将视为放弃成交，取消其成交资格并将按相关规定进行处理。</w:t>
      </w:r>
    </w:p>
    <w:p>
      <w:pPr>
        <w:adjustRightInd w:val="0"/>
        <w:snapToGrid w:val="0"/>
        <w:spacing w:line="360" w:lineRule="auto"/>
        <w:ind w:firstLine="420" w:firstLineChars="200"/>
        <w:outlineLvl w:val="1"/>
        <w:rPr>
          <w:color w:val="auto"/>
        </w:rPr>
      </w:pPr>
      <w:r>
        <w:rPr>
          <w:rFonts w:hint="eastAsia"/>
          <w:color w:val="auto"/>
        </w:rPr>
        <w:t>24.2采购人不得向成交人提出任何不合理的要求作为签订合同的条件，不得与成交人私下订立背离合同实质性内容的任何协议，所签订的合同不得对采购文件和成交人响应文件作实质性修改。</w:t>
      </w:r>
    </w:p>
    <w:p>
      <w:pPr>
        <w:adjustRightInd w:val="0"/>
        <w:snapToGrid w:val="0"/>
        <w:spacing w:line="360" w:lineRule="auto"/>
        <w:ind w:firstLine="420" w:firstLineChars="200"/>
        <w:outlineLvl w:val="1"/>
        <w:rPr>
          <w:color w:val="auto"/>
        </w:rPr>
      </w:pPr>
      <w:bookmarkStart w:id="94" w:name="_Toc217446069"/>
      <w:r>
        <w:rPr>
          <w:rFonts w:hint="eastAsia"/>
          <w:color w:val="auto"/>
        </w:rPr>
        <w:t>25、合同</w:t>
      </w:r>
      <w:bookmarkEnd w:id="94"/>
      <w:r>
        <w:rPr>
          <w:rFonts w:hint="eastAsia"/>
          <w:color w:val="auto"/>
        </w:rPr>
        <w:t>履行</w:t>
      </w:r>
    </w:p>
    <w:p>
      <w:pPr>
        <w:adjustRightInd w:val="0"/>
        <w:snapToGrid w:val="0"/>
        <w:spacing w:line="360" w:lineRule="auto"/>
        <w:ind w:firstLine="420" w:firstLineChars="200"/>
        <w:outlineLvl w:val="1"/>
        <w:rPr>
          <w:color w:val="auto"/>
        </w:rPr>
      </w:pPr>
      <w:r>
        <w:rPr>
          <w:rFonts w:hint="eastAsia"/>
          <w:color w:val="auto"/>
        </w:rPr>
        <w:t>25.1成交人与采购人签订合同后，合同双方应严格执行合同条款，履行合同规定的义务，保证合同的顺利完成。</w:t>
      </w:r>
    </w:p>
    <w:p>
      <w:pPr>
        <w:adjustRightInd w:val="0"/>
        <w:snapToGrid w:val="0"/>
        <w:spacing w:line="360" w:lineRule="auto"/>
        <w:ind w:firstLine="420" w:firstLineChars="200"/>
        <w:outlineLvl w:val="1"/>
        <w:rPr>
          <w:color w:val="auto"/>
        </w:rPr>
      </w:pPr>
      <w:r>
        <w:rPr>
          <w:rFonts w:hint="eastAsia"/>
          <w:color w:val="auto"/>
        </w:rPr>
        <w:t>25.2采购人应严格按照合同约定事项，制定科学合理的验收方案开展验收；</w:t>
      </w:r>
    </w:p>
    <w:p>
      <w:pPr>
        <w:adjustRightInd w:val="0"/>
        <w:snapToGrid w:val="0"/>
        <w:spacing w:line="360" w:lineRule="auto"/>
        <w:ind w:firstLine="420" w:firstLineChars="200"/>
        <w:outlineLvl w:val="1"/>
        <w:rPr>
          <w:color w:val="auto"/>
        </w:rPr>
      </w:pPr>
      <w:r>
        <w:rPr>
          <w:rFonts w:hint="eastAsia"/>
          <w:color w:val="auto"/>
        </w:rPr>
        <w:t>25.3在合同履行过程中，如发生合同纠纷，合同双方应按照《民法典》的有关规定进行处理。</w:t>
      </w:r>
    </w:p>
    <w:p>
      <w:pPr>
        <w:adjustRightInd w:val="0"/>
        <w:snapToGrid w:val="0"/>
        <w:spacing w:line="360" w:lineRule="auto"/>
        <w:ind w:firstLine="420" w:firstLineChars="200"/>
        <w:outlineLvl w:val="1"/>
        <w:rPr>
          <w:color w:val="auto"/>
        </w:rPr>
      </w:pPr>
      <w:r>
        <w:rPr>
          <w:rFonts w:hint="eastAsia"/>
          <w:color w:val="auto"/>
        </w:rPr>
        <w:t>七、评审方法</w:t>
      </w:r>
    </w:p>
    <w:p>
      <w:pPr>
        <w:adjustRightInd w:val="0"/>
        <w:snapToGrid w:val="0"/>
        <w:spacing w:line="360" w:lineRule="auto"/>
        <w:ind w:firstLine="420" w:firstLineChars="200"/>
        <w:outlineLvl w:val="1"/>
        <w:rPr>
          <w:color w:val="auto"/>
        </w:rPr>
      </w:pPr>
      <w:r>
        <w:rPr>
          <w:rFonts w:hint="eastAsia"/>
          <w:color w:val="auto"/>
        </w:rPr>
        <w:t>26、采购比选评审方法分为:综合评分法。</w:t>
      </w:r>
    </w:p>
    <w:p>
      <w:pPr>
        <w:adjustRightInd w:val="0"/>
        <w:snapToGrid w:val="0"/>
        <w:spacing w:line="360" w:lineRule="auto"/>
        <w:ind w:firstLine="420" w:firstLineChars="200"/>
        <w:outlineLvl w:val="1"/>
        <w:rPr>
          <w:color w:val="auto"/>
        </w:rPr>
      </w:pPr>
      <w:r>
        <w:rPr>
          <w:rFonts w:hint="eastAsia"/>
          <w:color w:val="auto"/>
        </w:rPr>
        <w:t>综合评分法，是指响应文件满足采购文件全部实质性要求且按照评审因素的量化指标评审得分最高的供应商为成交候选人的评审方法。</w:t>
      </w:r>
    </w:p>
    <w:p>
      <w:pPr>
        <w:adjustRightInd w:val="0"/>
        <w:snapToGrid w:val="0"/>
        <w:spacing w:line="360" w:lineRule="auto"/>
        <w:ind w:firstLine="420" w:firstLineChars="200"/>
        <w:outlineLvl w:val="1"/>
        <w:rPr>
          <w:color w:val="auto"/>
        </w:rPr>
      </w:pPr>
      <w:r>
        <w:rPr>
          <w:rFonts w:hint="eastAsia"/>
          <w:color w:val="auto"/>
        </w:rPr>
        <w:t>评审总得分＝F1×A1＋F2×A2＋……＋Fn×An</w:t>
      </w:r>
    </w:p>
    <w:p>
      <w:pPr>
        <w:adjustRightInd w:val="0"/>
        <w:snapToGrid w:val="0"/>
        <w:spacing w:line="360" w:lineRule="auto"/>
        <w:ind w:firstLine="420" w:firstLineChars="200"/>
        <w:outlineLvl w:val="1"/>
        <w:rPr>
          <w:color w:val="auto"/>
        </w:rPr>
      </w:pPr>
      <w:r>
        <w:rPr>
          <w:rFonts w:hint="eastAsia"/>
          <w:color w:val="auto"/>
        </w:rPr>
        <w:t>F1、F2……Fn分别为价格、商务和技术部分评分因素的汇总得分；A1、A2、……An分别为价格、商务和技术部分评分因素所占的权重(A1＋A2＋......＋An＝1)。</w:t>
      </w:r>
    </w:p>
    <w:p>
      <w:pPr>
        <w:adjustRightInd w:val="0"/>
        <w:snapToGrid w:val="0"/>
        <w:spacing w:line="360" w:lineRule="auto"/>
        <w:ind w:firstLine="420" w:firstLineChars="200"/>
        <w:outlineLvl w:val="1"/>
        <w:rPr>
          <w:color w:val="auto"/>
        </w:rPr>
      </w:pPr>
      <w:r>
        <w:rPr>
          <w:rFonts w:hint="eastAsia"/>
          <w:color w:val="auto"/>
        </w:rPr>
        <w:t>其中价格分统一采用低价优先法计算，即满足采购文件要求且响应价格最低的响应报价为评审基准价，其价格分为满分。其他供应商的价格分统一按照下列公式计算：</w:t>
      </w:r>
    </w:p>
    <w:p>
      <w:pPr>
        <w:adjustRightInd w:val="0"/>
        <w:snapToGrid w:val="0"/>
        <w:spacing w:line="360" w:lineRule="auto"/>
        <w:ind w:firstLine="420" w:firstLineChars="200"/>
        <w:outlineLvl w:val="1"/>
        <w:rPr>
          <w:color w:val="auto"/>
        </w:rPr>
      </w:pPr>
      <w:r>
        <w:rPr>
          <w:rFonts w:hint="eastAsia"/>
          <w:color w:val="auto"/>
        </w:rPr>
        <w:t>响应报价得分＝（评审基准价／响应报价）×价格权值×100　　</w:t>
      </w:r>
    </w:p>
    <w:p>
      <w:pPr>
        <w:adjustRightInd w:val="0"/>
        <w:snapToGrid w:val="0"/>
        <w:spacing w:line="360" w:lineRule="auto"/>
        <w:ind w:firstLine="420" w:firstLineChars="200"/>
        <w:outlineLvl w:val="1"/>
        <w:rPr>
          <w:color w:val="auto"/>
        </w:rPr>
      </w:pPr>
      <w:r>
        <w:rPr>
          <w:rFonts w:hint="eastAsia"/>
          <w:color w:val="auto"/>
        </w:rPr>
        <w:t>八、质疑</w:t>
      </w:r>
    </w:p>
    <w:p>
      <w:pPr>
        <w:snapToGrid w:val="0"/>
        <w:spacing w:line="360" w:lineRule="auto"/>
        <w:ind w:firstLine="420" w:firstLineChars="200"/>
        <w:rPr>
          <w:color w:val="auto"/>
        </w:rPr>
      </w:pPr>
      <w:r>
        <w:rPr>
          <w:rFonts w:hint="eastAsia"/>
          <w:color w:val="auto"/>
        </w:rPr>
        <w:t>27、供应商认为采购文件、采购过程和成交或者成交结果使自己的合法权益受到损害的，应当在知道或者应知其权益受到损害之日起七个工作日（质疑有效期）内，向采购人提出询问或以书面形式向其质疑。</w:t>
      </w:r>
    </w:p>
    <w:p>
      <w:pPr>
        <w:adjustRightInd w:val="0"/>
        <w:snapToGrid w:val="0"/>
        <w:spacing w:line="360" w:lineRule="auto"/>
        <w:ind w:firstLine="420" w:firstLineChars="200"/>
        <w:outlineLvl w:val="1"/>
        <w:rPr>
          <w:color w:val="auto"/>
        </w:rPr>
      </w:pPr>
      <w:r>
        <w:rPr>
          <w:rFonts w:hint="eastAsia"/>
          <w:color w:val="auto"/>
        </w:rPr>
        <w:t>28、采购人关于质疑受理事项依照</w:t>
      </w:r>
      <w:r>
        <w:rPr>
          <w:color w:val="auto"/>
        </w:rPr>
        <w:t>《中华人民共和国政府采购法》</w:t>
      </w:r>
      <w:r>
        <w:rPr>
          <w:rFonts w:hint="eastAsia"/>
          <w:color w:val="auto"/>
        </w:rPr>
        <w:t>《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pPr>
        <w:adjustRightInd w:val="0"/>
        <w:snapToGrid w:val="0"/>
        <w:spacing w:line="360" w:lineRule="auto"/>
        <w:ind w:firstLine="420" w:firstLineChars="200"/>
        <w:outlineLvl w:val="1"/>
        <w:rPr>
          <w:color w:val="auto"/>
        </w:rPr>
      </w:pPr>
      <w:r>
        <w:rPr>
          <w:rFonts w:hint="eastAsia"/>
          <w:color w:val="auto"/>
        </w:rPr>
        <w:t>29、质疑有效期的计算</w:t>
      </w:r>
    </w:p>
    <w:p>
      <w:pPr>
        <w:adjustRightInd w:val="0"/>
        <w:snapToGrid w:val="0"/>
        <w:spacing w:line="360" w:lineRule="auto"/>
        <w:ind w:firstLine="420" w:firstLineChars="200"/>
        <w:outlineLvl w:val="1"/>
        <w:rPr>
          <w:color w:val="auto"/>
        </w:rPr>
      </w:pPr>
      <w:r>
        <w:rPr>
          <w:rFonts w:hint="eastAsia"/>
          <w:color w:val="auto"/>
        </w:rPr>
        <w:t>采购文件的质疑有效期为采购文件公告期限届满之日起3个工作日内；采购过程的质疑有效期为各采购程序环节结束之日起3个工作日内；采购结果的质疑有效期为采购结果公告期限届满之日起3个工作日内。</w:t>
      </w:r>
    </w:p>
    <w:p>
      <w:pPr>
        <w:adjustRightInd w:val="0"/>
        <w:snapToGrid w:val="0"/>
        <w:spacing w:line="360" w:lineRule="auto"/>
        <w:ind w:firstLine="420" w:firstLineChars="200"/>
        <w:outlineLvl w:val="1"/>
        <w:rPr>
          <w:color w:val="auto"/>
        </w:rPr>
      </w:pPr>
      <w:r>
        <w:rPr>
          <w:rFonts w:hint="eastAsia"/>
          <w:color w:val="auto"/>
        </w:rPr>
        <w:t>九、无效响应的其他有关规定：</w:t>
      </w:r>
    </w:p>
    <w:p>
      <w:pPr>
        <w:tabs>
          <w:tab w:val="left" w:pos="540"/>
        </w:tabs>
        <w:adjustRightInd w:val="0"/>
        <w:snapToGrid w:val="0"/>
        <w:spacing w:line="360" w:lineRule="auto"/>
        <w:ind w:firstLine="420" w:firstLineChars="200"/>
        <w:outlineLvl w:val="1"/>
        <w:rPr>
          <w:color w:val="auto"/>
        </w:rPr>
      </w:pPr>
      <w:r>
        <w:rPr>
          <w:rFonts w:hint="eastAsia"/>
          <w:color w:val="auto"/>
        </w:rPr>
        <w:t>30、除符合采购文件中载明的无效响应规定外，如果发现下列情况之一者，同样作无效响应处理，其中30.1至30.3款情形的所有相关供应商均作无效响应处理。因此产生其他法律责任的由供应商自行承担：</w:t>
      </w:r>
    </w:p>
    <w:p>
      <w:pPr>
        <w:tabs>
          <w:tab w:val="left" w:pos="540"/>
        </w:tabs>
        <w:adjustRightInd w:val="0"/>
        <w:snapToGrid w:val="0"/>
        <w:spacing w:line="360" w:lineRule="auto"/>
        <w:ind w:firstLine="420" w:firstLineChars="200"/>
        <w:outlineLvl w:val="1"/>
        <w:rPr>
          <w:color w:val="auto"/>
        </w:rPr>
      </w:pPr>
      <w:r>
        <w:rPr>
          <w:rFonts w:hint="eastAsia"/>
          <w:color w:val="auto"/>
        </w:rPr>
        <w:t>30.1不同供应商的法定代表人、委托代理人等由同一个单位缴纳社会保险的；</w:t>
      </w:r>
    </w:p>
    <w:p>
      <w:pPr>
        <w:tabs>
          <w:tab w:val="left" w:pos="540"/>
        </w:tabs>
        <w:adjustRightInd w:val="0"/>
        <w:snapToGrid w:val="0"/>
        <w:spacing w:line="360" w:lineRule="auto"/>
        <w:ind w:firstLine="420" w:firstLineChars="200"/>
        <w:outlineLvl w:val="1"/>
        <w:rPr>
          <w:color w:val="auto"/>
        </w:rPr>
      </w:pPr>
      <w:r>
        <w:rPr>
          <w:rFonts w:hint="eastAsia"/>
          <w:color w:val="auto"/>
        </w:rPr>
        <w:t>30.2由同一人携带两个及以上供应商的企业资料参与开标会议的；</w:t>
      </w:r>
    </w:p>
    <w:p>
      <w:pPr>
        <w:tabs>
          <w:tab w:val="left" w:pos="540"/>
        </w:tabs>
        <w:adjustRightInd w:val="0"/>
        <w:snapToGrid w:val="0"/>
        <w:spacing w:line="360" w:lineRule="auto"/>
        <w:ind w:firstLine="420" w:firstLineChars="200"/>
        <w:outlineLvl w:val="1"/>
        <w:rPr>
          <w:color w:val="auto"/>
        </w:rPr>
      </w:pPr>
      <w:r>
        <w:rPr>
          <w:rFonts w:hint="eastAsia"/>
          <w:color w:val="auto"/>
        </w:rPr>
        <w:t>30.3单位负责人为同一人或者存在直接控股、管理关系的不同供应商，同时参加同一合同项下的政府采购活动的；</w:t>
      </w:r>
    </w:p>
    <w:p>
      <w:pPr>
        <w:tabs>
          <w:tab w:val="left" w:pos="540"/>
        </w:tabs>
        <w:adjustRightInd w:val="0"/>
        <w:snapToGrid w:val="0"/>
        <w:spacing w:line="360" w:lineRule="auto"/>
        <w:ind w:firstLine="420" w:firstLineChars="200"/>
        <w:outlineLvl w:val="1"/>
        <w:rPr>
          <w:color w:val="auto"/>
        </w:rPr>
      </w:pPr>
      <w:r>
        <w:rPr>
          <w:rFonts w:hint="eastAsia"/>
          <w:color w:val="auto"/>
        </w:rPr>
        <w:t>30.4为采购项目提供整体设计、规范编制或者项目管理、监理、检测等服务的供应商，再参加该采购项目的其他采购活动的；</w:t>
      </w:r>
    </w:p>
    <w:p>
      <w:pPr>
        <w:tabs>
          <w:tab w:val="left" w:pos="540"/>
        </w:tabs>
        <w:adjustRightInd w:val="0"/>
        <w:snapToGrid w:val="0"/>
        <w:spacing w:line="360" w:lineRule="auto"/>
        <w:ind w:firstLine="420" w:firstLineChars="200"/>
        <w:outlineLvl w:val="1"/>
        <w:rPr>
          <w:color w:val="auto"/>
        </w:rPr>
      </w:pPr>
      <w:r>
        <w:rPr>
          <w:rFonts w:hint="eastAsia"/>
          <w:color w:val="auto"/>
        </w:rPr>
        <w:t>30.5属于采购人任何不具有独立法人资格的附属机构（单位）；</w:t>
      </w:r>
    </w:p>
    <w:p>
      <w:pPr>
        <w:tabs>
          <w:tab w:val="left" w:pos="540"/>
        </w:tabs>
        <w:adjustRightInd w:val="0"/>
        <w:snapToGrid w:val="0"/>
        <w:spacing w:line="360" w:lineRule="auto"/>
        <w:ind w:firstLine="420" w:firstLineChars="200"/>
        <w:outlineLvl w:val="1"/>
        <w:rPr>
          <w:color w:val="auto"/>
        </w:rPr>
      </w:pPr>
      <w:r>
        <w:rPr>
          <w:rFonts w:hint="eastAsia"/>
          <w:color w:val="auto"/>
        </w:rPr>
        <w:t>30.6没有按要求提供补充文件，或调整补充内容超出规定范围。</w:t>
      </w:r>
    </w:p>
    <w:p>
      <w:pPr>
        <w:tabs>
          <w:tab w:val="left" w:pos="540"/>
        </w:tabs>
        <w:adjustRightInd w:val="0"/>
        <w:snapToGrid w:val="0"/>
        <w:spacing w:line="360" w:lineRule="auto"/>
        <w:ind w:firstLine="420" w:firstLineChars="200"/>
        <w:outlineLvl w:val="1"/>
        <w:rPr>
          <w:color w:val="auto"/>
        </w:rPr>
      </w:pPr>
      <w:r>
        <w:rPr>
          <w:rFonts w:hint="eastAsia"/>
          <w:color w:val="auto"/>
        </w:rPr>
        <w:t>30.7</w:t>
      </w:r>
      <w:r>
        <w:rPr>
          <w:color w:val="auto"/>
        </w:rPr>
        <w:t>未按照</w:t>
      </w:r>
      <w:r>
        <w:rPr>
          <w:rFonts w:hint="eastAsia"/>
          <w:color w:val="auto"/>
        </w:rPr>
        <w:t>采购</w:t>
      </w:r>
      <w:r>
        <w:rPr>
          <w:color w:val="auto"/>
        </w:rPr>
        <w:t>文件的规定提交</w:t>
      </w:r>
      <w:r>
        <w:rPr>
          <w:rFonts w:hint="eastAsia"/>
          <w:color w:val="auto"/>
        </w:rPr>
        <w:t>响应</w:t>
      </w:r>
      <w:r>
        <w:rPr>
          <w:color w:val="auto"/>
        </w:rPr>
        <w:t>保证金的；</w:t>
      </w:r>
    </w:p>
    <w:p>
      <w:pPr>
        <w:tabs>
          <w:tab w:val="left" w:pos="540"/>
        </w:tabs>
        <w:adjustRightInd w:val="0"/>
        <w:snapToGrid w:val="0"/>
        <w:spacing w:line="360" w:lineRule="auto"/>
        <w:ind w:firstLine="420" w:firstLineChars="200"/>
        <w:outlineLvl w:val="1"/>
        <w:rPr>
          <w:color w:val="auto"/>
        </w:rPr>
      </w:pPr>
      <w:r>
        <w:rPr>
          <w:rFonts w:hint="eastAsia"/>
          <w:color w:val="auto"/>
        </w:rPr>
        <w:t>30.8响应文件</w:t>
      </w:r>
      <w:r>
        <w:rPr>
          <w:color w:val="auto"/>
        </w:rPr>
        <w:t>未按</w:t>
      </w:r>
      <w:r>
        <w:rPr>
          <w:rFonts w:hint="eastAsia"/>
          <w:color w:val="auto"/>
        </w:rPr>
        <w:t>采购</w:t>
      </w:r>
      <w:r>
        <w:rPr>
          <w:color w:val="auto"/>
        </w:rPr>
        <w:t>文件要求签署、盖章的；</w:t>
      </w:r>
    </w:p>
    <w:p>
      <w:pPr>
        <w:tabs>
          <w:tab w:val="left" w:pos="540"/>
        </w:tabs>
        <w:adjustRightInd w:val="0"/>
        <w:snapToGrid w:val="0"/>
        <w:spacing w:line="360" w:lineRule="auto"/>
        <w:ind w:firstLine="420" w:firstLineChars="200"/>
        <w:outlineLvl w:val="1"/>
        <w:rPr>
          <w:color w:val="auto"/>
        </w:rPr>
      </w:pPr>
      <w:r>
        <w:rPr>
          <w:rFonts w:hint="eastAsia"/>
          <w:color w:val="auto"/>
        </w:rPr>
        <w:t>30.9</w:t>
      </w:r>
      <w:r>
        <w:rPr>
          <w:color w:val="auto"/>
        </w:rPr>
        <w:t>不具备</w:t>
      </w:r>
      <w:r>
        <w:rPr>
          <w:rFonts w:hint="eastAsia"/>
          <w:color w:val="auto"/>
        </w:rPr>
        <w:t>采购</w:t>
      </w:r>
      <w:r>
        <w:rPr>
          <w:color w:val="auto"/>
        </w:rPr>
        <w:t>文件中规定的资格要求的；</w:t>
      </w:r>
    </w:p>
    <w:p>
      <w:pPr>
        <w:tabs>
          <w:tab w:val="left" w:pos="540"/>
        </w:tabs>
        <w:adjustRightInd w:val="0"/>
        <w:snapToGrid w:val="0"/>
        <w:spacing w:line="360" w:lineRule="auto"/>
        <w:ind w:firstLine="420" w:firstLineChars="200"/>
        <w:outlineLvl w:val="1"/>
        <w:rPr>
          <w:color w:val="auto"/>
        </w:rPr>
      </w:pPr>
      <w:r>
        <w:rPr>
          <w:rFonts w:hint="eastAsia"/>
          <w:color w:val="auto"/>
        </w:rPr>
        <w:t>30.10</w:t>
      </w:r>
      <w:r>
        <w:rPr>
          <w:color w:val="auto"/>
        </w:rPr>
        <w:t>报价超过</w:t>
      </w:r>
      <w:r>
        <w:rPr>
          <w:rFonts w:hint="eastAsia"/>
          <w:color w:val="auto"/>
        </w:rPr>
        <w:t>采购</w:t>
      </w:r>
      <w:r>
        <w:rPr>
          <w:color w:val="auto"/>
        </w:rPr>
        <w:t>文件中规定的预算金额或者最高限价的；</w:t>
      </w:r>
    </w:p>
    <w:p>
      <w:pPr>
        <w:tabs>
          <w:tab w:val="left" w:pos="540"/>
        </w:tabs>
        <w:adjustRightInd w:val="0"/>
        <w:snapToGrid w:val="0"/>
        <w:spacing w:line="360" w:lineRule="auto"/>
        <w:ind w:firstLine="420" w:firstLineChars="200"/>
        <w:outlineLvl w:val="1"/>
        <w:rPr>
          <w:color w:val="auto"/>
        </w:rPr>
      </w:pPr>
      <w:r>
        <w:rPr>
          <w:rFonts w:hint="eastAsia"/>
          <w:color w:val="auto"/>
        </w:rPr>
        <w:t>30.11响应文件</w:t>
      </w:r>
      <w:r>
        <w:rPr>
          <w:color w:val="auto"/>
        </w:rPr>
        <w:t>含有采购人不能接受的附加条件的；</w:t>
      </w:r>
    </w:p>
    <w:p>
      <w:pPr>
        <w:tabs>
          <w:tab w:val="left" w:pos="540"/>
        </w:tabs>
        <w:adjustRightInd w:val="0"/>
        <w:snapToGrid w:val="0"/>
        <w:spacing w:line="360" w:lineRule="auto"/>
        <w:ind w:firstLine="420" w:firstLineChars="200"/>
        <w:outlineLvl w:val="1"/>
        <w:rPr>
          <w:color w:val="auto"/>
        </w:rPr>
      </w:pPr>
      <w:r>
        <w:rPr>
          <w:rFonts w:hint="eastAsia"/>
          <w:color w:val="auto"/>
        </w:rPr>
        <w:t>30.12</w:t>
      </w:r>
      <w:r>
        <w:rPr>
          <w:color w:val="auto"/>
        </w:rPr>
        <w:t>法律、法规和</w:t>
      </w:r>
      <w:r>
        <w:rPr>
          <w:rFonts w:hint="eastAsia"/>
          <w:color w:val="auto"/>
        </w:rPr>
        <w:t>采购</w:t>
      </w:r>
      <w:r>
        <w:rPr>
          <w:color w:val="auto"/>
        </w:rPr>
        <w:t>文件规定的其他无效情形。</w:t>
      </w:r>
    </w:p>
    <w:p>
      <w:pPr>
        <w:tabs>
          <w:tab w:val="left" w:pos="540"/>
        </w:tabs>
        <w:adjustRightInd w:val="0"/>
        <w:snapToGrid w:val="0"/>
        <w:spacing w:line="360" w:lineRule="auto"/>
        <w:ind w:firstLine="420" w:firstLineChars="200"/>
        <w:outlineLvl w:val="1"/>
        <w:rPr>
          <w:color w:val="auto"/>
        </w:rPr>
      </w:pPr>
      <w:r>
        <w:rPr>
          <w:rFonts w:hint="eastAsia"/>
          <w:color w:val="auto"/>
        </w:rPr>
        <w:t>31、其他法律法规及规章制度认定参加政府采购无效的情形等。</w:t>
      </w:r>
    </w:p>
    <w:p>
      <w:pPr>
        <w:tabs>
          <w:tab w:val="left" w:pos="540"/>
        </w:tabs>
        <w:adjustRightInd w:val="0"/>
        <w:snapToGrid w:val="0"/>
        <w:spacing w:line="360" w:lineRule="auto"/>
        <w:ind w:firstLine="420" w:firstLineChars="200"/>
        <w:outlineLvl w:val="1"/>
        <w:rPr>
          <w:color w:val="auto"/>
        </w:rPr>
      </w:pPr>
      <w:r>
        <w:rPr>
          <w:rFonts w:hint="eastAsia"/>
          <w:color w:val="auto"/>
        </w:rPr>
        <w:t>31.1存在恶意串通响应行为的；</w:t>
      </w:r>
    </w:p>
    <w:p>
      <w:pPr>
        <w:tabs>
          <w:tab w:val="left" w:pos="540"/>
        </w:tabs>
        <w:adjustRightInd w:val="0"/>
        <w:snapToGrid w:val="0"/>
        <w:spacing w:line="360" w:lineRule="auto"/>
        <w:ind w:firstLine="420" w:firstLineChars="200"/>
        <w:outlineLvl w:val="1"/>
        <w:rPr>
          <w:color w:val="auto"/>
        </w:rPr>
      </w:pPr>
      <w:r>
        <w:rPr>
          <w:rFonts w:hint="eastAsia"/>
          <w:color w:val="auto"/>
        </w:rPr>
        <w:t>31.2参与政府采购活动有不良行为记录且正处于处罚期内并适用于海口行政区域的；</w:t>
      </w:r>
    </w:p>
    <w:p>
      <w:pPr>
        <w:tabs>
          <w:tab w:val="left" w:pos="540"/>
        </w:tabs>
        <w:adjustRightInd w:val="0"/>
        <w:snapToGrid w:val="0"/>
        <w:spacing w:line="360" w:lineRule="auto"/>
        <w:ind w:firstLine="420" w:firstLineChars="200"/>
        <w:outlineLvl w:val="1"/>
        <w:rPr>
          <w:color w:val="auto"/>
        </w:rPr>
      </w:pPr>
      <w:r>
        <w:rPr>
          <w:rFonts w:hint="eastAsia"/>
          <w:color w:val="auto"/>
        </w:rPr>
        <w:t>31.3企业在经营活动中存在不诚信记录且正处于处罚期内并适用于海口行政区域政府采购领域的；</w:t>
      </w:r>
    </w:p>
    <w:p>
      <w:pPr>
        <w:tabs>
          <w:tab w:val="left" w:pos="540"/>
        </w:tabs>
        <w:adjustRightInd w:val="0"/>
        <w:snapToGrid w:val="0"/>
        <w:spacing w:line="360" w:lineRule="auto"/>
        <w:ind w:firstLine="420" w:firstLineChars="200"/>
        <w:outlineLvl w:val="1"/>
        <w:rPr>
          <w:color w:val="auto"/>
        </w:rPr>
      </w:pPr>
      <w:r>
        <w:rPr>
          <w:rFonts w:hint="eastAsia"/>
          <w:color w:val="auto"/>
        </w:rPr>
        <w:t>31.4其他法律法规及规章制度认定参加政府采购活动无效并适用海口行政区域的情形等。</w:t>
      </w:r>
    </w:p>
    <w:p>
      <w:pPr>
        <w:adjustRightInd w:val="0"/>
        <w:snapToGrid w:val="0"/>
        <w:spacing w:line="360" w:lineRule="auto"/>
        <w:ind w:firstLine="420" w:firstLineChars="200"/>
        <w:outlineLvl w:val="1"/>
        <w:rPr>
          <w:color w:val="auto"/>
        </w:rPr>
      </w:pPr>
      <w:r>
        <w:rPr>
          <w:rFonts w:hint="eastAsia"/>
          <w:color w:val="auto"/>
        </w:rPr>
        <w:t>十、适用法律</w:t>
      </w:r>
    </w:p>
    <w:p>
      <w:pPr>
        <w:adjustRightInd w:val="0"/>
        <w:snapToGrid w:val="0"/>
        <w:spacing w:line="360" w:lineRule="auto"/>
        <w:ind w:firstLine="420" w:firstLineChars="200"/>
        <w:outlineLvl w:val="1"/>
        <w:rPr>
          <w:color w:val="auto"/>
        </w:rPr>
        <w:sectPr>
          <w:footerReference r:id="rId13" w:type="default"/>
          <w:pgSz w:w="11906" w:h="16838"/>
          <w:pgMar w:top="1440" w:right="1800" w:bottom="1440" w:left="1800" w:header="794" w:footer="992" w:gutter="0"/>
          <w:cols w:space="425" w:num="1"/>
          <w:docGrid w:type="lines" w:linePitch="312" w:charSpace="0"/>
        </w:sectPr>
      </w:pPr>
      <w:r>
        <w:rPr>
          <w:rFonts w:hint="eastAsia"/>
          <w:color w:val="auto"/>
        </w:rPr>
        <w:t>32、采购人、采购人及供应商的一切采购活动均适用</w:t>
      </w:r>
      <w:r>
        <w:rPr>
          <w:color w:val="auto"/>
        </w:rPr>
        <w:t>《中华人民共和国政府采购法》</w:t>
      </w:r>
      <w:r>
        <w:rPr>
          <w:rFonts w:hint="eastAsia"/>
          <w:color w:val="auto"/>
        </w:rPr>
        <w:t>、《政府采购法实施条例》及其配套的法规、规章、政策。</w:t>
      </w:r>
    </w:p>
    <w:p>
      <w:pPr>
        <w:pStyle w:val="6"/>
        <w:pageBreakBefore w:val="0"/>
        <w:wordWrap/>
        <w:topLinePunct w:val="0"/>
        <w:bidi w:val="0"/>
        <w:adjustRightInd w:val="0"/>
        <w:snapToGrid w:val="0"/>
        <w:spacing w:line="360" w:lineRule="auto"/>
        <w:ind w:firstLine="0" w:firstLineChars="0"/>
        <w:jc w:val="center"/>
        <w:textAlignment w:val="auto"/>
        <w:outlineLvl w:val="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第四章</w:t>
      </w:r>
      <w:bookmarkEnd w:id="33"/>
      <w:r>
        <w:rPr>
          <w:rFonts w:hint="eastAsia" w:asciiTheme="minorEastAsia" w:hAnsiTheme="minorEastAsia" w:eastAsiaTheme="minorEastAsia" w:cstheme="minorEastAsia"/>
          <w:b/>
          <w:color w:val="auto"/>
          <w:sz w:val="21"/>
          <w:szCs w:val="21"/>
          <w:highlight w:val="none"/>
        </w:rPr>
        <w:t>审查标准和</w:t>
      </w:r>
      <w:bookmarkStart w:id="95" w:name="_Toc246826116"/>
      <w:r>
        <w:rPr>
          <w:rFonts w:hint="eastAsia" w:asciiTheme="minorEastAsia" w:hAnsiTheme="minorEastAsia" w:eastAsiaTheme="minorEastAsia" w:cstheme="minorEastAsia"/>
          <w:b/>
          <w:color w:val="auto"/>
          <w:sz w:val="21"/>
          <w:szCs w:val="21"/>
          <w:highlight w:val="none"/>
        </w:rPr>
        <w:t>评审标准</w:t>
      </w:r>
    </w:p>
    <w:bookmarkEnd w:id="95"/>
    <w:p>
      <w:pPr>
        <w:spacing w:line="360" w:lineRule="auto"/>
        <w:ind w:firstLine="420" w:firstLineChars="200"/>
        <w:outlineLvl w:val="0"/>
        <w:rPr>
          <w:color w:val="auto"/>
        </w:rPr>
      </w:pPr>
      <w:bookmarkStart w:id="96" w:name="_Toc246826117"/>
      <w:r>
        <w:rPr>
          <w:rFonts w:hint="eastAsia"/>
          <w:color w:val="auto"/>
        </w:rPr>
        <w:t>一、基本要求：</w:t>
      </w:r>
    </w:p>
    <w:p>
      <w:pPr>
        <w:pStyle w:val="6"/>
        <w:rPr>
          <w:color w:val="auto"/>
        </w:rPr>
      </w:pPr>
      <w:r>
        <w:rPr>
          <w:rFonts w:hint="eastAsia"/>
          <w:color w:val="auto"/>
        </w:rPr>
        <w:t>（一）资格审查、符合性审查或评审标准中凡涉及到提供针对本项目授权书、承诺书的，均须以原件为准，否则不予认可。</w:t>
      </w:r>
    </w:p>
    <w:p>
      <w:pPr>
        <w:pStyle w:val="6"/>
        <w:rPr>
          <w:color w:val="auto"/>
        </w:rPr>
      </w:pPr>
      <w:r>
        <w:rPr>
          <w:rFonts w:hint="eastAsia"/>
          <w:color w:val="auto"/>
        </w:rPr>
        <w:t>（二）资格审查、符合性审查或评审标准中凡涉及到提供合同、报告、证书或认证等证明材料的，须提供清晰可见且在有效期内的复印件并加盖供应商单位公章。如提供的证明材料不清晰或者无法明确证明的将不予认可。如提供的证明材料与原件不一致的，无论是在评审过程中乃至成交后，其响应将以无效响应或取消成交资格论处，并上报政府采购监督管理部门。</w:t>
      </w:r>
    </w:p>
    <w:p>
      <w:pPr>
        <w:snapToGrid w:val="0"/>
        <w:spacing w:line="360" w:lineRule="auto"/>
        <w:ind w:firstLine="420" w:firstLineChars="200"/>
        <w:outlineLvl w:val="0"/>
        <w:rPr>
          <w:b/>
          <w:color w:val="auto"/>
        </w:rPr>
      </w:pPr>
      <w:r>
        <w:rPr>
          <w:rFonts w:hint="eastAsia"/>
          <w:color w:val="auto"/>
        </w:rPr>
        <w:t>（三）凡小微型企业或视同小微企业参与采购活动的，依照第三章5.1款规定执行。</w:t>
      </w:r>
    </w:p>
    <w:p>
      <w:pPr>
        <w:pStyle w:val="6"/>
        <w:rPr>
          <w:color w:val="auto"/>
        </w:rPr>
      </w:pPr>
      <w:r>
        <w:rPr>
          <w:rFonts w:hint="eastAsia"/>
          <w:color w:val="auto"/>
        </w:rPr>
        <w:t>二、审查标准</w:t>
      </w:r>
    </w:p>
    <w:p>
      <w:pPr>
        <w:snapToGrid w:val="0"/>
        <w:spacing w:line="360" w:lineRule="auto"/>
        <w:ind w:firstLine="420" w:firstLineChars="200"/>
        <w:outlineLvl w:val="0"/>
        <w:rPr>
          <w:color w:val="auto"/>
        </w:rPr>
      </w:pPr>
      <w:r>
        <w:rPr>
          <w:rFonts w:hint="eastAsia"/>
          <w:color w:val="auto"/>
        </w:rPr>
        <w:t>1、资格审查表和符合性审查表中所列内容全部审查意见为“合格”，方视为“合格”，其中有一项不合格，将视为不合格供应商。</w:t>
      </w:r>
    </w:p>
    <w:p>
      <w:pPr>
        <w:snapToGrid w:val="0"/>
        <w:spacing w:line="360" w:lineRule="auto"/>
        <w:ind w:firstLine="420" w:firstLineChars="200"/>
        <w:outlineLvl w:val="0"/>
        <w:rPr>
          <w:color w:val="auto"/>
        </w:rPr>
      </w:pPr>
      <w:r>
        <w:rPr>
          <w:rFonts w:hint="eastAsia"/>
          <w:color w:val="auto"/>
        </w:rPr>
        <w:t>2、在审查意见汇总的过程中，如存在不同审查意见，则按照少数服从多数的原则做出结论。</w:t>
      </w:r>
    </w:p>
    <w:p>
      <w:pPr>
        <w:snapToGrid w:val="0"/>
        <w:spacing w:line="360" w:lineRule="auto"/>
        <w:ind w:firstLine="420" w:firstLineChars="200"/>
        <w:outlineLvl w:val="0"/>
        <w:rPr>
          <w:color w:val="auto"/>
        </w:rPr>
      </w:pPr>
      <w:r>
        <w:rPr>
          <w:rFonts w:hint="eastAsia"/>
          <w:color w:val="auto"/>
        </w:rPr>
        <w:t>3、本表格“审查意见”栏默认“√”视为合格标示，“×”视为不合格标示。</w:t>
      </w:r>
    </w:p>
    <w:p>
      <w:pPr>
        <w:snapToGrid w:val="0"/>
        <w:spacing w:line="360" w:lineRule="auto"/>
        <w:ind w:firstLine="211" w:firstLineChars="100"/>
        <w:jc w:val="left"/>
        <w:rPr>
          <w:b/>
          <w:bCs/>
          <w:color w:val="auto"/>
        </w:rPr>
      </w:pPr>
      <w:r>
        <w:rPr>
          <w:rFonts w:hint="eastAsia"/>
          <w:b/>
          <w:bCs/>
          <w:color w:val="auto"/>
        </w:rPr>
        <w:t>（一）资格审查表</w:t>
      </w:r>
    </w:p>
    <w:tbl>
      <w:tblPr>
        <w:tblStyle w:val="20"/>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980"/>
        <w:gridCol w:w="4231"/>
        <w:gridCol w:w="213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9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2"/>
              <w:jc w:val="center"/>
              <w:rPr>
                <w:b/>
                <w:bCs/>
                <w:color w:val="auto"/>
              </w:rPr>
            </w:pPr>
            <w:r>
              <w:rPr>
                <w:rFonts w:hint="eastAsia"/>
                <w:b/>
                <w:bCs/>
                <w:color w:val="auto"/>
              </w:rPr>
              <w:t>序号</w:t>
            </w:r>
          </w:p>
        </w:tc>
        <w:tc>
          <w:tcPr>
            <w:tcW w:w="423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2"/>
              <w:jc w:val="center"/>
              <w:rPr>
                <w:b/>
                <w:bCs/>
                <w:color w:val="auto"/>
              </w:rPr>
            </w:pPr>
            <w:r>
              <w:rPr>
                <w:rFonts w:hint="eastAsia"/>
                <w:b/>
                <w:bCs/>
                <w:color w:val="auto"/>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2"/>
              <w:jc w:val="center"/>
              <w:rPr>
                <w:b/>
                <w:bCs/>
                <w:color w:val="auto"/>
              </w:rPr>
            </w:pPr>
            <w:r>
              <w:rPr>
                <w:rFonts w:hint="eastAsia"/>
                <w:b/>
                <w:bCs/>
                <w:color w:val="auto"/>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left="0" w:leftChars="0" w:firstLine="0" w:firstLineChars="0"/>
              <w:jc w:val="center"/>
              <w:rPr>
                <w:b/>
                <w:bCs/>
                <w:color w:val="auto"/>
              </w:rPr>
            </w:pPr>
            <w:r>
              <w:rPr>
                <w:rFonts w:hint="eastAsia"/>
                <w:b/>
                <w:bCs/>
                <w:color w:val="auto"/>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9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color w:val="auto"/>
              </w:rPr>
            </w:pPr>
            <w:r>
              <w:rPr>
                <w:rFonts w:hint="eastAsia"/>
                <w:color w:val="auto"/>
              </w:rPr>
              <w:t>1</w:t>
            </w:r>
          </w:p>
        </w:tc>
        <w:tc>
          <w:tcPr>
            <w:tcW w:w="423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color w:val="auto"/>
              </w:rPr>
            </w:pPr>
            <w:r>
              <w:rPr>
                <w:rFonts w:hint="eastAsia"/>
                <w:color w:val="auto"/>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color w:val="auto"/>
              </w:rPr>
            </w:pPr>
            <w:r>
              <w:rPr>
                <w:rFonts w:hint="eastAsia"/>
                <w:color w:val="auto"/>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53" w:hRule="atLeast"/>
        </w:trPr>
        <w:tc>
          <w:tcPr>
            <w:tcW w:w="980" w:type="dxa"/>
            <w:tcBorders>
              <w:top w:val="single" w:color="auto" w:sz="4" w:space="0"/>
              <w:left w:val="single" w:color="auto" w:sz="4" w:space="0"/>
              <w:right w:val="single" w:color="auto" w:sz="4" w:space="0"/>
            </w:tcBorders>
            <w:noWrap/>
            <w:vAlign w:val="center"/>
          </w:tcPr>
          <w:p>
            <w:pPr>
              <w:snapToGrid w:val="0"/>
              <w:spacing w:line="360" w:lineRule="auto"/>
              <w:jc w:val="center"/>
              <w:rPr>
                <w:color w:val="auto"/>
              </w:rPr>
            </w:pPr>
            <w:r>
              <w:rPr>
                <w:rFonts w:hint="eastAsia"/>
                <w:color w:val="auto"/>
              </w:rPr>
              <w:t>2</w:t>
            </w:r>
          </w:p>
        </w:tc>
        <w:tc>
          <w:tcPr>
            <w:tcW w:w="4231" w:type="dxa"/>
            <w:tcBorders>
              <w:top w:val="single" w:color="auto" w:sz="4" w:space="0"/>
              <w:left w:val="single" w:color="auto" w:sz="4" w:space="0"/>
              <w:right w:val="single" w:color="auto" w:sz="4" w:space="0"/>
            </w:tcBorders>
            <w:noWrap/>
            <w:vAlign w:val="center"/>
          </w:tcPr>
          <w:p>
            <w:pPr>
              <w:snapToGrid w:val="0"/>
              <w:spacing w:line="360" w:lineRule="auto"/>
              <w:jc w:val="left"/>
              <w:rPr>
                <w:color w:val="auto"/>
                <w:lang w:val="zh-CN"/>
              </w:rPr>
            </w:pPr>
            <w:r>
              <w:rPr>
                <w:rFonts w:hint="eastAsia"/>
                <w:color w:val="auto"/>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pPr>
              <w:snapToGrid w:val="0"/>
              <w:spacing w:line="360" w:lineRule="auto"/>
              <w:jc w:val="left"/>
              <w:rPr>
                <w:color w:val="auto"/>
                <w:lang w:val="zh-CN"/>
              </w:rPr>
            </w:pPr>
            <w:r>
              <w:rPr>
                <w:rFonts w:hint="eastAsia"/>
                <w:color w:val="auto"/>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81" w:hRule="atLeast"/>
        </w:trPr>
        <w:tc>
          <w:tcPr>
            <w:tcW w:w="9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color w:val="auto"/>
              </w:rPr>
            </w:pPr>
            <w:r>
              <w:rPr>
                <w:rFonts w:hint="eastAsia"/>
                <w:color w:val="auto"/>
              </w:rPr>
              <w:t>3</w:t>
            </w:r>
          </w:p>
        </w:tc>
        <w:tc>
          <w:tcPr>
            <w:tcW w:w="4231" w:type="dxa"/>
            <w:tcBorders>
              <w:top w:val="single" w:color="auto" w:sz="4" w:space="0"/>
              <w:left w:val="single" w:color="auto" w:sz="4" w:space="0"/>
              <w:bottom w:val="single" w:color="auto" w:sz="4" w:space="0"/>
              <w:right w:val="single" w:color="auto" w:sz="4" w:space="0"/>
            </w:tcBorders>
            <w:noWrap/>
            <w:vAlign w:val="center"/>
          </w:tcPr>
          <w:p>
            <w:pPr>
              <w:pStyle w:val="7"/>
              <w:spacing w:line="360" w:lineRule="auto"/>
              <w:rPr>
                <w:color w:val="auto"/>
                <w:lang w:val="zh-CN"/>
              </w:rPr>
            </w:pPr>
            <w:r>
              <w:rPr>
                <w:rFonts w:hint="eastAsia"/>
                <w:color w:val="auto"/>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7"/>
              <w:spacing w:line="360" w:lineRule="auto"/>
              <w:rPr>
                <w:color w:val="auto"/>
                <w:lang w:val="zh-CN"/>
              </w:rPr>
            </w:pPr>
            <w:r>
              <w:rPr>
                <w:rFonts w:hint="eastAsia"/>
                <w:color w:val="auto"/>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61" w:hRule="atLeast"/>
        </w:trPr>
        <w:tc>
          <w:tcPr>
            <w:tcW w:w="9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color w:val="auto"/>
              </w:rPr>
            </w:pPr>
            <w:r>
              <w:rPr>
                <w:rFonts w:hint="eastAsia"/>
                <w:color w:val="auto"/>
              </w:rPr>
              <w:t>4</w:t>
            </w:r>
          </w:p>
        </w:tc>
        <w:tc>
          <w:tcPr>
            <w:tcW w:w="4231" w:type="dxa"/>
            <w:tcBorders>
              <w:top w:val="single" w:color="auto" w:sz="4" w:space="0"/>
              <w:left w:val="single" w:color="auto" w:sz="4" w:space="0"/>
              <w:bottom w:val="single" w:color="auto" w:sz="4" w:space="0"/>
              <w:right w:val="single" w:color="auto" w:sz="4" w:space="0"/>
            </w:tcBorders>
            <w:noWrap/>
            <w:vAlign w:val="center"/>
          </w:tcPr>
          <w:p>
            <w:pPr>
              <w:pStyle w:val="7"/>
              <w:snapToGrid w:val="0"/>
              <w:spacing w:line="360" w:lineRule="auto"/>
              <w:jc w:val="both"/>
              <w:rPr>
                <w:color w:val="auto"/>
              </w:rPr>
            </w:pPr>
            <w:r>
              <w:rPr>
                <w:rFonts w:hint="eastAsia"/>
                <w:color w:val="auto"/>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7"/>
              <w:snapToGrid w:val="0"/>
              <w:spacing w:line="360" w:lineRule="auto"/>
              <w:rPr>
                <w:color w:val="auto"/>
              </w:rPr>
            </w:pPr>
            <w:r>
              <w:rPr>
                <w:rFonts w:hint="eastAsia"/>
                <w:color w:val="auto"/>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9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color w:val="auto"/>
              </w:rPr>
            </w:pPr>
            <w:r>
              <w:rPr>
                <w:rFonts w:hint="eastAsia"/>
                <w:color w:val="auto"/>
              </w:rPr>
              <w:t>5</w:t>
            </w:r>
          </w:p>
        </w:tc>
        <w:tc>
          <w:tcPr>
            <w:tcW w:w="4231" w:type="dxa"/>
            <w:tcBorders>
              <w:top w:val="single" w:color="auto" w:sz="4" w:space="0"/>
              <w:left w:val="single" w:color="auto" w:sz="4" w:space="0"/>
              <w:bottom w:val="single" w:color="auto" w:sz="4" w:space="0"/>
              <w:right w:val="single" w:color="auto" w:sz="4" w:space="0"/>
            </w:tcBorders>
            <w:noWrap/>
            <w:vAlign w:val="center"/>
          </w:tcPr>
          <w:p>
            <w:pPr>
              <w:pStyle w:val="7"/>
              <w:snapToGrid w:val="0"/>
              <w:spacing w:line="360" w:lineRule="auto"/>
              <w:jc w:val="both"/>
              <w:rPr>
                <w:color w:val="auto"/>
              </w:rPr>
            </w:pPr>
            <w:r>
              <w:rPr>
                <w:rFonts w:hint="eastAsia"/>
                <w:color w:val="auto"/>
              </w:rPr>
              <w:t>未被“信用中国”列入失信被执行人和重大税收违法失信主体名单、未被中国政府采购网列入政府采购严重违法失信行为记录名单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7"/>
              <w:snapToGrid w:val="0"/>
              <w:spacing w:line="360" w:lineRule="auto"/>
              <w:rPr>
                <w:color w:val="auto"/>
              </w:rPr>
            </w:pPr>
            <w:r>
              <w:rPr>
                <w:rFonts w:hint="eastAsia"/>
                <w:color w:val="auto"/>
                <w:lang w:val="zh-CN"/>
              </w:rPr>
              <w:t>提供“信用中国”、“中国政府采购网网站”截图。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9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color w:val="auto"/>
              </w:rPr>
            </w:pPr>
            <w:r>
              <w:rPr>
                <w:rFonts w:hint="eastAsia"/>
                <w:color w:val="auto"/>
              </w:rPr>
              <w:t>6</w:t>
            </w:r>
          </w:p>
        </w:tc>
        <w:tc>
          <w:tcPr>
            <w:tcW w:w="4231" w:type="dxa"/>
            <w:tcBorders>
              <w:top w:val="single" w:color="auto" w:sz="4" w:space="0"/>
              <w:left w:val="single" w:color="auto" w:sz="4" w:space="0"/>
              <w:bottom w:val="single" w:color="auto" w:sz="4" w:space="0"/>
              <w:right w:val="single" w:color="auto" w:sz="4" w:space="0"/>
            </w:tcBorders>
            <w:noWrap/>
            <w:vAlign w:val="center"/>
          </w:tcPr>
          <w:p>
            <w:pPr>
              <w:pStyle w:val="7"/>
              <w:snapToGrid w:val="0"/>
              <w:spacing w:line="360" w:lineRule="auto"/>
              <w:jc w:val="both"/>
              <w:rPr>
                <w:color w:val="auto"/>
              </w:rPr>
            </w:pPr>
            <w:r>
              <w:rPr>
                <w:rFonts w:hint="eastAsia"/>
                <w:color w:val="auto"/>
              </w:rPr>
              <w:t>联合体响应（如有）</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7"/>
              <w:snapToGrid w:val="0"/>
              <w:spacing w:line="360" w:lineRule="auto"/>
              <w:rPr>
                <w:color w:val="auto"/>
              </w:rPr>
            </w:pPr>
            <w:r>
              <w:rPr>
                <w:rFonts w:hint="eastAsia"/>
                <w:color w:val="auto"/>
              </w:rPr>
              <w:t>联合体协议书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color w:val="auto"/>
              </w:rPr>
            </w:pPr>
          </w:p>
        </w:tc>
      </w:tr>
    </w:tbl>
    <w:p>
      <w:pPr>
        <w:adjustRightInd w:val="0"/>
        <w:snapToGrid w:val="0"/>
        <w:spacing w:line="360" w:lineRule="auto"/>
        <w:ind w:firstLine="422"/>
        <w:rPr>
          <w:color w:val="auto"/>
        </w:rPr>
      </w:pPr>
    </w:p>
    <w:p>
      <w:pPr>
        <w:adjustRightInd w:val="0"/>
        <w:snapToGrid w:val="0"/>
        <w:spacing w:line="360" w:lineRule="auto"/>
        <w:ind w:firstLine="422"/>
        <w:rPr>
          <w:color w:val="auto"/>
        </w:rPr>
      </w:pPr>
    </w:p>
    <w:p>
      <w:pPr>
        <w:pStyle w:val="34"/>
        <w:rPr>
          <w:color w:val="auto"/>
        </w:rPr>
      </w:pPr>
    </w:p>
    <w:p>
      <w:pPr>
        <w:adjustRightInd w:val="0"/>
        <w:snapToGrid w:val="0"/>
        <w:spacing w:line="360" w:lineRule="auto"/>
        <w:ind w:firstLine="422"/>
        <w:rPr>
          <w:color w:val="auto"/>
        </w:rPr>
      </w:pPr>
      <w:r>
        <w:rPr>
          <w:rFonts w:hint="eastAsia"/>
          <w:color w:val="auto"/>
        </w:rPr>
        <w:t>（二）符合性审查表</w:t>
      </w:r>
    </w:p>
    <w:tbl>
      <w:tblPr>
        <w:tblStyle w:val="20"/>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930"/>
        <w:gridCol w:w="3906"/>
        <w:gridCol w:w="1975"/>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9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2"/>
              <w:jc w:val="both"/>
              <w:rPr>
                <w:b/>
                <w:bCs/>
                <w:color w:val="auto"/>
              </w:rPr>
            </w:pPr>
            <w:r>
              <w:rPr>
                <w:rFonts w:hint="eastAsia"/>
                <w:b/>
                <w:bCs/>
                <w:color w:val="auto"/>
              </w:rPr>
              <w:t>序号</w:t>
            </w:r>
          </w:p>
        </w:tc>
        <w:tc>
          <w:tcPr>
            <w:tcW w:w="390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2"/>
              <w:jc w:val="both"/>
              <w:rPr>
                <w:b/>
                <w:bCs/>
                <w:color w:val="auto"/>
              </w:rPr>
            </w:pPr>
            <w:r>
              <w:rPr>
                <w:rFonts w:hint="eastAsia"/>
                <w:b/>
                <w:bCs/>
                <w:color w:val="auto"/>
              </w:rPr>
              <w:t>符合性审查内容</w:t>
            </w:r>
          </w:p>
        </w:tc>
        <w:tc>
          <w:tcPr>
            <w:tcW w:w="19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2"/>
              <w:jc w:val="both"/>
              <w:rPr>
                <w:b/>
                <w:bCs/>
                <w:color w:val="auto"/>
              </w:rPr>
            </w:pPr>
            <w:r>
              <w:rPr>
                <w:rFonts w:hint="eastAsia"/>
                <w:b/>
                <w:bCs/>
                <w:color w:val="auto"/>
              </w:rPr>
              <w:t>审查标准</w:t>
            </w:r>
          </w:p>
        </w:tc>
        <w:tc>
          <w:tcPr>
            <w:tcW w:w="15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2"/>
              <w:jc w:val="both"/>
              <w:rPr>
                <w:b/>
                <w:bCs/>
                <w:color w:val="auto"/>
              </w:rPr>
            </w:pPr>
            <w:r>
              <w:rPr>
                <w:rFonts w:hint="eastAsia"/>
                <w:b/>
                <w:bCs/>
                <w:color w:val="auto"/>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9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color w:val="auto"/>
              </w:rPr>
            </w:pPr>
            <w:r>
              <w:rPr>
                <w:rFonts w:hint="eastAsia"/>
                <w:color w:val="auto"/>
              </w:rPr>
              <w:t>1</w:t>
            </w:r>
          </w:p>
        </w:tc>
        <w:tc>
          <w:tcPr>
            <w:tcW w:w="390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left="0" w:leftChars="0" w:firstLine="0" w:firstLineChars="0"/>
              <w:jc w:val="left"/>
              <w:rPr>
                <w:color w:val="auto"/>
              </w:rPr>
            </w:pPr>
            <w:r>
              <w:rPr>
                <w:rFonts w:hint="eastAsia"/>
                <w:color w:val="auto"/>
              </w:rPr>
              <w:t>供应商名称。</w:t>
            </w:r>
          </w:p>
        </w:tc>
        <w:tc>
          <w:tcPr>
            <w:tcW w:w="19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left="0" w:leftChars="0" w:firstLine="0" w:firstLineChars="0"/>
              <w:rPr>
                <w:color w:val="auto"/>
              </w:rPr>
            </w:pPr>
            <w:r>
              <w:rPr>
                <w:rFonts w:hint="eastAsia"/>
                <w:color w:val="auto"/>
              </w:rPr>
              <w:t>与营业执照一致。</w:t>
            </w:r>
          </w:p>
        </w:tc>
        <w:tc>
          <w:tcPr>
            <w:tcW w:w="15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9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color w:val="auto"/>
              </w:rPr>
            </w:pPr>
            <w:r>
              <w:rPr>
                <w:rFonts w:hint="eastAsia"/>
                <w:color w:val="auto"/>
              </w:rPr>
              <w:t>2</w:t>
            </w:r>
          </w:p>
        </w:tc>
        <w:tc>
          <w:tcPr>
            <w:tcW w:w="390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left="0" w:leftChars="0" w:firstLine="0" w:firstLineChars="0"/>
              <w:jc w:val="left"/>
              <w:rPr>
                <w:color w:val="auto"/>
              </w:rPr>
            </w:pPr>
            <w:r>
              <w:rPr>
                <w:rFonts w:hint="eastAsia"/>
                <w:color w:val="auto"/>
              </w:rPr>
              <w:t>响应文件的有效性、完整性。</w:t>
            </w:r>
          </w:p>
        </w:tc>
        <w:tc>
          <w:tcPr>
            <w:tcW w:w="197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ind w:left="0" w:leftChars="0" w:firstLine="0" w:firstLineChars="0"/>
              <w:rPr>
                <w:color w:val="auto"/>
              </w:rPr>
            </w:pPr>
            <w:r>
              <w:rPr>
                <w:rFonts w:hint="eastAsia"/>
                <w:color w:val="auto"/>
              </w:rPr>
              <w:t>响应文件齐全、格式符合采购文件要求，盖公章、签字有效。</w:t>
            </w:r>
          </w:p>
        </w:tc>
        <w:tc>
          <w:tcPr>
            <w:tcW w:w="15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9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color w:val="auto"/>
              </w:rPr>
            </w:pPr>
            <w:r>
              <w:rPr>
                <w:rFonts w:hint="eastAsia"/>
                <w:color w:val="auto"/>
              </w:rPr>
              <w:t>3</w:t>
            </w:r>
          </w:p>
        </w:tc>
        <w:tc>
          <w:tcPr>
            <w:tcW w:w="390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left="0" w:leftChars="0" w:firstLine="0" w:firstLineChars="0"/>
              <w:jc w:val="left"/>
              <w:rPr>
                <w:color w:val="auto"/>
              </w:rPr>
            </w:pPr>
            <w:r>
              <w:rPr>
                <w:rFonts w:hint="eastAsia"/>
                <w:color w:val="auto"/>
              </w:rPr>
              <w:t>服务期限。</w:t>
            </w:r>
          </w:p>
        </w:tc>
        <w:tc>
          <w:tcPr>
            <w:tcW w:w="19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left="0" w:leftChars="0" w:firstLine="0" w:firstLineChars="0"/>
              <w:rPr>
                <w:color w:val="auto"/>
              </w:rPr>
            </w:pPr>
            <w:r>
              <w:rPr>
                <w:rFonts w:hint="eastAsia"/>
                <w:color w:val="auto"/>
              </w:rPr>
              <w:t>满足采购比选文件要求。</w:t>
            </w:r>
          </w:p>
        </w:tc>
        <w:tc>
          <w:tcPr>
            <w:tcW w:w="15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9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color w:val="auto"/>
              </w:rPr>
            </w:pPr>
            <w:r>
              <w:rPr>
                <w:rFonts w:hint="eastAsia"/>
                <w:color w:val="auto"/>
              </w:rPr>
              <w:t>4</w:t>
            </w:r>
          </w:p>
        </w:tc>
        <w:tc>
          <w:tcPr>
            <w:tcW w:w="390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left="0" w:leftChars="0" w:firstLine="0" w:firstLineChars="0"/>
              <w:jc w:val="left"/>
              <w:rPr>
                <w:color w:val="auto"/>
              </w:rPr>
            </w:pPr>
            <w:r>
              <w:rPr>
                <w:rFonts w:hint="eastAsia"/>
                <w:color w:val="auto"/>
              </w:rPr>
              <w:t>质量标准。</w:t>
            </w:r>
          </w:p>
        </w:tc>
        <w:tc>
          <w:tcPr>
            <w:tcW w:w="197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ind w:left="0" w:leftChars="0" w:firstLine="0" w:firstLineChars="0"/>
              <w:rPr>
                <w:color w:val="auto"/>
              </w:rPr>
            </w:pPr>
            <w:r>
              <w:rPr>
                <w:rFonts w:hint="eastAsia"/>
                <w:color w:val="auto"/>
              </w:rPr>
              <w:t>满足采购比选文件要求。</w:t>
            </w:r>
          </w:p>
        </w:tc>
        <w:tc>
          <w:tcPr>
            <w:tcW w:w="15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9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color w:val="auto"/>
              </w:rPr>
            </w:pPr>
            <w:r>
              <w:rPr>
                <w:rFonts w:hint="eastAsia"/>
                <w:color w:val="auto"/>
              </w:rPr>
              <w:t>5</w:t>
            </w:r>
          </w:p>
        </w:tc>
        <w:tc>
          <w:tcPr>
            <w:tcW w:w="390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left="0" w:leftChars="0" w:firstLine="0" w:firstLineChars="0"/>
              <w:jc w:val="left"/>
              <w:rPr>
                <w:color w:val="auto"/>
              </w:rPr>
            </w:pPr>
            <w:r>
              <w:rPr>
                <w:rFonts w:hint="eastAsia"/>
                <w:color w:val="auto"/>
              </w:rPr>
              <w:t>报价。</w:t>
            </w:r>
          </w:p>
        </w:tc>
        <w:tc>
          <w:tcPr>
            <w:tcW w:w="197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ind w:left="0" w:leftChars="0" w:firstLine="0" w:firstLineChars="0"/>
              <w:rPr>
                <w:color w:val="auto"/>
              </w:rPr>
            </w:pPr>
            <w:r>
              <w:rPr>
                <w:rFonts w:hint="eastAsia"/>
                <w:color w:val="auto"/>
              </w:rPr>
              <w:t>报价是固定价且未超过本项目最高限价。</w:t>
            </w:r>
          </w:p>
        </w:tc>
        <w:tc>
          <w:tcPr>
            <w:tcW w:w="15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9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color w:val="auto"/>
              </w:rPr>
            </w:pPr>
            <w:r>
              <w:rPr>
                <w:rFonts w:hint="eastAsia"/>
                <w:color w:val="auto"/>
              </w:rPr>
              <w:t>6</w:t>
            </w:r>
          </w:p>
        </w:tc>
        <w:tc>
          <w:tcPr>
            <w:tcW w:w="390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left="0" w:leftChars="0" w:firstLine="0" w:firstLineChars="0"/>
              <w:jc w:val="left"/>
              <w:rPr>
                <w:color w:val="auto"/>
              </w:rPr>
            </w:pPr>
            <w:r>
              <w:rPr>
                <w:rFonts w:hint="eastAsia"/>
                <w:color w:val="auto"/>
              </w:rPr>
              <w:t>响应有效期</w:t>
            </w:r>
          </w:p>
        </w:tc>
        <w:tc>
          <w:tcPr>
            <w:tcW w:w="19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left="0" w:leftChars="0" w:firstLine="0" w:firstLineChars="0"/>
              <w:rPr>
                <w:color w:val="auto"/>
              </w:rPr>
            </w:pPr>
            <w:r>
              <w:rPr>
                <w:rFonts w:hint="eastAsia"/>
                <w:color w:val="auto"/>
              </w:rPr>
              <w:t>满足采购比选文件要求。</w:t>
            </w:r>
          </w:p>
        </w:tc>
        <w:tc>
          <w:tcPr>
            <w:tcW w:w="15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93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color w:val="auto"/>
              </w:rPr>
            </w:pPr>
            <w:r>
              <w:rPr>
                <w:rFonts w:hint="eastAsia"/>
                <w:color w:val="auto"/>
              </w:rPr>
              <w:t>7</w:t>
            </w:r>
          </w:p>
        </w:tc>
        <w:tc>
          <w:tcPr>
            <w:tcW w:w="390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left="0" w:leftChars="0" w:firstLine="0" w:firstLineChars="0"/>
              <w:jc w:val="left"/>
              <w:rPr>
                <w:color w:val="auto"/>
              </w:rPr>
            </w:pPr>
            <w:r>
              <w:rPr>
                <w:rFonts w:hint="eastAsia"/>
                <w:color w:val="auto"/>
              </w:rPr>
              <w:t>采购比选文件规定的其它条件</w:t>
            </w:r>
          </w:p>
        </w:tc>
        <w:tc>
          <w:tcPr>
            <w:tcW w:w="197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ind w:left="0" w:leftChars="0" w:firstLine="0" w:firstLineChars="0"/>
              <w:rPr>
                <w:color w:val="auto"/>
              </w:rPr>
            </w:pPr>
            <w:r>
              <w:rPr>
                <w:rFonts w:hint="eastAsia"/>
                <w:color w:val="auto"/>
              </w:rPr>
              <w:t>不存在采购文件及相关法律法规规定的废标情形的</w:t>
            </w:r>
          </w:p>
        </w:tc>
        <w:tc>
          <w:tcPr>
            <w:tcW w:w="154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color w:val="auto"/>
              </w:rPr>
            </w:pPr>
          </w:p>
        </w:tc>
      </w:tr>
    </w:tbl>
    <w:p>
      <w:pPr>
        <w:pStyle w:val="11"/>
        <w:rPr>
          <w:color w:val="auto"/>
        </w:rPr>
      </w:pPr>
    </w:p>
    <w:bookmarkEnd w:id="96"/>
    <w:p>
      <w:pPr>
        <w:adjustRightInd w:val="0"/>
        <w:snapToGrid w:val="0"/>
        <w:spacing w:line="360" w:lineRule="auto"/>
        <w:ind w:firstLine="422"/>
        <w:outlineLvl w:val="1"/>
        <w:rPr>
          <w:color w:val="auto"/>
        </w:rPr>
      </w:pPr>
      <w:bookmarkStart w:id="97" w:name="_Toc246826118"/>
      <w:r>
        <w:rPr>
          <w:rFonts w:hint="eastAsia"/>
          <w:color w:val="auto"/>
        </w:rPr>
        <w:t>三、评审标准</w:t>
      </w:r>
    </w:p>
    <w:p>
      <w:pPr>
        <w:adjustRightInd w:val="0"/>
        <w:snapToGrid w:val="0"/>
        <w:spacing w:line="360" w:lineRule="auto"/>
        <w:ind w:firstLine="420" w:firstLineChars="200"/>
        <w:outlineLvl w:val="1"/>
        <w:rPr>
          <w:color w:val="auto"/>
        </w:rPr>
      </w:pPr>
      <w:r>
        <w:rPr>
          <w:rFonts w:hint="eastAsia"/>
          <w:color w:val="auto"/>
        </w:rPr>
        <w:t>（一）评审方法及评审结果排列顺序规定如下：</w:t>
      </w:r>
    </w:p>
    <w:p>
      <w:pPr>
        <w:pStyle w:val="7"/>
        <w:spacing w:line="360" w:lineRule="auto"/>
        <w:ind w:firstLine="420" w:firstLineChars="200"/>
        <w:jc w:val="both"/>
        <w:rPr>
          <w:color w:val="auto"/>
        </w:rPr>
      </w:pPr>
      <w:r>
        <w:rPr>
          <w:rFonts w:hint="eastAsia"/>
          <w:color w:val="auto"/>
        </w:rPr>
        <w:t>本项目采用综合评分法，评审结果按评审后得分由高到低顺序排列。得分相同的，按响应报价由低到高顺序排列。得分且响应报价相同的并列或者评审委员会根据响应情况推荐评审结果排列顺序或予以授标建议。</w:t>
      </w:r>
    </w:p>
    <w:p>
      <w:pPr>
        <w:numPr>
          <w:ilvl w:val="0"/>
          <w:numId w:val="1"/>
        </w:numPr>
        <w:adjustRightInd w:val="0"/>
        <w:snapToGrid w:val="0"/>
        <w:spacing w:line="360" w:lineRule="auto"/>
        <w:ind w:left="-2" w:firstLine="422"/>
        <w:outlineLvl w:val="1"/>
        <w:rPr>
          <w:b/>
          <w:bCs/>
          <w:color w:val="auto"/>
        </w:rPr>
      </w:pPr>
      <w:r>
        <w:rPr>
          <w:rFonts w:hint="eastAsia"/>
          <w:b/>
          <w:bCs/>
          <w:color w:val="auto"/>
        </w:rPr>
        <w:t>评审因素及分值分配</w:t>
      </w:r>
    </w:p>
    <w:tbl>
      <w:tblPr>
        <w:tblStyle w:val="20"/>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r>
              <w:rPr>
                <w:rFonts w:hint="eastAsia"/>
                <w:color w:val="auto"/>
              </w:rPr>
              <w:t>评审因素</w:t>
            </w:r>
          </w:p>
        </w:tc>
        <w:tc>
          <w:tcPr>
            <w:tcW w:w="28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r>
              <w:rPr>
                <w:rFonts w:hint="eastAsia"/>
                <w:color w:val="auto"/>
              </w:rPr>
              <w:t>技术商务</w:t>
            </w:r>
          </w:p>
        </w:tc>
        <w:tc>
          <w:tcPr>
            <w:tcW w:w="291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r>
              <w:rPr>
                <w:rFonts w:hint="eastAsia"/>
                <w:color w:val="auto"/>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r>
              <w:rPr>
                <w:rFonts w:hint="eastAsia"/>
                <w:color w:val="auto"/>
              </w:rPr>
              <w:t>分值</w:t>
            </w:r>
          </w:p>
        </w:tc>
        <w:tc>
          <w:tcPr>
            <w:tcW w:w="28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r>
              <w:rPr>
                <w:rFonts w:hint="eastAsia"/>
                <w:color w:val="auto"/>
              </w:rPr>
              <w:t>90分</w:t>
            </w:r>
          </w:p>
        </w:tc>
        <w:tc>
          <w:tcPr>
            <w:tcW w:w="291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r>
              <w:rPr>
                <w:rFonts w:hint="eastAsia"/>
                <w:color w:val="auto"/>
              </w:rPr>
              <w:t>10分</w:t>
            </w:r>
          </w:p>
        </w:tc>
      </w:tr>
    </w:tbl>
    <w:p>
      <w:pPr>
        <w:adjustRightInd w:val="0"/>
        <w:snapToGrid w:val="0"/>
        <w:spacing w:line="360" w:lineRule="auto"/>
        <w:ind w:firstLine="422" w:firstLineChars="200"/>
        <w:outlineLvl w:val="1"/>
        <w:rPr>
          <w:b/>
          <w:bCs/>
          <w:color w:val="auto"/>
        </w:rPr>
      </w:pPr>
      <w:r>
        <w:rPr>
          <w:rFonts w:hint="eastAsia"/>
          <w:b/>
          <w:bCs/>
          <w:color w:val="auto"/>
        </w:rPr>
        <w:t>（三）响应报价的评审要求</w:t>
      </w:r>
    </w:p>
    <w:p>
      <w:pPr>
        <w:adjustRightInd w:val="0"/>
        <w:snapToGrid w:val="0"/>
        <w:spacing w:line="360" w:lineRule="auto"/>
        <w:ind w:firstLine="420" w:firstLineChars="200"/>
        <w:outlineLvl w:val="1"/>
        <w:rPr>
          <w:color w:val="auto"/>
        </w:rPr>
      </w:pPr>
      <w:r>
        <w:rPr>
          <w:rFonts w:hint="eastAsia"/>
          <w:color w:val="auto"/>
        </w:rPr>
        <w:t>1、价格核准：评审委员会对符合性审查合格的供应商的响应报价明细进行复核，看其是否有计算错误，如有则按供应商须知有关规定修正或澄清。</w:t>
      </w:r>
    </w:p>
    <w:p>
      <w:pPr>
        <w:adjustRightInd w:val="0"/>
        <w:snapToGrid w:val="0"/>
        <w:spacing w:line="360" w:lineRule="auto"/>
        <w:ind w:firstLine="420" w:firstLineChars="200"/>
        <w:outlineLvl w:val="1"/>
        <w:rPr>
          <w:color w:val="auto"/>
        </w:rPr>
      </w:pPr>
      <w:r>
        <w:rPr>
          <w:rFonts w:hint="eastAsia"/>
          <w:color w:val="auto"/>
        </w:rPr>
        <w:t>2、价格评审：</w:t>
      </w:r>
    </w:p>
    <w:p>
      <w:pPr>
        <w:adjustRightInd w:val="0"/>
        <w:snapToGrid w:val="0"/>
        <w:spacing w:line="360" w:lineRule="auto"/>
        <w:ind w:firstLine="420" w:firstLineChars="200"/>
        <w:outlineLvl w:val="1"/>
        <w:rPr>
          <w:color w:val="auto"/>
        </w:rPr>
      </w:pPr>
      <w:r>
        <w:rPr>
          <w:rFonts w:hint="eastAsia"/>
          <w:color w:val="auto"/>
        </w:rPr>
        <w:t>综合评分法，价格分统一采用低价优先法计算，即满足采购比选文件要求（通过资格审查和符合性审查）且评审价(指修正及价格扣除后的价格，下同)最低的为评审基准价，其价格分为满分。其他供应商的价格分统一按照下列公式计算：</w:t>
      </w:r>
    </w:p>
    <w:p>
      <w:pPr>
        <w:adjustRightInd w:val="0"/>
        <w:snapToGrid w:val="0"/>
        <w:spacing w:line="360" w:lineRule="auto"/>
        <w:ind w:firstLine="420" w:firstLineChars="200"/>
        <w:outlineLvl w:val="1"/>
        <w:rPr>
          <w:color w:val="auto"/>
        </w:rPr>
      </w:pPr>
      <w:r>
        <w:rPr>
          <w:rFonts w:hint="eastAsia"/>
          <w:color w:val="auto"/>
        </w:rPr>
        <w:t>价格评分=（评审基准价／评审价）×价格分值</w:t>
      </w:r>
    </w:p>
    <w:p>
      <w:pPr>
        <w:adjustRightInd w:val="0"/>
        <w:snapToGrid w:val="0"/>
        <w:spacing w:line="360" w:lineRule="auto"/>
        <w:ind w:firstLine="422"/>
        <w:outlineLvl w:val="1"/>
        <w:rPr>
          <w:color w:val="auto"/>
        </w:rPr>
      </w:pPr>
      <w:r>
        <w:rPr>
          <w:rFonts w:hint="eastAsia"/>
          <w:color w:val="auto"/>
        </w:rPr>
        <w:t>（四）评审细则</w:t>
      </w:r>
    </w:p>
    <w:tbl>
      <w:tblPr>
        <w:tblStyle w:val="20"/>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779"/>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tcBorders>
              <w:top w:val="single" w:color="auto" w:sz="4" w:space="0"/>
              <w:left w:val="single" w:color="auto" w:sz="4" w:space="0"/>
              <w:bottom w:val="single" w:color="auto" w:sz="4" w:space="0"/>
              <w:right w:val="single" w:color="auto" w:sz="4" w:space="0"/>
            </w:tcBorders>
            <w:noWrap/>
            <w:vAlign w:val="center"/>
          </w:tcPr>
          <w:p>
            <w:pPr>
              <w:ind w:firstLine="422"/>
              <w:jc w:val="center"/>
              <w:rPr>
                <w:b/>
                <w:bCs/>
                <w:color w:val="auto"/>
              </w:rPr>
            </w:pPr>
            <w:r>
              <w:rPr>
                <w:rFonts w:hint="eastAsia"/>
                <w:b/>
                <w:bCs/>
                <w:color w:val="auto"/>
              </w:rPr>
              <w:t>条款号</w:t>
            </w:r>
          </w:p>
        </w:tc>
        <w:tc>
          <w:tcPr>
            <w:tcW w:w="1779" w:type="dxa"/>
            <w:tcBorders>
              <w:top w:val="single" w:color="auto" w:sz="4" w:space="0"/>
              <w:left w:val="single" w:color="auto" w:sz="4" w:space="0"/>
              <w:bottom w:val="single" w:color="auto" w:sz="4" w:space="0"/>
              <w:right w:val="single" w:color="auto" w:sz="4" w:space="0"/>
            </w:tcBorders>
            <w:noWrap/>
            <w:vAlign w:val="center"/>
          </w:tcPr>
          <w:p>
            <w:pPr>
              <w:ind w:firstLine="422"/>
              <w:jc w:val="center"/>
              <w:rPr>
                <w:b/>
                <w:bCs/>
                <w:color w:val="auto"/>
              </w:rPr>
            </w:pPr>
            <w:r>
              <w:rPr>
                <w:rFonts w:hint="eastAsia"/>
                <w:b/>
                <w:bCs/>
                <w:color w:val="auto"/>
              </w:rPr>
              <w:t>评审因素</w:t>
            </w:r>
          </w:p>
        </w:tc>
        <w:tc>
          <w:tcPr>
            <w:tcW w:w="6712" w:type="dxa"/>
            <w:tcBorders>
              <w:top w:val="single" w:color="auto" w:sz="4" w:space="0"/>
              <w:left w:val="single" w:color="auto" w:sz="4" w:space="0"/>
              <w:bottom w:val="single" w:color="auto" w:sz="4" w:space="0"/>
              <w:right w:val="single" w:color="auto" w:sz="4" w:space="0"/>
            </w:tcBorders>
            <w:noWrap/>
            <w:vAlign w:val="center"/>
          </w:tcPr>
          <w:p>
            <w:pPr>
              <w:ind w:firstLine="422"/>
              <w:jc w:val="center"/>
              <w:rPr>
                <w:b/>
                <w:bCs/>
                <w:color w:val="auto"/>
              </w:rPr>
            </w:pPr>
            <w:r>
              <w:rPr>
                <w:rFonts w:hint="eastAsia"/>
                <w:b/>
                <w:bCs/>
                <w:color w:val="auto"/>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3120" w:type="dxa"/>
            <w:gridSpan w:val="2"/>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rFonts w:hint="eastAsia"/>
                <w:color w:val="auto"/>
              </w:rPr>
              <w:t>分值构成</w:t>
            </w:r>
          </w:p>
          <w:p>
            <w:pPr>
              <w:jc w:val="center"/>
              <w:rPr>
                <w:color w:val="auto"/>
              </w:rPr>
            </w:pPr>
            <w:r>
              <w:rPr>
                <w:rFonts w:hint="eastAsia"/>
                <w:color w:val="auto"/>
              </w:rPr>
              <w:t>(总分100分)</w:t>
            </w:r>
          </w:p>
        </w:tc>
        <w:tc>
          <w:tcPr>
            <w:tcW w:w="6712"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rPr>
                <w:rFonts w:hint="eastAsia"/>
                <w:color w:val="auto"/>
              </w:rPr>
            </w:pPr>
            <w:r>
              <w:rPr>
                <w:rFonts w:hint="eastAsia"/>
                <w:color w:val="auto"/>
              </w:rPr>
              <w:t>价格评审</w:t>
            </w:r>
            <w:r>
              <w:rPr>
                <w:rFonts w:hint="eastAsia"/>
                <w:color w:val="auto"/>
                <w:u w:val="single"/>
              </w:rPr>
              <w:t>10</w:t>
            </w:r>
            <w:r>
              <w:rPr>
                <w:rFonts w:hint="eastAsia"/>
                <w:color w:val="auto"/>
              </w:rPr>
              <w:t>分</w:t>
            </w:r>
          </w:p>
          <w:p>
            <w:pPr>
              <w:ind w:left="0" w:leftChars="0" w:firstLine="0" w:firstLineChars="0"/>
              <w:rPr>
                <w:color w:val="auto"/>
              </w:rPr>
            </w:pPr>
            <w:r>
              <w:rPr>
                <w:rFonts w:hint="eastAsia"/>
                <w:color w:val="auto"/>
              </w:rPr>
              <w:t>技术部分3</w:t>
            </w:r>
            <w:r>
              <w:rPr>
                <w:rFonts w:hint="eastAsia"/>
                <w:color w:val="auto"/>
                <w:u w:val="single"/>
              </w:rPr>
              <w:t>5</w:t>
            </w:r>
            <w:r>
              <w:rPr>
                <w:rFonts w:hint="eastAsia"/>
                <w:color w:val="auto"/>
              </w:rPr>
              <w:t>分</w:t>
            </w:r>
          </w:p>
          <w:p>
            <w:pPr>
              <w:ind w:left="0" w:leftChars="0" w:firstLine="0" w:firstLineChars="0"/>
              <w:rPr>
                <w:color w:val="auto"/>
              </w:rPr>
            </w:pPr>
            <w:r>
              <w:rPr>
                <w:rFonts w:hint="eastAsia"/>
                <w:color w:val="auto"/>
              </w:rPr>
              <w:t>商务部分</w:t>
            </w:r>
            <w:r>
              <w:rPr>
                <w:rFonts w:hint="eastAsia"/>
                <w:color w:val="auto"/>
                <w:u w:val="single"/>
              </w:rPr>
              <w:t>55</w:t>
            </w:r>
            <w:r>
              <w:rPr>
                <w:rFonts w:hint="eastAsia"/>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0" w:type="dxa"/>
            <w:gridSpan w:val="2"/>
            <w:tcBorders>
              <w:top w:val="single" w:color="auto" w:sz="4" w:space="0"/>
              <w:left w:val="single" w:color="auto" w:sz="4" w:space="0"/>
              <w:bottom w:val="single" w:color="auto" w:sz="4" w:space="0"/>
              <w:right w:val="single" w:color="auto" w:sz="4" w:space="0"/>
            </w:tcBorders>
            <w:noWrap/>
            <w:vAlign w:val="center"/>
          </w:tcPr>
          <w:p>
            <w:pPr>
              <w:jc w:val="center"/>
              <w:rPr>
                <w:color w:val="auto"/>
              </w:rPr>
            </w:pPr>
            <w:r>
              <w:rPr>
                <w:rFonts w:hint="eastAsia"/>
                <w:color w:val="auto"/>
              </w:rPr>
              <w:t>价格评审</w:t>
            </w:r>
          </w:p>
          <w:p>
            <w:pPr>
              <w:jc w:val="center"/>
              <w:rPr>
                <w:rFonts w:asciiTheme="minorEastAsia" w:hAnsiTheme="minorEastAsia" w:eastAsiaTheme="minorEastAsia" w:cstheme="minorEastAsia"/>
                <w:color w:val="auto"/>
              </w:rPr>
            </w:pPr>
            <w:r>
              <w:rPr>
                <w:rFonts w:hint="eastAsia"/>
                <w:color w:val="auto"/>
              </w:rPr>
              <w:t>（10分）</w:t>
            </w:r>
          </w:p>
        </w:tc>
        <w:tc>
          <w:tcPr>
            <w:tcW w:w="6712"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rPr>
                <w:color w:val="auto"/>
              </w:rPr>
            </w:pPr>
            <w:r>
              <w:rPr>
                <w:rFonts w:hint="eastAsia"/>
                <w:color w:val="auto"/>
              </w:rPr>
              <w:t>响应报价得分以满分</w:t>
            </w:r>
            <w:r>
              <w:rPr>
                <w:rFonts w:hint="eastAsia"/>
                <w:color w:val="auto"/>
                <w:u w:val="single"/>
              </w:rPr>
              <w:t>10分</w:t>
            </w:r>
            <w:r>
              <w:rPr>
                <w:rFonts w:hint="eastAsia"/>
                <w:color w:val="auto"/>
              </w:rPr>
              <w:t>计算。满足比选文件要求且响应报价最低的响应报价为评审基准价，其价格分为满分。其他供应商的价格分统一按照下列公式计算：</w:t>
            </w:r>
          </w:p>
          <w:p>
            <w:pPr>
              <w:ind w:left="0" w:leftChars="0" w:firstLine="0" w:firstLineChars="0"/>
              <w:rPr>
                <w:color w:val="auto"/>
              </w:rPr>
            </w:pPr>
            <w:r>
              <w:rPr>
                <w:rFonts w:hint="eastAsia"/>
                <w:color w:val="auto"/>
              </w:rPr>
              <w:t>响应报价得分=（评审基准价/响应报价）×10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341" w:type="dxa"/>
            <w:vMerge w:val="restart"/>
            <w:tcBorders>
              <w:top w:val="single" w:color="auto" w:sz="4" w:space="0"/>
              <w:left w:val="single" w:color="auto" w:sz="4" w:space="0"/>
              <w:right w:val="single" w:color="auto" w:sz="4" w:space="0"/>
            </w:tcBorders>
            <w:noWrap/>
            <w:vAlign w:val="center"/>
          </w:tcPr>
          <w:p>
            <w:pPr>
              <w:ind w:left="0" w:leftChars="0" w:firstLine="0" w:firstLineChars="0"/>
              <w:jc w:val="both"/>
              <w:rPr>
                <w:color w:val="auto"/>
              </w:rPr>
            </w:pPr>
            <w:r>
              <w:rPr>
                <w:rFonts w:hint="eastAsia"/>
                <w:color w:val="auto"/>
              </w:rPr>
              <w:t>技术部分</w:t>
            </w:r>
          </w:p>
          <w:p>
            <w:pPr>
              <w:ind w:left="0" w:leftChars="0" w:firstLine="0" w:firstLineChars="0"/>
              <w:jc w:val="both"/>
              <w:rPr>
                <w:color w:val="auto"/>
              </w:rPr>
            </w:pPr>
            <w:r>
              <w:rPr>
                <w:rFonts w:hint="eastAsia"/>
                <w:color w:val="auto"/>
              </w:rPr>
              <w:t>（35分）</w:t>
            </w:r>
          </w:p>
          <w:p>
            <w:pPr>
              <w:jc w:val="center"/>
              <w:rPr>
                <w:color w:val="auto"/>
              </w:rPr>
            </w:pPr>
          </w:p>
        </w:tc>
        <w:tc>
          <w:tcPr>
            <w:tcW w:w="1779"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both"/>
              <w:rPr>
                <w:color w:val="auto"/>
              </w:rPr>
            </w:pPr>
            <w:r>
              <w:rPr>
                <w:rFonts w:hint="eastAsia"/>
                <w:color w:val="auto"/>
              </w:rPr>
              <w:t>对项目理解及专业性分析（10分）</w:t>
            </w:r>
          </w:p>
        </w:tc>
        <w:tc>
          <w:tcPr>
            <w:tcW w:w="67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1.在江东新区国债、中央资金、专项债和PPP项目领域谋划项目指导、资金支持项目包装、总体规划和专项规划实施评估、相关招商咨询服务工作等方面分析专业，理解明确且深刻、重点突出、完全满足本项目服务要求，得8-10分；</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color w:val="auto"/>
              </w:rPr>
            </w:pPr>
            <w:r>
              <w:rPr>
                <w:rFonts w:hint="eastAsia"/>
                <w:color w:val="auto"/>
              </w:rPr>
              <w:t>2.在江东新区国债、中央资金、专项债和PPP项目领域谋划项目指导、资金支持项目包装、总体规划和专项规划实施评估、相关招商咨询服务工作等方面分析比较专业、理解比较明确、比较满足本项目服务要求，得4-7分；</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3.在江东新区国债、中央资金、专项债和PPP项目领域谋划项目指导、资金支持项目包装、总体规划和专项规划实施评估、相关招商咨询服务工作方面分析一般，基本满足本项目服务要求，得1-3分。</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341" w:type="dxa"/>
            <w:vMerge w:val="continue"/>
            <w:tcBorders>
              <w:left w:val="single" w:color="auto" w:sz="4" w:space="0"/>
              <w:right w:val="single" w:color="auto" w:sz="4" w:space="0"/>
            </w:tcBorders>
            <w:noWrap/>
            <w:vAlign w:val="center"/>
          </w:tcPr>
          <w:p>
            <w:pPr>
              <w:jc w:val="both"/>
              <w:rPr>
                <w:color w:val="auto"/>
              </w:rPr>
            </w:pPr>
          </w:p>
        </w:tc>
        <w:tc>
          <w:tcPr>
            <w:tcW w:w="1779"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both"/>
              <w:rPr>
                <w:color w:val="auto"/>
              </w:rPr>
            </w:pPr>
            <w:r>
              <w:rPr>
                <w:rFonts w:hint="eastAsia"/>
                <w:color w:val="auto"/>
              </w:rPr>
              <w:t>项目工作流程把握及重点难点分析（10分）</w:t>
            </w:r>
          </w:p>
        </w:tc>
        <w:tc>
          <w:tcPr>
            <w:tcW w:w="67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1.对本项目工作流程有详细完善的论述，项目重点难点分析论述及对策合理、可行性强，完全满足本项目服务要求，得8-10分；</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2.对本项目工作流程有较详细完善的论述，项目重点难点分析论述及对策较详细，有一定操作性，比较满足本项目服务要求，得4-7分；</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3.对本项目工作流程、项目重点难点分析一般，基本满足服务要求，得1-3分。</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341" w:type="dxa"/>
            <w:vMerge w:val="continue"/>
            <w:tcBorders>
              <w:left w:val="single" w:color="auto" w:sz="4" w:space="0"/>
              <w:right w:val="single" w:color="auto" w:sz="4" w:space="0"/>
            </w:tcBorders>
            <w:noWrap/>
            <w:vAlign w:val="center"/>
          </w:tcPr>
          <w:p>
            <w:pPr>
              <w:jc w:val="both"/>
              <w:rPr>
                <w:color w:val="auto"/>
              </w:rPr>
            </w:pPr>
          </w:p>
        </w:tc>
        <w:tc>
          <w:tcPr>
            <w:tcW w:w="1779"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both"/>
              <w:rPr>
                <w:color w:val="auto"/>
              </w:rPr>
            </w:pPr>
            <w:r>
              <w:rPr>
                <w:rFonts w:hint="eastAsia"/>
                <w:color w:val="auto"/>
              </w:rPr>
              <w:t>项目进度安排及保障措施（5分）</w:t>
            </w:r>
          </w:p>
        </w:tc>
        <w:tc>
          <w:tcPr>
            <w:tcW w:w="67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1.针对本项目服务需求，制定全面、完整、系统的本地区咨询服务计划，拥有完善的项目进度和质量管理制度，可操作性强，项目保障措施科学合理，完全满足本项目进度安排及保障措施，得5分；2.针对本项目服务需求，制定较为全面、完整、系统的咨询服务计划，项目进度和质量管理制度较完善，可操作性较强，项目保障措施较为合理，有一定的可操作性，比较满足本项目进度安排及保障措施，得3分；</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3.对本项目项目进度安排及保障措施一般，基本满足项目进度安排及保障措施要求，得1分。</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341" w:type="dxa"/>
            <w:vMerge w:val="continue"/>
            <w:tcBorders>
              <w:left w:val="single" w:color="auto" w:sz="4" w:space="0"/>
              <w:right w:val="single" w:color="auto" w:sz="4" w:space="0"/>
            </w:tcBorders>
            <w:noWrap/>
            <w:vAlign w:val="center"/>
          </w:tcPr>
          <w:p>
            <w:pPr>
              <w:jc w:val="both"/>
              <w:rPr>
                <w:color w:val="auto"/>
              </w:rPr>
            </w:pPr>
          </w:p>
        </w:tc>
        <w:tc>
          <w:tcPr>
            <w:tcW w:w="1779"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both"/>
              <w:rPr>
                <w:color w:val="auto"/>
              </w:rPr>
            </w:pPr>
            <w:r>
              <w:rPr>
                <w:rFonts w:hint="eastAsia"/>
                <w:color w:val="auto"/>
              </w:rPr>
              <w:t>项目的组织协调安排与实施优化建议（5分）</w:t>
            </w:r>
          </w:p>
        </w:tc>
        <w:tc>
          <w:tcPr>
            <w:tcW w:w="67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1.项目的组织协调安排细致、合理，提出的项目优化建议内容全面完整，可操作性强，完全满足本项目组织协调安排与项目实施优化建议，得5分；</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2.咨询服务组织协调安排比较细致、合理，提出的优化建议较多，且较为合理，具有一定的操作性，比较满足本项目咨询服务组织协调安排与项目实施优化建议，得3分；</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3.咨询服务组织协调安排一般，提出的优化建议较少，操作性差，基本满足项目咨询服务组织协调安排与项目实施优化建议，得1分。4.未提供不得分。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341" w:type="dxa"/>
            <w:vMerge w:val="continue"/>
            <w:tcBorders>
              <w:left w:val="single" w:color="auto" w:sz="4" w:space="0"/>
              <w:bottom w:val="single" w:color="auto" w:sz="4" w:space="0"/>
              <w:right w:val="single" w:color="auto" w:sz="4" w:space="0"/>
            </w:tcBorders>
            <w:noWrap/>
            <w:vAlign w:val="center"/>
          </w:tcPr>
          <w:p>
            <w:pPr>
              <w:jc w:val="both"/>
              <w:rPr>
                <w:color w:val="auto"/>
              </w:rPr>
            </w:pPr>
          </w:p>
        </w:tc>
        <w:tc>
          <w:tcPr>
            <w:tcW w:w="1779"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both"/>
              <w:rPr>
                <w:color w:val="auto"/>
              </w:rPr>
            </w:pPr>
            <w:r>
              <w:rPr>
                <w:rFonts w:hint="eastAsia"/>
                <w:color w:val="auto"/>
              </w:rPr>
              <w:t>服务承诺（5分）</w:t>
            </w:r>
          </w:p>
        </w:tc>
        <w:tc>
          <w:tcPr>
            <w:tcW w:w="67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1.服务承诺针对性强，后续服务保证措施内容完善，服务响应时间及时，提供服务承诺完全满足本项目服务内容，得5分；</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2.服务承诺针对性较强，后续服务保证措施内容比较完善，服务响应时间一般，提供服务承诺比较满足本项目服务内容，得3分；</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3.服务承诺、后续服务保证措施内容一般，服务响应时间慢，提供服务承诺基本满足本项目服务内容，得1分。</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41" w:type="dxa"/>
            <w:vMerge w:val="restart"/>
            <w:tcBorders>
              <w:top w:val="single" w:color="auto" w:sz="4" w:space="0"/>
              <w:left w:val="single" w:color="auto" w:sz="4" w:space="0"/>
              <w:right w:val="single" w:color="auto" w:sz="4" w:space="0"/>
            </w:tcBorders>
            <w:noWrap/>
            <w:vAlign w:val="center"/>
          </w:tcPr>
          <w:p>
            <w:pPr>
              <w:ind w:left="0" w:leftChars="0" w:firstLine="0" w:firstLineChars="0"/>
              <w:jc w:val="both"/>
              <w:rPr>
                <w:color w:val="auto"/>
              </w:rPr>
            </w:pPr>
            <w:r>
              <w:rPr>
                <w:rFonts w:hint="eastAsia"/>
                <w:color w:val="auto"/>
              </w:rPr>
              <w:t>商务部分</w:t>
            </w:r>
          </w:p>
          <w:p>
            <w:pPr>
              <w:ind w:left="0" w:leftChars="0" w:firstLine="0" w:firstLineChars="0"/>
              <w:jc w:val="both"/>
              <w:rPr>
                <w:color w:val="auto"/>
              </w:rPr>
            </w:pPr>
            <w:r>
              <w:rPr>
                <w:rFonts w:hint="eastAsia"/>
                <w:color w:val="auto"/>
              </w:rPr>
              <w:t>（55分）</w:t>
            </w:r>
          </w:p>
          <w:p>
            <w:pPr>
              <w:jc w:val="center"/>
              <w:rPr>
                <w:color w:val="auto"/>
              </w:rPr>
            </w:pPr>
          </w:p>
        </w:tc>
        <w:tc>
          <w:tcPr>
            <w:tcW w:w="1779" w:type="dxa"/>
            <w:tcBorders>
              <w:top w:val="single" w:color="auto" w:sz="4" w:space="0"/>
              <w:left w:val="single" w:color="auto" w:sz="4" w:space="0"/>
              <w:bottom w:val="single" w:color="auto" w:sz="4" w:space="0"/>
              <w:right w:val="single" w:color="auto" w:sz="4" w:space="0"/>
            </w:tcBorders>
            <w:noWrap/>
            <w:vAlign w:val="center"/>
          </w:tcPr>
          <w:p>
            <w:pPr>
              <w:ind w:left="0" w:leftChars="0" w:firstLine="0" w:firstLineChars="0"/>
              <w:jc w:val="both"/>
              <w:rPr>
                <w:color w:val="auto"/>
              </w:rPr>
            </w:pPr>
            <w:r>
              <w:rPr>
                <w:rFonts w:hint="eastAsia"/>
                <w:color w:val="auto"/>
              </w:rPr>
              <w:t>项目业绩（30分）</w:t>
            </w:r>
          </w:p>
        </w:tc>
        <w:tc>
          <w:tcPr>
            <w:tcW w:w="67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自2020年1月1日以来，（1）承接省、市国债项目、中央资金项目谋划每提供一个项目得4分，专项债项目每个得2分，其他上级资金项目每个得1分。（2）上述申报项目成功获得政府部门资金拨付的，每提供一个得2分。本项最高得分30分。（承接项目佐证提供项目合同复印件加盖公章，成功申报佐证为省、市会议纪要、红头文件、发改财政部门对项目资金的批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41" w:type="dxa"/>
            <w:vMerge w:val="continue"/>
            <w:tcBorders>
              <w:left w:val="single" w:color="auto" w:sz="4" w:space="0"/>
              <w:bottom w:val="single" w:color="auto" w:sz="4" w:space="0"/>
              <w:right w:val="single" w:color="auto" w:sz="4" w:space="0"/>
            </w:tcBorders>
            <w:noWrap/>
            <w:vAlign w:val="center"/>
          </w:tcPr>
          <w:p>
            <w:pPr>
              <w:jc w:val="both"/>
              <w:rPr>
                <w:color w:val="auto"/>
              </w:rPr>
            </w:pPr>
          </w:p>
        </w:tc>
        <w:tc>
          <w:tcPr>
            <w:tcW w:w="1779"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both"/>
              <w:rPr>
                <w:color w:val="auto"/>
              </w:rPr>
            </w:pPr>
            <w:r>
              <w:rPr>
                <w:rFonts w:hint="eastAsia"/>
                <w:color w:val="auto"/>
              </w:rPr>
              <w:t>项目团队人员资质（25分）</w:t>
            </w:r>
          </w:p>
        </w:tc>
        <w:tc>
          <w:tcPr>
            <w:tcW w:w="67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rPr>
            </w:pPr>
            <w:r>
              <w:rPr>
                <w:rFonts w:hint="eastAsia"/>
                <w:color w:val="auto"/>
              </w:rPr>
              <w:t>项目团队人员：（1）项目负责人具有高级职称得3分，其他不得分。（2）团队成员至少包含20名曾经参与过省、市项目市政基础设施项目谋划或产业项目谋划的专业研究人员。拥有高级职称或咨询工程师（投资）执业资格其中一种的人员数量≥12人得22分；9—11人得15分，6-8人得8分，其他不得分。本项最高得25分。（注：提供相关证明材料：团队人员说明、身份证、职称证、执业资格证及近3个月单位缴纳社保证明材料复印件加盖公章）</w:t>
            </w:r>
          </w:p>
        </w:tc>
      </w:tr>
    </w:tbl>
    <w:p>
      <w:pPr>
        <w:pStyle w:val="11"/>
        <w:rPr>
          <w:color w:val="auto"/>
        </w:rPr>
        <w:sectPr>
          <w:pgSz w:w="11906" w:h="16838"/>
          <w:pgMar w:top="1440" w:right="1800" w:bottom="1440" w:left="1800" w:header="794" w:footer="992" w:gutter="0"/>
          <w:cols w:space="425" w:num="1"/>
          <w:docGrid w:type="lines" w:linePitch="312" w:charSpace="0"/>
        </w:sectPr>
      </w:pPr>
    </w:p>
    <w:p>
      <w:pPr>
        <w:pStyle w:val="11"/>
        <w:rPr>
          <w:color w:val="auto"/>
        </w:rPr>
      </w:pPr>
    </w:p>
    <w:p>
      <w:pPr>
        <w:ind w:firstLine="420"/>
        <w:rPr>
          <w:color w:val="auto"/>
        </w:rPr>
      </w:pPr>
    </w:p>
    <w:bookmarkEnd w:id="97"/>
    <w:p>
      <w:pPr>
        <w:adjustRightInd w:val="0"/>
        <w:snapToGrid w:val="0"/>
        <w:spacing w:line="360" w:lineRule="auto"/>
        <w:jc w:val="center"/>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第五章采购合同格式</w:t>
      </w:r>
    </w:p>
    <w:p>
      <w:pPr>
        <w:numPr>
          <w:ilvl w:val="0"/>
          <w:numId w:val="0"/>
        </w:numPr>
        <w:spacing w:line="560" w:lineRule="exact"/>
        <w:ind w:firstLine="422" w:firstLineChars="20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委托合同（范本）</w:t>
      </w:r>
    </w:p>
    <w:p>
      <w:pPr>
        <w:spacing w:line="560" w:lineRule="exact"/>
        <w:ind w:firstLine="420" w:firstLineChars="200"/>
        <w:rPr>
          <w:color w:val="auto"/>
        </w:rPr>
      </w:pPr>
    </w:p>
    <w:p>
      <w:pPr>
        <w:spacing w:line="560" w:lineRule="exact"/>
        <w:ind w:firstLine="420" w:firstLineChars="200"/>
        <w:rPr>
          <w:color w:val="auto"/>
        </w:rPr>
      </w:pPr>
      <w:r>
        <w:rPr>
          <w:rFonts w:hint="eastAsia"/>
          <w:color w:val="auto"/>
        </w:rPr>
        <w:t>名称：2024-2025年度项目谋划咨询服务采购合同</w:t>
      </w:r>
    </w:p>
    <w:p>
      <w:pPr>
        <w:spacing w:line="560" w:lineRule="exact"/>
        <w:ind w:firstLine="420" w:firstLineChars="200"/>
        <w:rPr>
          <w:color w:val="auto"/>
        </w:rPr>
      </w:pPr>
      <w:r>
        <w:rPr>
          <w:rFonts w:hint="eastAsia"/>
          <w:color w:val="auto"/>
        </w:rPr>
        <w:t>委托方（甲方)：海口江东新区管理局</w:t>
      </w:r>
    </w:p>
    <w:p>
      <w:pPr>
        <w:spacing w:line="560" w:lineRule="exact"/>
        <w:ind w:firstLine="420" w:firstLineChars="200"/>
        <w:rPr>
          <w:color w:val="auto"/>
        </w:rPr>
      </w:pPr>
      <w:r>
        <w:rPr>
          <w:rFonts w:hint="eastAsia"/>
          <w:color w:val="auto"/>
        </w:rPr>
        <w:t>被委托方（乙方)：[乙方单位名称]</w:t>
      </w:r>
    </w:p>
    <w:p>
      <w:pPr>
        <w:spacing w:line="560" w:lineRule="exact"/>
        <w:ind w:firstLine="420" w:firstLineChars="200"/>
        <w:rPr>
          <w:color w:val="auto"/>
        </w:rPr>
      </w:pPr>
      <w:r>
        <w:rPr>
          <w:rFonts w:hint="eastAsia"/>
          <w:color w:val="auto"/>
        </w:rPr>
        <w:t>签订地点：海南省海口市</w:t>
      </w:r>
    </w:p>
    <w:p>
      <w:pPr>
        <w:spacing w:line="560" w:lineRule="exact"/>
        <w:ind w:firstLine="420" w:firstLineChars="200"/>
        <w:rPr>
          <w:color w:val="auto"/>
        </w:rPr>
      </w:pPr>
      <w:r>
        <w:rPr>
          <w:rFonts w:hint="eastAsia"/>
          <w:color w:val="auto"/>
        </w:rPr>
        <w:t>签订时间：XXXX年XX月XX日</w:t>
      </w:r>
    </w:p>
    <w:p>
      <w:pPr>
        <w:spacing w:line="560" w:lineRule="exact"/>
        <w:ind w:firstLine="420" w:firstLineChars="200"/>
        <w:rPr>
          <w:color w:val="auto"/>
        </w:rPr>
      </w:pPr>
      <w:r>
        <w:rPr>
          <w:rFonts w:hint="eastAsia"/>
          <w:color w:val="auto"/>
        </w:rPr>
        <w:t>甲方委托乙方进行项目谋划咨询服务工作，依据《中华人民共和国民法典》等法律法规，经双方协商一致，达成以下协议，并由双方共同恪守。</w:t>
      </w:r>
    </w:p>
    <w:p>
      <w:pPr>
        <w:spacing w:line="560" w:lineRule="exact"/>
        <w:ind w:firstLine="422" w:firstLineChars="200"/>
        <w:rPr>
          <w:b/>
          <w:bCs/>
          <w:color w:val="auto"/>
        </w:rPr>
      </w:pPr>
      <w:r>
        <w:rPr>
          <w:rFonts w:hint="eastAsia"/>
          <w:b/>
          <w:bCs/>
          <w:color w:val="auto"/>
        </w:rPr>
        <w:t>第一条 研究的内容、要求和方式</w:t>
      </w:r>
    </w:p>
    <w:p>
      <w:pPr>
        <w:spacing w:line="560" w:lineRule="exact"/>
        <w:ind w:firstLine="420" w:firstLineChars="200"/>
        <w:rPr>
          <w:color w:val="auto"/>
        </w:rPr>
      </w:pPr>
      <w:r>
        <w:rPr>
          <w:rFonts w:hint="eastAsia"/>
          <w:color w:val="auto"/>
        </w:rPr>
        <w:t>1、研究内容：为贯彻落实省政府的专项行动工作部署，有效推进市政府的重点工作落实和目标任务完成，结合江东新区总体规划、专项规划、“十四五”规划、产业发展规划、海口江东新区总体规划实施评估阶段性成果，围绕国债、中央资金、专项债等政府资金投向领域和PPP项目策划包装等，乙方需策划生成和包装一批高质量高标准的建设项目，助推江东新区建设，谋划总投资不低于200亿元的建设项目（含政府投资和社会投资、PPP项目，其中政府投资占比应达到80%或以上），包装项目个数不低于50个（政府投资不低于40个，社会投资不低于8个，ppp项目不低于2个），全年开展项目谋划培训至少5次。</w:t>
      </w:r>
    </w:p>
    <w:p>
      <w:pPr>
        <w:spacing w:line="560" w:lineRule="exact"/>
        <w:ind w:firstLine="420" w:firstLineChars="200"/>
        <w:rPr>
          <w:color w:val="auto"/>
        </w:rPr>
      </w:pPr>
      <w:r>
        <w:rPr>
          <w:rFonts w:hint="eastAsia"/>
          <w:color w:val="auto"/>
        </w:rPr>
        <w:t>2、研究方式：由乙方负责组织有关专业技术人员进行调查、整理、收集有关技术资料，编制报告，提供书面报告材料及项目清单，参加有关会议，解释报告内容。</w:t>
      </w:r>
    </w:p>
    <w:p>
      <w:pPr>
        <w:spacing w:line="560" w:lineRule="exact"/>
        <w:ind w:firstLine="420" w:firstLineChars="200"/>
        <w:rPr>
          <w:color w:val="auto"/>
        </w:rPr>
      </w:pPr>
      <w:r>
        <w:rPr>
          <w:rFonts w:hint="eastAsia"/>
          <w:color w:val="auto"/>
        </w:rPr>
        <w:t>3、研究要求：乙方向甲方正式提交工作计划，列明工作推进时间表。研究报告应按照国家及相关的行业标准、规程、规范、技术条例进行编制。</w:t>
      </w:r>
    </w:p>
    <w:p>
      <w:pPr>
        <w:spacing w:line="560" w:lineRule="exact"/>
        <w:ind w:firstLine="422" w:firstLineChars="200"/>
        <w:rPr>
          <w:b/>
          <w:bCs/>
          <w:color w:val="auto"/>
        </w:rPr>
      </w:pPr>
      <w:r>
        <w:rPr>
          <w:rFonts w:hint="eastAsia"/>
          <w:b/>
          <w:bCs/>
          <w:color w:val="auto"/>
        </w:rPr>
        <w:t xml:space="preserve">第二条 </w:t>
      </w:r>
      <w:bookmarkStart w:id="98" w:name="_Hlk164373635"/>
      <w:r>
        <w:rPr>
          <w:rFonts w:hint="eastAsia"/>
          <w:b/>
          <w:bCs/>
          <w:color w:val="auto"/>
        </w:rPr>
        <w:t>研究的工作进度</w:t>
      </w:r>
      <w:bookmarkEnd w:id="98"/>
    </w:p>
    <w:p>
      <w:pPr>
        <w:spacing w:line="560" w:lineRule="exact"/>
        <w:ind w:firstLine="420" w:firstLineChars="200"/>
        <w:rPr>
          <w:color w:val="auto"/>
        </w:rPr>
      </w:pPr>
      <w:r>
        <w:rPr>
          <w:rFonts w:hint="eastAsia"/>
          <w:color w:val="auto"/>
        </w:rPr>
        <w:t>2024年4月底至5月底，乙方完成收集整理资料，确认对口行业主管部门对接联系人，形成工作计划、任务目标，与江东新区管理局协同开展现场调研工作。</w:t>
      </w:r>
    </w:p>
    <w:p>
      <w:pPr>
        <w:spacing w:line="560" w:lineRule="exact"/>
        <w:ind w:firstLine="420" w:firstLineChars="200"/>
        <w:rPr>
          <w:color w:val="auto"/>
        </w:rPr>
      </w:pPr>
      <w:r>
        <w:rPr>
          <w:rFonts w:hint="eastAsia"/>
          <w:color w:val="auto"/>
        </w:rPr>
        <w:t>2024年5月底至6月底，乙方形成各领域研究成果初稿，组织相关行业专家、产业链长企业、重点企业召开系列研讨会，6月底前根据专家和企业反馈意见，对报告进行提升优化。</w:t>
      </w:r>
    </w:p>
    <w:p>
      <w:pPr>
        <w:spacing w:line="560" w:lineRule="exact"/>
        <w:ind w:firstLine="420" w:firstLineChars="200"/>
        <w:rPr>
          <w:color w:val="auto"/>
        </w:rPr>
      </w:pPr>
      <w:r>
        <w:rPr>
          <w:rFonts w:hint="eastAsia"/>
          <w:color w:val="auto"/>
        </w:rPr>
        <w:t>2024年8月底前，乙方应交付成果，并组织专家验收、根据专家意见进行修改，直至通过专家验收。</w:t>
      </w:r>
    </w:p>
    <w:p>
      <w:pPr>
        <w:spacing w:line="560" w:lineRule="exact"/>
        <w:ind w:firstLine="420" w:firstLineChars="200"/>
        <w:rPr>
          <w:color w:val="auto"/>
        </w:rPr>
      </w:pPr>
      <w:r>
        <w:rPr>
          <w:rFonts w:hint="eastAsia"/>
          <w:color w:val="auto"/>
        </w:rPr>
        <w:t>2024年9月底前，乙方需对报告进一步修改完善，申请纳入政府投资计划。</w:t>
      </w:r>
    </w:p>
    <w:p>
      <w:pPr>
        <w:spacing w:line="560" w:lineRule="exact"/>
        <w:ind w:firstLine="420" w:firstLineChars="200"/>
        <w:rPr>
          <w:rFonts w:hint="eastAsia"/>
          <w:color w:val="auto"/>
        </w:rPr>
      </w:pPr>
      <w:r>
        <w:rPr>
          <w:rFonts w:hint="eastAsia"/>
          <w:color w:val="auto"/>
        </w:rPr>
        <w:t>具体进度根据国债、中央资金、专项债申报时间及通知要求，以及</w:t>
      </w:r>
      <w:r>
        <w:rPr>
          <w:rFonts w:hint="eastAsia"/>
          <w:bCs/>
          <w:color w:val="auto"/>
        </w:rPr>
        <w:t>PPP项目相关规定和最新要求</w:t>
      </w:r>
      <w:r>
        <w:rPr>
          <w:rFonts w:hint="eastAsia"/>
          <w:color w:val="auto"/>
        </w:rPr>
        <w:t>进行调整，项目谋划咨询单位应予以积极配合。工作开始后，乙方应每周向甲方报告工作进展情况。</w:t>
      </w:r>
      <w:bookmarkStart w:id="99" w:name="_Hlk164373738"/>
      <w:r>
        <w:rPr>
          <w:rFonts w:hint="eastAsia"/>
          <w:color w:val="auto"/>
        </w:rPr>
        <w:t>本合同项下</w:t>
      </w:r>
      <w:bookmarkStart w:id="100" w:name="_Hlk164373661"/>
      <w:r>
        <w:rPr>
          <w:rFonts w:hint="eastAsia"/>
          <w:color w:val="auto"/>
        </w:rPr>
        <w:t>国债、中央资金、专项债申报等专项资金申报成功项目</w:t>
      </w:r>
      <w:bookmarkEnd w:id="100"/>
      <w:r>
        <w:rPr>
          <w:rFonts w:hint="eastAsia"/>
          <w:color w:val="auto"/>
        </w:rPr>
        <w:t>数量以2025年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日前甲方确认的统计结果为准，超过2025年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日后续项目即使再次申报成功也不计入乙方申报成功范围内。</w:t>
      </w:r>
      <w:bookmarkEnd w:id="99"/>
    </w:p>
    <w:p>
      <w:pPr>
        <w:widowControl w:val="0"/>
        <w:ind w:firstLine="422"/>
        <w:jc w:val="both"/>
        <w:rPr>
          <w:rFonts w:hint="eastAsia" w:eastAsia="宋体"/>
          <w:b/>
          <w:bCs/>
          <w:color w:val="auto"/>
          <w:kern w:val="2"/>
          <w:sz w:val="21"/>
          <w:szCs w:val="24"/>
          <w:lang w:val="en-US" w:eastAsia="zh-CN" w:bidi="ar-SA"/>
        </w:rPr>
      </w:pPr>
      <w:r>
        <w:rPr>
          <w:rFonts w:hint="eastAsia" w:eastAsia="宋体"/>
          <w:b/>
          <w:bCs/>
          <w:color w:val="auto"/>
          <w:kern w:val="2"/>
          <w:sz w:val="21"/>
          <w:szCs w:val="24"/>
          <w:lang w:val="en-US" w:eastAsia="zh-CN" w:bidi="ar-SA"/>
        </w:rPr>
        <w:t>第三条</w:t>
      </w:r>
      <w:r>
        <w:rPr>
          <w:rFonts w:hint="eastAsia" w:ascii="Times New Roman" w:hAnsi="Times New Roman" w:eastAsia="宋体" w:cs="Times New Roman"/>
          <w:b/>
          <w:bCs/>
          <w:color w:val="auto"/>
          <w:kern w:val="2"/>
          <w:sz w:val="21"/>
          <w:szCs w:val="24"/>
          <w:lang w:val="en-US" w:eastAsia="zh-CN" w:bidi="ar-SA"/>
        </w:rPr>
        <w:t xml:space="preserve"> </w:t>
      </w:r>
      <w:r>
        <w:rPr>
          <w:rFonts w:hint="eastAsia" w:eastAsia="宋体"/>
          <w:b/>
          <w:bCs/>
          <w:color w:val="auto"/>
          <w:kern w:val="2"/>
          <w:sz w:val="21"/>
          <w:szCs w:val="24"/>
          <w:lang w:val="en-US" w:eastAsia="zh-CN" w:bidi="ar-SA"/>
        </w:rPr>
        <w:t>甲方权利义务</w:t>
      </w:r>
    </w:p>
    <w:p>
      <w:pPr>
        <w:spacing w:line="560" w:lineRule="exact"/>
        <w:ind w:firstLine="420" w:firstLineChars="200"/>
        <w:rPr>
          <w:color w:val="auto"/>
        </w:rPr>
      </w:pPr>
      <w:r>
        <w:rPr>
          <w:rFonts w:hint="eastAsia"/>
          <w:color w:val="auto"/>
        </w:rPr>
        <w:t>1、甲方有义务协助乙方收集资料，并为乙方的调研工作致函相关部门，召集相关部门和企业召开会议；</w:t>
      </w:r>
    </w:p>
    <w:p>
      <w:pPr>
        <w:spacing w:line="560" w:lineRule="exact"/>
        <w:ind w:firstLine="420" w:firstLineChars="200"/>
        <w:rPr>
          <w:color w:val="auto"/>
        </w:rPr>
      </w:pPr>
      <w:r>
        <w:rPr>
          <w:rFonts w:hint="eastAsia"/>
          <w:color w:val="auto"/>
        </w:rPr>
        <w:t>2、甲方对双方提出有保密要求的资料和文件负有保密义务；</w:t>
      </w:r>
    </w:p>
    <w:p>
      <w:pPr>
        <w:spacing w:line="560" w:lineRule="exact"/>
        <w:ind w:firstLine="420" w:firstLineChars="200"/>
        <w:rPr>
          <w:color w:val="auto"/>
        </w:rPr>
      </w:pPr>
      <w:r>
        <w:rPr>
          <w:rFonts w:hint="eastAsia"/>
          <w:color w:val="auto"/>
        </w:rPr>
        <w:t>3、甲方负责组织研究报告的结题审定工作。</w:t>
      </w:r>
    </w:p>
    <w:p>
      <w:pPr>
        <w:spacing w:line="560" w:lineRule="exact"/>
        <w:ind w:firstLine="420" w:firstLineChars="200"/>
        <w:rPr>
          <w:color w:val="auto"/>
        </w:rPr>
      </w:pPr>
      <w:r>
        <w:rPr>
          <w:rFonts w:hint="eastAsia"/>
          <w:color w:val="auto"/>
        </w:rPr>
        <w:t>第四条 乙方权利义务</w:t>
      </w:r>
    </w:p>
    <w:p>
      <w:pPr>
        <w:spacing w:line="560" w:lineRule="exact"/>
        <w:ind w:firstLine="420" w:firstLineChars="200"/>
        <w:rPr>
          <w:color w:val="auto"/>
        </w:rPr>
      </w:pPr>
      <w:r>
        <w:rPr>
          <w:rFonts w:hint="eastAsia"/>
          <w:color w:val="auto"/>
        </w:rPr>
        <w:t>1、乙方应根据合同明确的工作内容和范围开展工作；</w:t>
      </w:r>
    </w:p>
    <w:p>
      <w:pPr>
        <w:spacing w:line="560" w:lineRule="exact"/>
        <w:ind w:firstLine="420" w:firstLineChars="200"/>
        <w:rPr>
          <w:color w:val="auto"/>
        </w:rPr>
      </w:pPr>
      <w:r>
        <w:rPr>
          <w:rFonts w:hint="eastAsia"/>
          <w:color w:val="auto"/>
        </w:rPr>
        <w:t>2、乙方应按照进度开展研究、提交成果，并保证工作质量；</w:t>
      </w:r>
    </w:p>
    <w:p>
      <w:pPr>
        <w:spacing w:line="560" w:lineRule="exact"/>
        <w:ind w:firstLine="420" w:firstLineChars="200"/>
        <w:rPr>
          <w:color w:val="auto"/>
        </w:rPr>
      </w:pPr>
      <w:r>
        <w:rPr>
          <w:rFonts w:hint="eastAsia"/>
          <w:color w:val="auto"/>
        </w:rPr>
        <w:t>3、乙方对双方提出有保密要求的资料和文件负有保密义务；</w:t>
      </w:r>
    </w:p>
    <w:p>
      <w:pPr>
        <w:spacing w:line="560" w:lineRule="exact"/>
        <w:ind w:firstLine="420" w:firstLineChars="200"/>
        <w:rPr>
          <w:color w:val="auto"/>
        </w:rPr>
      </w:pPr>
      <w:r>
        <w:rPr>
          <w:rFonts w:hint="eastAsia"/>
          <w:color w:val="auto"/>
        </w:rPr>
        <w:t>4、乙方应接受评审，并协同甲方做好解释和汇报工作。对于专家评审意见和甲方提出的修改要求，乙方有义务配合修改。</w:t>
      </w:r>
    </w:p>
    <w:p>
      <w:pPr>
        <w:ind w:firstLine="562"/>
        <w:rPr>
          <w:color w:val="auto"/>
        </w:rPr>
      </w:pPr>
      <w:r>
        <w:rPr>
          <w:rFonts w:hint="eastAsia"/>
          <w:color w:val="auto"/>
        </w:rPr>
        <w:t>5、乙方不得未经甲方同意部分或全部转让合同权利义务，也不得与甲方或关联方等单位发生不正当利益输送；</w:t>
      </w:r>
    </w:p>
    <w:p>
      <w:pPr>
        <w:ind w:firstLine="562"/>
        <w:rPr>
          <w:rFonts w:hint="eastAsia"/>
          <w:color w:val="auto"/>
        </w:rPr>
      </w:pPr>
      <w:r>
        <w:rPr>
          <w:rFonts w:hint="eastAsia"/>
          <w:color w:val="auto"/>
        </w:rPr>
        <w:t>6、乙方提交的成果不得违反法律、法规及现行国家、地区及行业有关规范和标准或侵犯任何第三方权利。</w:t>
      </w:r>
    </w:p>
    <w:p>
      <w:pPr>
        <w:spacing w:line="560" w:lineRule="exact"/>
        <w:ind w:firstLine="420" w:firstLineChars="200"/>
        <w:rPr>
          <w:color w:val="auto"/>
        </w:rPr>
      </w:pPr>
      <w:r>
        <w:rPr>
          <w:rFonts w:hint="eastAsia"/>
          <w:color w:val="auto"/>
        </w:rPr>
        <w:t>第五条 研究报酬及支付方式</w:t>
      </w:r>
    </w:p>
    <w:p>
      <w:pPr>
        <w:spacing w:line="560" w:lineRule="exact"/>
        <w:ind w:firstLine="420" w:firstLineChars="200"/>
        <w:rPr>
          <w:color w:val="auto"/>
        </w:rPr>
      </w:pPr>
      <w:r>
        <w:rPr>
          <w:rFonts w:hint="eastAsia"/>
          <w:color w:val="auto"/>
        </w:rPr>
        <w:t>1、研究报酬总额（含税价）为人民币（大写）：________整元整（￥________元）；</w:t>
      </w:r>
    </w:p>
    <w:p>
      <w:pPr>
        <w:spacing w:line="560" w:lineRule="exact"/>
        <w:ind w:firstLine="420" w:firstLineChars="200"/>
        <w:rPr>
          <w:color w:val="auto"/>
        </w:rPr>
      </w:pPr>
      <w:r>
        <w:rPr>
          <w:rFonts w:hint="eastAsia"/>
          <w:color w:val="auto"/>
        </w:rPr>
        <w:t>2、研究报酬由甲方分三次支付给乙方，具体支付方式和时间如下：</w:t>
      </w:r>
    </w:p>
    <w:p>
      <w:pPr>
        <w:spacing w:line="560" w:lineRule="exact"/>
        <w:ind w:firstLine="420" w:firstLineChars="200"/>
        <w:rPr>
          <w:color w:val="auto"/>
        </w:rPr>
      </w:pPr>
      <w:r>
        <w:rPr>
          <w:rFonts w:hint="eastAsia"/>
          <w:color w:val="auto"/>
        </w:rPr>
        <w:t>(1)本合同签订后30个工作日内，甲方支付给乙方合同费用的30%，即￥________元，大写人民币________整；</w:t>
      </w:r>
    </w:p>
    <w:p>
      <w:pPr>
        <w:spacing w:line="560" w:lineRule="exact"/>
        <w:ind w:firstLine="420" w:firstLineChars="200"/>
        <w:rPr>
          <w:color w:val="auto"/>
        </w:rPr>
      </w:pPr>
      <w:r>
        <w:rPr>
          <w:rFonts w:hint="eastAsia"/>
          <w:color w:val="auto"/>
        </w:rPr>
        <w:t>(2)乙方提交了全部研究成果，即同时满足谋划总投资不低于200亿元的建设项目（含政府投资和社会投资、PPP项目，其中政府投资占比应达到80%或以上），包装项目个数不低于50个（政府投资不低于40个，社会投资不低于8个，ppp项目不低于2个），全年开展项目谋划培训至少5次，并通过专家评审及江东管理局验收后30个工作日内，甲方将按照以下方式支付给乙方合同费用的40%，即￥________元（大写人民币________整），如在合同约定期限内乙方所谋划项目的个数和总投资额及培训次数未达到约定、或无法通过专家评审或江东管理局验收，本阶段费用将不支付。</w:t>
      </w:r>
    </w:p>
    <w:p>
      <w:pPr>
        <w:numPr>
          <w:ilvl w:val="0"/>
          <w:numId w:val="0"/>
        </w:numPr>
        <w:spacing w:line="560" w:lineRule="exact"/>
        <w:ind w:firstLine="420" w:firstLineChars="200"/>
        <w:rPr>
          <w:color w:val="auto"/>
        </w:rPr>
      </w:pPr>
      <w:r>
        <w:rPr>
          <w:rFonts w:hint="eastAsia"/>
          <w:color w:val="auto"/>
        </w:rPr>
        <w:t>(3)剩余30%余款（即￥________元，________整），甲方将根据投资项目申报国债、中央资金、专项债等上级专项资金投资额申报成功率（以下简称申报成功率，其中ppp项目以合同期内国家上级专项资金申报要求为准，如不在申报支持领域范围内，则扣除ppp项目个数再进行考核）及PPP项目建设模式获市政府批复情况进行支付，具体考核支付条款如下：</w:t>
      </w:r>
    </w:p>
    <w:p>
      <w:pPr>
        <w:spacing w:line="560" w:lineRule="exact"/>
        <w:ind w:firstLine="420" w:firstLineChars="200"/>
        <w:rPr>
          <w:color w:val="auto"/>
        </w:rPr>
      </w:pPr>
      <w:r>
        <w:rPr>
          <w:rFonts w:hint="eastAsia"/>
          <w:color w:val="auto"/>
        </w:rPr>
        <w:t>（a）若2024-2025年度经甲方确认的成功申报的各类项目申报成功率（按项目个数计算）达到100%，且所有PPP项目均通过市政府批复，甲方将在30个工作日内支付给乙方剩余合同费用的100%，即￥________元，大写人民币________整；若存在PPP项目建设模式未通过市政府批复的情况，甲方将对每个未达标的PPP项目在该档次应支付金额的基础上额外扣减5%的费用。</w:t>
      </w:r>
    </w:p>
    <w:p>
      <w:pPr>
        <w:spacing w:line="560" w:lineRule="exact"/>
        <w:ind w:firstLine="420" w:firstLineChars="200"/>
        <w:rPr>
          <w:color w:val="auto"/>
        </w:rPr>
      </w:pPr>
      <w:r>
        <w:rPr>
          <w:rFonts w:hint="eastAsia"/>
          <w:color w:val="auto"/>
        </w:rPr>
        <w:t>（b）若2024-2025年度经甲方确认的成功申报的各类项目申报成功率（按项目个数计算）70%至100%（不含）之间，且所有PPP项目均通过市政府批复，甲方将在30个工作日内支付给乙方剩余合同费用的70%，即￥________元，大写人民币________整；若存在PPP项目建设模式未通过市政府批复的情况，甲方将对每个未达标的PPP项目在该档次应支付金额的基础上额外扣减5%的费用。</w:t>
      </w:r>
    </w:p>
    <w:p>
      <w:pPr>
        <w:spacing w:line="560" w:lineRule="exact"/>
        <w:ind w:firstLine="420" w:firstLineChars="200"/>
        <w:rPr>
          <w:color w:val="auto"/>
        </w:rPr>
      </w:pPr>
      <w:r>
        <w:rPr>
          <w:rFonts w:hint="eastAsia"/>
          <w:color w:val="auto"/>
        </w:rPr>
        <w:t>（c）若2024-2025年度经甲方确认的成功申报的项目申报成功率（按项目个数计算）达到50%至70%（不含）之间，且所有PPP项目均通过市政府批复，甲方将在30个工作日内支付给乙方剩余合同费用的50%，即￥________元（大写人民币________整）；若存在PPP项目建设模式未通过市政府批复的情况，甲方将对每个未达标的PPP项目在该档次应支付金额的基础上额外扣减5%的费用。</w:t>
      </w:r>
      <w:r>
        <w:rPr>
          <w:rFonts w:hint="eastAsia"/>
          <w:color w:val="auto"/>
        </w:rPr>
        <w:tab/>
      </w:r>
    </w:p>
    <w:p>
      <w:pPr>
        <w:spacing w:line="560" w:lineRule="exact"/>
        <w:ind w:firstLine="420" w:firstLineChars="200"/>
        <w:rPr>
          <w:color w:val="auto"/>
        </w:rPr>
      </w:pPr>
      <w:r>
        <w:rPr>
          <w:rFonts w:hint="eastAsia"/>
          <w:color w:val="auto"/>
        </w:rPr>
        <w:t>若2024-2025年度</w:t>
      </w:r>
      <w:r>
        <w:rPr>
          <w:rFonts w:hint="eastAsia" w:ascii="Times New Roman" w:hAnsi="Times New Roman" w:eastAsia="宋体" w:cs="Times New Roman"/>
          <w:color w:val="auto"/>
          <w:sz w:val="21"/>
          <w:szCs w:val="24"/>
          <w:shd w:val="clear" w:color="auto" w:fill="auto"/>
        </w:rPr>
        <w:t>经甲方确认的成功申报的项目</w:t>
      </w:r>
      <w:r>
        <w:rPr>
          <w:rFonts w:hint="eastAsia"/>
          <w:color w:val="auto"/>
        </w:rPr>
        <w:t>申报成功率（按项目个数计算）达到30%至50%（不含）之间，且所有PPP项目均通过市政府批复，甲方将在30个工作日内支付给乙方剩余合同费用的30%，即￥________元（大写人民币________整）；若存在PPP项目建设模式未通过市政府批复的情况，甲方将对每个未达标的PPP项目在该档次应支付金额的基础上额外扣减5%的费用。</w:t>
      </w:r>
    </w:p>
    <w:p>
      <w:pPr>
        <w:spacing w:line="560" w:lineRule="exact"/>
        <w:ind w:firstLine="420" w:firstLineChars="200"/>
        <w:rPr>
          <w:color w:val="auto"/>
        </w:rPr>
      </w:pPr>
      <w:r>
        <w:rPr>
          <w:rFonts w:hint="eastAsia"/>
          <w:color w:val="auto"/>
        </w:rPr>
        <w:t>（d）若2024-2025年度</w:t>
      </w:r>
      <w:r>
        <w:rPr>
          <w:rFonts w:hint="eastAsia" w:ascii="Times New Roman" w:hAnsi="Times New Roman" w:eastAsia="宋体" w:cs="Times New Roman"/>
          <w:color w:val="auto"/>
          <w:sz w:val="21"/>
          <w:szCs w:val="24"/>
          <w:shd w:val="clear" w:color="auto" w:fill="auto"/>
        </w:rPr>
        <w:t>经甲方确认的成功申报的项目</w:t>
      </w:r>
      <w:r>
        <w:rPr>
          <w:rFonts w:hint="eastAsia"/>
          <w:color w:val="auto"/>
        </w:rPr>
        <w:t>申报成功率（按项目个数计算）达到20%至30%（不含）之间，且所有PPP项目均已经获得市政府的批复，甲方将在30个工作日内支付给乙方剩余合同费用的20%，即￥________元（大写人民币________元整）；若存在PPP项目建设模式未通过市政府批复的情况，甲方将对每个未达标的PPP项目在该档次应支付金额的基础上额外扣减5%的费用。</w:t>
      </w:r>
    </w:p>
    <w:p>
      <w:pPr>
        <w:spacing w:line="560" w:lineRule="exact"/>
        <w:ind w:firstLine="420" w:firstLineChars="200"/>
        <w:rPr>
          <w:color w:val="auto"/>
        </w:rPr>
      </w:pPr>
      <w:r>
        <w:rPr>
          <w:rFonts w:hint="eastAsia"/>
          <w:color w:val="auto"/>
        </w:rPr>
        <w:t>若2024-2025年度</w:t>
      </w:r>
      <w:r>
        <w:rPr>
          <w:rFonts w:hint="eastAsia" w:ascii="Times New Roman" w:hAnsi="Times New Roman" w:eastAsia="宋体" w:cs="Times New Roman"/>
          <w:color w:val="auto"/>
          <w:sz w:val="21"/>
          <w:szCs w:val="24"/>
          <w:shd w:val="clear" w:color="auto" w:fill="auto"/>
        </w:rPr>
        <w:t>经甲方确认的成功申报的项目</w:t>
      </w:r>
      <w:r>
        <w:rPr>
          <w:rFonts w:hint="eastAsia"/>
          <w:color w:val="auto"/>
        </w:rPr>
        <w:t>申报成功率（按项目个数计算）低于20%（不含），甲方不支付剩余合同费用。</w:t>
      </w:r>
    </w:p>
    <w:p>
      <w:pPr>
        <w:spacing w:line="560" w:lineRule="exact"/>
        <w:ind w:firstLine="420" w:firstLineChars="200"/>
        <w:rPr>
          <w:color w:val="auto"/>
        </w:rPr>
      </w:pPr>
    </w:p>
    <w:p>
      <w:pPr>
        <w:spacing w:line="560" w:lineRule="exact"/>
        <w:ind w:firstLine="420" w:firstLineChars="200"/>
        <w:rPr>
          <w:color w:val="auto"/>
        </w:rPr>
      </w:pPr>
      <w:r>
        <w:rPr>
          <w:rFonts w:hint="eastAsia"/>
          <w:color w:val="auto"/>
        </w:rPr>
        <w:t>乙方的开户银行名称、地址和账号为：</w:t>
      </w:r>
    </w:p>
    <w:p>
      <w:pPr>
        <w:spacing w:line="560" w:lineRule="exact"/>
        <w:ind w:firstLine="420" w:firstLineChars="200"/>
        <w:rPr>
          <w:color w:val="auto"/>
        </w:rPr>
      </w:pPr>
      <w:r>
        <w:rPr>
          <w:rFonts w:hint="eastAsia"/>
          <w:color w:val="auto"/>
        </w:rPr>
        <w:t>账户名称：__________________</w:t>
      </w:r>
    </w:p>
    <w:p>
      <w:pPr>
        <w:spacing w:line="560" w:lineRule="exact"/>
        <w:ind w:firstLine="420" w:firstLineChars="200"/>
        <w:rPr>
          <w:color w:val="auto"/>
        </w:rPr>
      </w:pPr>
      <w:r>
        <w:rPr>
          <w:rFonts w:hint="eastAsia"/>
          <w:color w:val="auto"/>
        </w:rPr>
        <w:t>开户银行：__________________</w:t>
      </w:r>
    </w:p>
    <w:p>
      <w:pPr>
        <w:spacing w:line="560" w:lineRule="exact"/>
        <w:ind w:firstLine="420" w:firstLineChars="200"/>
        <w:rPr>
          <w:color w:val="auto"/>
        </w:rPr>
      </w:pPr>
      <w:r>
        <w:rPr>
          <w:rFonts w:hint="eastAsia"/>
          <w:color w:val="auto"/>
        </w:rPr>
        <w:t>银行账号：__________________</w:t>
      </w:r>
    </w:p>
    <w:p>
      <w:pPr>
        <w:spacing w:line="560" w:lineRule="exact"/>
        <w:ind w:firstLine="420" w:firstLineChars="200"/>
        <w:rPr>
          <w:color w:val="auto"/>
        </w:rPr>
      </w:pPr>
      <w:r>
        <w:rPr>
          <w:rFonts w:hint="eastAsia"/>
          <w:color w:val="auto"/>
          <w:lang w:val="en-US" w:eastAsia="zh-CN"/>
        </w:rPr>
        <w:t>3、</w:t>
      </w:r>
      <w:r>
        <w:rPr>
          <w:rFonts w:hint="eastAsia"/>
          <w:color w:val="auto"/>
        </w:rPr>
        <w:t>乙方为完成上述工作发生的交通、会议、食宿、聘请专家、查档、调研等费用由乙方自行承担</w:t>
      </w:r>
      <w:r>
        <w:rPr>
          <w:rFonts w:hint="eastAsia"/>
          <w:color w:val="auto"/>
          <w:lang w:eastAsia="zh-CN"/>
        </w:rPr>
        <w:t>，</w:t>
      </w:r>
      <w:r>
        <w:rPr>
          <w:rFonts w:hint="eastAsia"/>
          <w:color w:val="auto"/>
          <w:lang w:val="en-US" w:eastAsia="zh-CN"/>
        </w:rPr>
        <w:t>甲方除根据合同第五条第1、2款约定支付费用外，甲方不再支付任何其他费用</w:t>
      </w:r>
      <w:r>
        <w:rPr>
          <w:rFonts w:hint="eastAsia"/>
          <w:color w:val="auto"/>
        </w:rPr>
        <w:t>。甲方付款之前，乙方应提供相同金额的正式发票，否则甲方有权迟延付款并不承担任何责任。甲方出现财务审批等特殊情况无法及时支付费用，付款可顺延，不视为甲方违约。</w:t>
      </w:r>
    </w:p>
    <w:p>
      <w:pPr>
        <w:pStyle w:val="44"/>
        <w:numPr>
          <w:ilvl w:val="0"/>
          <w:numId w:val="2"/>
        </w:numPr>
        <w:spacing w:line="560" w:lineRule="exact"/>
        <w:ind w:firstLine="420" w:firstLineChars="0"/>
        <w:rPr>
          <w:rFonts w:hint="eastAsia" w:ascii="Times New Roman" w:hAnsi="Times New Roman" w:eastAsia="宋体" w:cs="Times New Roman"/>
          <w:b/>
          <w:bCs/>
          <w:color w:val="auto"/>
          <w:kern w:val="2"/>
          <w:sz w:val="21"/>
          <w:szCs w:val="24"/>
          <w:lang w:val="en-US" w:eastAsia="zh-CN" w:bidi="ar-SA"/>
        </w:rPr>
      </w:pPr>
      <w:r>
        <w:rPr>
          <w:rFonts w:hint="eastAsia" w:ascii="Times New Roman" w:hAnsi="Times New Roman" w:eastAsia="宋体" w:cs="Times New Roman"/>
          <w:b/>
          <w:bCs/>
          <w:color w:val="auto"/>
          <w:kern w:val="2"/>
          <w:sz w:val="21"/>
          <w:szCs w:val="24"/>
          <w:lang w:val="en-US" w:eastAsia="zh-CN" w:bidi="ar-SA"/>
        </w:rPr>
        <w:t>保密义务</w:t>
      </w:r>
    </w:p>
    <w:p>
      <w:pPr>
        <w:spacing w:line="560" w:lineRule="exact"/>
        <w:ind w:firstLine="420" w:firstLineChars="200"/>
        <w:rPr>
          <w:color w:val="auto"/>
        </w:rPr>
      </w:pPr>
      <w:r>
        <w:rPr>
          <w:rFonts w:hint="eastAsia"/>
          <w:color w:val="auto"/>
        </w:rPr>
        <w:t>1、保密内容：乙方不得将甲方因工作开展提供的相关材料泄露给与本工作无关的第三方。乙方应当妥善保存保密材料，并对保密材料在工作研究期间发生的被盗、不慎泄漏等事件承担全部责任。</w:t>
      </w:r>
    </w:p>
    <w:p>
      <w:pPr>
        <w:spacing w:line="560" w:lineRule="exact"/>
        <w:ind w:firstLine="420" w:firstLineChars="200"/>
        <w:rPr>
          <w:color w:val="auto"/>
        </w:rPr>
      </w:pPr>
      <w:r>
        <w:rPr>
          <w:rFonts w:hint="eastAsia"/>
          <w:color w:val="auto"/>
        </w:rPr>
        <w:t>2、涉密人员范围：乙方项目组人员及乙方委托的第三方人员。</w:t>
      </w:r>
    </w:p>
    <w:p>
      <w:pPr>
        <w:spacing w:line="560" w:lineRule="exact"/>
        <w:ind w:firstLine="420" w:firstLineChars="200"/>
        <w:rPr>
          <w:color w:val="auto"/>
        </w:rPr>
      </w:pPr>
      <w:r>
        <w:rPr>
          <w:rFonts w:hint="eastAsia"/>
          <w:color w:val="auto"/>
        </w:rPr>
        <w:t>3、泄密责任：乙方应赔偿甲方因此遭受的全部经济损失，并按本合同约定承担违约责任。</w:t>
      </w:r>
    </w:p>
    <w:p>
      <w:pPr>
        <w:spacing w:line="560" w:lineRule="exact"/>
        <w:ind w:firstLine="422" w:firstLineChars="200"/>
        <w:rPr>
          <w:color w:val="auto"/>
        </w:rPr>
      </w:pPr>
      <w:r>
        <w:rPr>
          <w:rFonts w:hint="eastAsia" w:eastAsia="宋体"/>
          <w:b/>
          <w:bCs/>
          <w:color w:val="auto"/>
          <w:kern w:val="2"/>
          <w:sz w:val="21"/>
          <w:szCs w:val="24"/>
          <w:lang w:val="en-US" w:eastAsia="zh-CN" w:bidi="ar-SA"/>
        </w:rPr>
        <w:t>第七条</w:t>
      </w:r>
      <w:r>
        <w:rPr>
          <w:rFonts w:hint="eastAsia" w:ascii="Times New Roman" w:hAnsi="Times New Roman" w:eastAsia="宋体" w:cs="Times New Roman"/>
          <w:b/>
          <w:bCs/>
          <w:color w:val="auto"/>
          <w:kern w:val="2"/>
          <w:sz w:val="21"/>
          <w:szCs w:val="24"/>
          <w:lang w:val="en-US" w:eastAsia="zh-CN" w:bidi="ar-SA"/>
        </w:rPr>
        <w:t xml:space="preserve"> </w:t>
      </w:r>
      <w:r>
        <w:rPr>
          <w:rFonts w:hint="eastAsia" w:eastAsia="宋体"/>
          <w:b/>
          <w:bCs/>
          <w:color w:val="auto"/>
          <w:kern w:val="2"/>
          <w:sz w:val="21"/>
          <w:szCs w:val="24"/>
          <w:lang w:val="en-US" w:eastAsia="zh-CN" w:bidi="ar-SA"/>
        </w:rPr>
        <w:t>成果验收</w:t>
      </w:r>
    </w:p>
    <w:p>
      <w:pPr>
        <w:spacing w:line="560" w:lineRule="exact"/>
        <w:ind w:firstLine="420" w:firstLineChars="200"/>
        <w:rPr>
          <w:color w:val="auto"/>
        </w:rPr>
      </w:pPr>
      <w:r>
        <w:rPr>
          <w:rFonts w:hint="eastAsia"/>
          <w:color w:val="auto"/>
        </w:rPr>
        <w:t>1、乙方提交研究成果及形式：向甲方提交研究报告完整版、简版纸质版及电子版，提交数量根据甲方需要而定，主要包括：</w:t>
      </w:r>
    </w:p>
    <w:p>
      <w:pPr>
        <w:spacing w:line="560" w:lineRule="exact"/>
        <w:ind w:firstLine="420" w:firstLineChars="200"/>
        <w:rPr>
          <w:color w:val="auto"/>
        </w:rPr>
      </w:pPr>
      <w:r>
        <w:rPr>
          <w:rFonts w:hint="eastAsia"/>
          <w:color w:val="auto"/>
        </w:rPr>
        <w:t>（1）《江东新区xx年度项目谋划意向项目清单》及相关支撑材料；</w:t>
      </w:r>
    </w:p>
    <w:p>
      <w:pPr>
        <w:ind w:firstLine="420"/>
        <w:rPr>
          <w:color w:val="auto"/>
        </w:rPr>
      </w:pPr>
      <w:r>
        <w:rPr>
          <w:rFonts w:hint="eastAsia"/>
          <w:color w:val="auto"/>
        </w:rPr>
        <w:t>（2）《江东新区xx年度项目策划报告》（包括总体情况介绍和具体项目报告）。</w:t>
      </w:r>
    </w:p>
    <w:p>
      <w:pPr>
        <w:spacing w:line="560" w:lineRule="exact"/>
        <w:ind w:firstLine="420" w:firstLineChars="200"/>
        <w:rPr>
          <w:color w:val="auto"/>
        </w:rPr>
      </w:pPr>
      <w:r>
        <w:rPr>
          <w:rFonts w:hint="eastAsia"/>
          <w:color w:val="auto"/>
        </w:rPr>
        <w:t>2、验收标准：提交的项目策划报告主要章节和目录参考《国家发展改革委关于印发投资项目可行性研究报告编写大纲及说明的通知》（发改投资规〔2023〕304号）中《政府投资项目可行性研究报告编写通用大纲（2023年版）》、《企业投资项目可行性研究报告编写参考大纲（2023年版）》和《关于投资项目可行性研究报告编写大纲的说明（2023年版）》（以下分别简称《通用大纲》《参考大纲》和《编写说明》）进行编制，主要章节和目录应包括项目概述、建设背景和必要性分析、项目需求分析与产出方案、项目选址与要素保障（征拆、农转保障等）、项目建设方案、项目运营方案、项目投融资与财务方案（含资金包装）、项目影响效果分析等，但编制深度仅需满足《中央预算内直接投资项目管理办法》</w:t>
      </w:r>
      <w:r>
        <w:rPr>
          <w:rFonts w:hint="eastAsia" w:eastAsia="宋体"/>
          <w:color w:val="auto"/>
          <w:kern w:val="2"/>
          <w:sz w:val="21"/>
          <w:szCs w:val="24"/>
          <w:lang w:val="en-US" w:eastAsia="zh-CN" w:bidi="ar-SA"/>
        </w:rPr>
        <w:t>（中华人民共和国国家发展和改革委员会令</w:t>
      </w:r>
      <w:r>
        <w:rPr>
          <w:rFonts w:eastAsia="宋体"/>
          <w:color w:val="auto"/>
          <w:kern w:val="2"/>
          <w:sz w:val="21"/>
          <w:szCs w:val="24"/>
          <w:shd w:val="clear"/>
          <w:lang w:val="en-US" w:eastAsia="zh-CN" w:bidi="ar-SA"/>
        </w:rPr>
        <w:t>（第1号）修订</w:t>
      </w:r>
      <w:r>
        <w:rPr>
          <w:rFonts w:hint="eastAsia" w:eastAsia="宋体"/>
          <w:color w:val="auto"/>
          <w:kern w:val="2"/>
          <w:sz w:val="21"/>
          <w:szCs w:val="24"/>
          <w:lang w:val="en-US" w:eastAsia="zh-CN" w:bidi="ar-SA"/>
        </w:rPr>
        <w:t>）第</w:t>
      </w:r>
      <w:r>
        <w:rPr>
          <w:rFonts w:hint="eastAsia"/>
          <w:color w:val="auto"/>
        </w:rPr>
        <w:t>十一条、《编写说明》第五节、《海口市政府投资项目管理规定》第十三条要求达到的项目建议书深度层次。谋划方案应包含本年度拟建设项目和下一年度建设项目。甲方组织评审专家验收，乙方配合。</w:t>
      </w:r>
    </w:p>
    <w:p>
      <w:pPr>
        <w:spacing w:line="560" w:lineRule="exact"/>
        <w:ind w:firstLine="420" w:firstLineChars="200"/>
        <w:rPr>
          <w:color w:val="auto"/>
        </w:rPr>
      </w:pPr>
      <w:r>
        <w:rPr>
          <w:rFonts w:hint="eastAsia"/>
          <w:color w:val="auto"/>
        </w:rPr>
        <w:t>3、验收时间和地点：由双方协商确定。</w:t>
      </w:r>
    </w:p>
    <w:p>
      <w:pPr>
        <w:widowControl w:val="0"/>
        <w:ind w:firstLine="422"/>
        <w:jc w:val="both"/>
        <w:rPr>
          <w:rFonts w:hint="eastAsia" w:eastAsia="宋体"/>
          <w:b/>
          <w:bCs/>
          <w:color w:val="auto"/>
          <w:kern w:val="2"/>
          <w:sz w:val="21"/>
          <w:szCs w:val="24"/>
          <w:lang w:val="en-US" w:eastAsia="zh-CN" w:bidi="ar-SA"/>
        </w:rPr>
      </w:pPr>
      <w:r>
        <w:rPr>
          <w:rFonts w:hint="eastAsia" w:eastAsia="宋体"/>
          <w:b/>
          <w:bCs/>
          <w:color w:val="auto"/>
          <w:kern w:val="2"/>
          <w:sz w:val="21"/>
          <w:szCs w:val="24"/>
          <w:lang w:val="en-US" w:eastAsia="zh-CN" w:bidi="ar-SA"/>
        </w:rPr>
        <w:t>第八条</w:t>
      </w:r>
      <w:r>
        <w:rPr>
          <w:rFonts w:hint="eastAsia" w:ascii="Times New Roman" w:hAnsi="Times New Roman" w:eastAsia="宋体" w:cs="Times New Roman"/>
          <w:b/>
          <w:bCs/>
          <w:color w:val="auto"/>
          <w:kern w:val="2"/>
          <w:sz w:val="21"/>
          <w:szCs w:val="24"/>
          <w:lang w:val="en-US" w:eastAsia="zh-CN" w:bidi="ar-SA"/>
        </w:rPr>
        <w:t xml:space="preserve"> </w:t>
      </w:r>
      <w:r>
        <w:rPr>
          <w:rFonts w:hint="eastAsia" w:eastAsia="宋体"/>
          <w:b/>
          <w:bCs/>
          <w:color w:val="auto"/>
          <w:kern w:val="2"/>
          <w:sz w:val="21"/>
          <w:szCs w:val="24"/>
          <w:lang w:val="en-US" w:eastAsia="zh-CN" w:bidi="ar-SA"/>
        </w:rPr>
        <w:t>知识产权归属</w:t>
      </w:r>
    </w:p>
    <w:p>
      <w:pPr>
        <w:spacing w:line="560" w:lineRule="exact"/>
        <w:ind w:firstLine="420" w:firstLineChars="200"/>
        <w:rPr>
          <w:color w:val="auto"/>
        </w:rPr>
      </w:pPr>
      <w:r>
        <w:rPr>
          <w:rFonts w:hint="eastAsia"/>
          <w:color w:val="auto"/>
        </w:rPr>
        <w:t>1、甲方利用乙方提交的研究成果所完成的新的技术成果，归甲方所有。</w:t>
      </w:r>
    </w:p>
    <w:p>
      <w:pPr>
        <w:spacing w:line="560" w:lineRule="exact"/>
        <w:ind w:firstLine="420" w:firstLineChars="200"/>
        <w:rPr>
          <w:color w:val="auto"/>
        </w:rPr>
      </w:pPr>
      <w:r>
        <w:rPr>
          <w:rFonts w:hint="eastAsia"/>
          <w:color w:val="auto"/>
        </w:rPr>
        <w:t>2、在本合同项下乙方利用甲方提供的技术资料和工作条件所完成的新的技术成果，归甲方所有。</w:t>
      </w:r>
    </w:p>
    <w:p>
      <w:pPr>
        <w:spacing w:line="560" w:lineRule="exact"/>
        <w:ind w:firstLine="420" w:firstLineChars="200"/>
        <w:rPr>
          <w:rFonts w:ascii="Times New Roman" w:hAnsi="Times New Roman" w:cs="Times New Roman"/>
          <w:color w:val="auto"/>
          <w:szCs w:val="24"/>
        </w:rPr>
      </w:pPr>
      <w:r>
        <w:rPr>
          <w:rFonts w:hint="eastAsia"/>
          <w:color w:val="auto"/>
        </w:rPr>
        <w:t>3、未经甲方书面同意，乙方不得自行对外发表研究报告等成果。</w:t>
      </w:r>
    </w:p>
    <w:p>
      <w:pPr>
        <w:spacing w:line="560" w:lineRule="exact"/>
        <w:ind w:firstLine="420" w:firstLineChars="200"/>
        <w:rPr>
          <w:color w:val="auto"/>
        </w:rPr>
      </w:pPr>
      <w:r>
        <w:rPr>
          <w:rFonts w:hint="eastAsia"/>
          <w:color w:val="auto"/>
        </w:rPr>
        <w:t>4、乙方不得以甲方名义进行任何商业宜传，否则由乙方承担后果。</w:t>
      </w:r>
    </w:p>
    <w:p>
      <w:pPr>
        <w:widowControl w:val="0"/>
        <w:ind w:firstLine="422"/>
        <w:jc w:val="both"/>
        <w:rPr>
          <w:rFonts w:hint="eastAsia" w:eastAsia="宋体"/>
          <w:b/>
          <w:bCs/>
          <w:color w:val="auto"/>
          <w:kern w:val="2"/>
          <w:sz w:val="21"/>
          <w:szCs w:val="24"/>
          <w:lang w:val="en-US" w:eastAsia="zh-CN" w:bidi="ar-SA"/>
        </w:rPr>
      </w:pPr>
      <w:r>
        <w:rPr>
          <w:rFonts w:hint="eastAsia" w:eastAsia="宋体"/>
          <w:b/>
          <w:bCs/>
          <w:color w:val="auto"/>
          <w:kern w:val="2"/>
          <w:sz w:val="21"/>
          <w:szCs w:val="24"/>
          <w:lang w:val="en-US" w:eastAsia="zh-CN" w:bidi="ar-SA"/>
        </w:rPr>
        <w:t>第九条</w:t>
      </w:r>
      <w:r>
        <w:rPr>
          <w:rFonts w:hint="eastAsia" w:ascii="Times New Roman" w:hAnsi="Times New Roman" w:eastAsia="宋体" w:cs="Times New Roman"/>
          <w:b/>
          <w:bCs/>
          <w:color w:val="auto"/>
          <w:kern w:val="2"/>
          <w:sz w:val="21"/>
          <w:szCs w:val="24"/>
          <w:lang w:val="en-US" w:eastAsia="zh-CN" w:bidi="ar-SA"/>
        </w:rPr>
        <w:t xml:space="preserve"> </w:t>
      </w:r>
      <w:r>
        <w:rPr>
          <w:rFonts w:hint="eastAsia" w:eastAsia="宋体"/>
          <w:b/>
          <w:bCs/>
          <w:color w:val="auto"/>
          <w:kern w:val="2"/>
          <w:sz w:val="21"/>
          <w:szCs w:val="24"/>
          <w:lang w:val="en-US" w:eastAsia="zh-CN" w:bidi="ar-SA"/>
        </w:rPr>
        <w:t>违约责任</w:t>
      </w:r>
    </w:p>
    <w:p>
      <w:pPr>
        <w:spacing w:line="560" w:lineRule="exact"/>
        <w:ind w:firstLine="420" w:firstLineChars="200"/>
        <w:rPr>
          <w:color w:val="auto"/>
        </w:rPr>
      </w:pPr>
      <w:r>
        <w:rPr>
          <w:rFonts w:hint="eastAsia"/>
          <w:color w:val="auto"/>
        </w:rPr>
        <w:t>1.乙方违反本合同第一、</w:t>
      </w:r>
      <w:r>
        <w:rPr>
          <w:rFonts w:hint="eastAsia" w:ascii="Times New Roman" w:hAnsi="Times New Roman" w:cs="Times New Roman"/>
          <w:strike w:val="0"/>
          <w:color w:val="auto"/>
          <w:szCs w:val="24"/>
        </w:rPr>
        <w:t>四、</w:t>
      </w:r>
      <w:r>
        <w:rPr>
          <w:rFonts w:hint="eastAsia"/>
          <w:color w:val="auto"/>
        </w:rPr>
        <w:t>六、八条约定，甲方有权解除合同，并要求乙方全额返还甲方己经支付的本合同咨询经费，并支付合同金额5%的违约金，违约金不足以补足经济损失的，应予以赔偿全部损失。</w:t>
      </w:r>
    </w:p>
    <w:p>
      <w:pPr>
        <w:spacing w:line="560" w:lineRule="exact"/>
        <w:ind w:firstLine="420" w:firstLineChars="200"/>
        <w:rPr>
          <w:color w:val="auto"/>
        </w:rPr>
      </w:pPr>
      <w:r>
        <w:rPr>
          <w:rFonts w:hint="eastAsia"/>
          <w:color w:val="auto"/>
        </w:rPr>
        <w:t>2.乙方开展工作违反合同第二条约定的项目进度要求的</w:t>
      </w:r>
      <w:r>
        <w:rPr>
          <w:rFonts w:hint="eastAsia" w:ascii="Times New Roman" w:hAnsi="Times New Roman" w:cs="Times New Roman"/>
          <w:color w:val="auto"/>
          <w:szCs w:val="24"/>
        </w:rPr>
        <w:t>交付成果</w:t>
      </w:r>
      <w:r>
        <w:rPr>
          <w:rFonts w:hint="eastAsia"/>
          <w:color w:val="auto"/>
        </w:rPr>
        <w:t>时间约定，应当从延期之日起向甲方每日支付合同金额千分之二的违约金，甲方延期向乙方提供资料或因政府政策影响、不可抗力等特殊原因造成的工期延误除外。确需延长交付时间的，乙方应提前至少5个工作日向甲方提出书面申请，明确延长的原因、预计的延长期限以及对甲方可能产生的影响，并经甲方书面同意。若甲方不同意延长交付时间，乙方应按照原合同约定的时间完成交付，否则应按照本条款支付违约金。乙方自身原因导致延期交付成果的，延长超过30日的，则甲方有权解除合同，乙方应全额返还甲方己经支付的本合同咨询经费，并按支付合同金额5%的违约金。</w:t>
      </w:r>
    </w:p>
    <w:p>
      <w:pPr>
        <w:ind w:firstLine="420"/>
        <w:rPr>
          <w:color w:val="auto"/>
        </w:rPr>
      </w:pPr>
      <w:r>
        <w:rPr>
          <w:rFonts w:hint="eastAsia"/>
          <w:color w:val="auto"/>
        </w:rPr>
        <w:t>3</w:t>
      </w:r>
      <w:r>
        <w:rPr>
          <w:rFonts w:hint="eastAsia"/>
          <w:color w:val="auto"/>
          <w:lang w:bidi="zh-CN"/>
        </w:rPr>
        <w:t>、</w:t>
      </w:r>
      <w:r>
        <w:rPr>
          <w:rFonts w:hint="eastAsia" w:ascii="Times New Roman" w:hAnsi="Times New Roman" w:eastAsia="宋体" w:cs="Times New Roman"/>
          <w:color w:val="auto"/>
          <w:sz w:val="21"/>
          <w:szCs w:val="24"/>
          <w:lang w:bidi="zh-CN"/>
        </w:rPr>
        <w:t>若乙方开展工作违反合同第二条约定的项目进度要求，或者未通过甲方及专家评审验收的，甲方有权暂停支付相关费用，</w:t>
      </w:r>
      <w:r>
        <w:rPr>
          <w:rFonts w:hint="eastAsia"/>
          <w:color w:val="auto"/>
          <w:lang w:bidi="zh-CN"/>
        </w:rPr>
        <w:t>同时</w:t>
      </w:r>
      <w:r>
        <w:rPr>
          <w:rFonts w:hint="eastAsia" w:ascii="Times New Roman" w:hAnsi="Times New Roman" w:eastAsia="宋体" w:cs="Times New Roman"/>
          <w:color w:val="auto"/>
          <w:sz w:val="21"/>
          <w:szCs w:val="24"/>
          <w:lang w:bidi="zh-CN"/>
        </w:rPr>
        <w:t>有权要求乙方在规定的时间内进行整改。若乙方拒绝整改或在规定时间内未完成整改或整改后仍不达标，甲方有权解除合同，要求乙方</w:t>
      </w:r>
      <w:r>
        <w:rPr>
          <w:rFonts w:hint="eastAsia"/>
          <w:color w:val="auto"/>
          <w:lang w:bidi="zh-CN"/>
        </w:rPr>
        <w:t>全额</w:t>
      </w:r>
      <w:r>
        <w:rPr>
          <w:rFonts w:hint="eastAsia" w:ascii="Times New Roman" w:hAnsi="Times New Roman" w:eastAsia="宋体" w:cs="Times New Roman"/>
          <w:color w:val="auto"/>
          <w:sz w:val="21"/>
          <w:szCs w:val="24"/>
          <w:lang w:bidi="zh-CN"/>
        </w:rPr>
        <w:t>返还甲方己经支付的本合同咨询经费，并支付合同金额</w:t>
      </w:r>
      <w:r>
        <w:rPr>
          <w:rFonts w:ascii="Times New Roman" w:hAnsi="Times New Roman" w:eastAsia="宋体" w:cs="Times New Roman"/>
          <w:color w:val="auto"/>
          <w:sz w:val="21"/>
          <w:szCs w:val="24"/>
          <w:lang w:bidi="zh-CN"/>
        </w:rPr>
        <w:t>5%的违约金，违约金不足以补足经济损失的，应予以</w:t>
      </w:r>
      <w:r>
        <w:rPr>
          <w:rFonts w:hint="eastAsia"/>
          <w:color w:val="auto"/>
        </w:rPr>
        <w:t>赔偿由此产生的所有损失</w:t>
      </w:r>
      <w:r>
        <w:rPr>
          <w:rFonts w:ascii="Times New Roman" w:hAnsi="Times New Roman" w:eastAsia="宋体" w:cs="Times New Roman"/>
          <w:color w:val="auto"/>
          <w:sz w:val="21"/>
          <w:szCs w:val="24"/>
          <w:lang w:bidi="zh-CN"/>
        </w:rPr>
        <w:t>。</w:t>
      </w:r>
    </w:p>
    <w:p>
      <w:pPr>
        <w:widowControl w:val="0"/>
        <w:ind w:firstLine="422"/>
        <w:jc w:val="both"/>
        <w:rPr>
          <w:rFonts w:hint="eastAsia" w:eastAsia="宋体"/>
          <w:b/>
          <w:bCs/>
          <w:color w:val="auto"/>
          <w:kern w:val="2"/>
          <w:sz w:val="21"/>
          <w:szCs w:val="24"/>
          <w:lang w:val="en-US" w:eastAsia="zh-CN" w:bidi="ar-SA"/>
        </w:rPr>
      </w:pPr>
      <w:r>
        <w:rPr>
          <w:rFonts w:hint="eastAsia" w:eastAsia="宋体"/>
          <w:b/>
          <w:bCs/>
          <w:color w:val="auto"/>
          <w:kern w:val="2"/>
          <w:sz w:val="21"/>
          <w:szCs w:val="24"/>
          <w:lang w:val="en-US" w:eastAsia="zh-CN" w:bidi="ar-SA"/>
        </w:rPr>
        <w:t>第十条</w:t>
      </w:r>
      <w:r>
        <w:rPr>
          <w:rFonts w:hint="eastAsia" w:ascii="Times New Roman" w:hAnsi="Times New Roman" w:eastAsia="宋体" w:cs="Times New Roman"/>
          <w:b/>
          <w:bCs/>
          <w:color w:val="auto"/>
          <w:kern w:val="2"/>
          <w:sz w:val="21"/>
          <w:szCs w:val="24"/>
          <w:lang w:val="en-US" w:eastAsia="zh-CN" w:bidi="ar-SA"/>
        </w:rPr>
        <w:t xml:space="preserve"> </w:t>
      </w:r>
      <w:r>
        <w:rPr>
          <w:rFonts w:hint="eastAsia" w:eastAsia="宋体"/>
          <w:b/>
          <w:bCs/>
          <w:color w:val="auto"/>
          <w:kern w:val="2"/>
          <w:sz w:val="21"/>
          <w:szCs w:val="24"/>
          <w:lang w:val="en-US" w:eastAsia="zh-CN" w:bidi="ar-SA"/>
        </w:rPr>
        <w:t>合同的变更</w:t>
      </w:r>
    </w:p>
    <w:p>
      <w:pPr>
        <w:spacing w:line="560" w:lineRule="exact"/>
        <w:ind w:firstLine="420" w:firstLineChars="200"/>
        <w:rPr>
          <w:color w:val="auto"/>
        </w:rPr>
      </w:pPr>
      <w:r>
        <w:rPr>
          <w:rFonts w:hint="eastAsia"/>
          <w:color w:val="auto"/>
        </w:rPr>
        <w:t>1.本合同的变更必须由双方协商一致，并以书面形式确定。</w:t>
      </w:r>
    </w:p>
    <w:p>
      <w:pPr>
        <w:spacing w:line="560" w:lineRule="exact"/>
        <w:ind w:firstLine="420" w:firstLineChars="200"/>
        <w:rPr>
          <w:color w:val="auto"/>
        </w:rPr>
      </w:pPr>
      <w:r>
        <w:rPr>
          <w:rFonts w:hint="eastAsia"/>
          <w:color w:val="auto"/>
        </w:rPr>
        <w:t>2.甲方提出新的要求或乙方提出新的建议时，一方可以向另一方提出变更合同权利与义务的书面请求，双方协商一致后进行签署补充协议。</w:t>
      </w:r>
    </w:p>
    <w:p>
      <w:pPr>
        <w:widowControl w:val="0"/>
        <w:ind w:firstLine="422"/>
        <w:jc w:val="both"/>
        <w:rPr>
          <w:rFonts w:hint="eastAsia" w:eastAsia="宋体"/>
          <w:b/>
          <w:bCs/>
          <w:color w:val="auto"/>
          <w:kern w:val="2"/>
          <w:sz w:val="21"/>
          <w:szCs w:val="24"/>
          <w:lang w:val="en-US" w:eastAsia="zh-CN" w:bidi="ar-SA"/>
        </w:rPr>
      </w:pPr>
      <w:r>
        <w:rPr>
          <w:rFonts w:hint="eastAsia" w:eastAsia="宋体"/>
          <w:b/>
          <w:bCs/>
          <w:color w:val="auto"/>
          <w:kern w:val="2"/>
          <w:sz w:val="21"/>
          <w:szCs w:val="24"/>
          <w:lang w:val="en-US" w:eastAsia="zh-CN" w:bidi="ar-SA"/>
        </w:rPr>
        <w:t>第十一条</w:t>
      </w:r>
      <w:r>
        <w:rPr>
          <w:rFonts w:hint="eastAsia" w:ascii="Times New Roman" w:hAnsi="Times New Roman" w:eastAsia="宋体" w:cs="Times New Roman"/>
          <w:b/>
          <w:bCs/>
          <w:color w:val="auto"/>
          <w:kern w:val="2"/>
          <w:sz w:val="21"/>
          <w:szCs w:val="24"/>
          <w:lang w:val="en-US" w:eastAsia="zh-CN" w:bidi="ar-SA"/>
        </w:rPr>
        <w:t xml:space="preserve"> </w:t>
      </w:r>
      <w:r>
        <w:rPr>
          <w:rFonts w:hint="eastAsia" w:eastAsia="宋体"/>
          <w:b/>
          <w:bCs/>
          <w:color w:val="auto"/>
          <w:kern w:val="2"/>
          <w:sz w:val="21"/>
          <w:szCs w:val="24"/>
          <w:lang w:val="en-US" w:eastAsia="zh-CN" w:bidi="ar-SA"/>
        </w:rPr>
        <w:t>项目联系人、负责人和驻场人员</w:t>
      </w:r>
    </w:p>
    <w:p>
      <w:pPr>
        <w:spacing w:line="560" w:lineRule="exact"/>
        <w:ind w:firstLine="420" w:firstLineChars="200"/>
        <w:rPr>
          <w:color w:val="auto"/>
        </w:rPr>
      </w:pPr>
      <w:r>
        <w:rPr>
          <w:rFonts w:hint="eastAsia"/>
          <w:color w:val="auto"/>
        </w:rPr>
        <w:t>1、双方确定，在本合同有效期内，甲方指定________为甲方项目联系人，乙方指定________为乙方项目负责人。项目负责人承担以下责任：总体负责人、研究统筹、组织协调、撰写核心思路及关键内容等。一方变更负责人或联系人时，应当及时通知另一方；未及时通知并影响本合同履行或造成损失的，应承担相应的贵任。</w:t>
      </w:r>
    </w:p>
    <w:p>
      <w:pPr>
        <w:spacing w:line="560" w:lineRule="exact"/>
        <w:ind w:firstLine="420" w:firstLineChars="200"/>
        <w:rPr>
          <w:color w:val="auto"/>
        </w:rPr>
      </w:pPr>
      <w:r>
        <w:rPr>
          <w:rFonts w:hint="eastAsia"/>
          <w:color w:val="auto"/>
        </w:rPr>
        <w:t>2、受托单位应派遣具有相关专业背景和丰富工作经验的专业人士常驻江东管理局，开展项目谋划工作。常驻人员应具备以下条件:</w:t>
      </w:r>
    </w:p>
    <w:p>
      <w:pPr>
        <w:spacing w:line="560" w:lineRule="exact"/>
        <w:ind w:firstLine="420" w:firstLineChars="200"/>
        <w:rPr>
          <w:color w:val="auto"/>
        </w:rPr>
      </w:pPr>
      <w:r>
        <w:rPr>
          <w:rFonts w:hint="eastAsia"/>
          <w:color w:val="auto"/>
        </w:rPr>
        <w:t>(1)应具备工程类或工程经济类中级或以上职称，大学本科学历及以上。</w:t>
      </w:r>
    </w:p>
    <w:p>
      <w:pPr>
        <w:spacing w:line="560" w:lineRule="exact"/>
        <w:ind w:firstLine="420" w:firstLineChars="200"/>
        <w:rPr>
          <w:color w:val="auto"/>
        </w:rPr>
      </w:pPr>
      <w:r>
        <w:rPr>
          <w:rFonts w:hint="eastAsia"/>
          <w:color w:val="auto"/>
        </w:rPr>
        <w:t>(2)具有丰富的项目谋划经验，熟悉项目从立项、可行性研究、初步设计到施工图设计等各个阶段的工作流程和要求。熟悉项目谋划的各个环节，包括项目需求分析、规划分析、方案制定等，参与地区重大项目谋划项目2个以上，参与谋划的重大项目获得国债、专项债、中央资金等支持的项目2个以上。</w:t>
      </w:r>
    </w:p>
    <w:p>
      <w:pPr>
        <w:spacing w:line="560" w:lineRule="exact"/>
        <w:ind w:firstLine="420" w:firstLineChars="200"/>
        <w:rPr>
          <w:color w:val="auto"/>
        </w:rPr>
      </w:pPr>
      <w:r>
        <w:rPr>
          <w:rFonts w:hint="eastAsia"/>
          <w:color w:val="auto"/>
        </w:rPr>
        <w:t>(3)驻场人员应能够熟练使用CAD、Photoshop、PowerPoint软件进行绘图和设计，以支持项目谋划中的相关设计工作。</w:t>
      </w:r>
    </w:p>
    <w:p>
      <w:pPr>
        <w:spacing w:line="560" w:lineRule="exact"/>
        <w:ind w:firstLine="420" w:firstLineChars="200"/>
        <w:rPr>
          <w:color w:val="auto"/>
        </w:rPr>
      </w:pPr>
      <w:r>
        <w:rPr>
          <w:rFonts w:hint="eastAsia"/>
          <w:color w:val="auto"/>
        </w:rPr>
        <w:t>(4)常驻人员数量应不少于2人，原则上驻场天数不应小于180天。在特殊情况下，如常驻人员确需请假，在请假期间，常驻人员应确保项目的正常进行，必要时应提前做好工作安排或委托他人代为处理相关事务。除满足上述常驻要求外，常驻人员还应根据项目的实际需求，保持高度的灵活性和响应速度。在甲方提出需求时，应能够迅速作出反应，及时赶到现场或提供远程支持，确保项目的顺利进行。</w:t>
      </w:r>
    </w:p>
    <w:p>
      <w:pPr>
        <w:widowControl w:val="0"/>
        <w:ind w:firstLine="422"/>
        <w:jc w:val="both"/>
        <w:rPr>
          <w:rFonts w:hint="eastAsia" w:eastAsia="宋体"/>
          <w:b/>
          <w:bCs/>
          <w:color w:val="auto"/>
          <w:kern w:val="2"/>
          <w:sz w:val="21"/>
          <w:szCs w:val="24"/>
          <w:lang w:val="en-US" w:eastAsia="zh-CN" w:bidi="ar-SA"/>
        </w:rPr>
      </w:pPr>
      <w:r>
        <w:rPr>
          <w:rFonts w:hint="eastAsia" w:eastAsia="宋体"/>
          <w:b/>
          <w:bCs/>
          <w:color w:val="auto"/>
          <w:kern w:val="2"/>
          <w:sz w:val="21"/>
          <w:szCs w:val="24"/>
          <w:lang w:val="en-US" w:eastAsia="zh-CN" w:bidi="ar-SA"/>
        </w:rPr>
        <w:t>第十二条</w:t>
      </w:r>
      <w:r>
        <w:rPr>
          <w:rFonts w:hint="eastAsia" w:ascii="Times New Roman" w:hAnsi="Times New Roman" w:eastAsia="宋体" w:cs="Times New Roman"/>
          <w:b/>
          <w:bCs/>
          <w:color w:val="auto"/>
          <w:kern w:val="2"/>
          <w:sz w:val="21"/>
          <w:szCs w:val="24"/>
          <w:lang w:val="en-US" w:eastAsia="zh-CN" w:bidi="ar-SA"/>
        </w:rPr>
        <w:t xml:space="preserve"> </w:t>
      </w:r>
      <w:r>
        <w:rPr>
          <w:rFonts w:hint="eastAsia" w:eastAsia="宋体"/>
          <w:b/>
          <w:bCs/>
          <w:color w:val="auto"/>
          <w:kern w:val="2"/>
          <w:sz w:val="21"/>
          <w:szCs w:val="24"/>
          <w:lang w:val="en-US" w:eastAsia="zh-CN" w:bidi="ar-SA"/>
        </w:rPr>
        <w:t>合同解除和终止</w:t>
      </w:r>
    </w:p>
    <w:p>
      <w:pPr>
        <w:spacing w:line="560" w:lineRule="exact"/>
        <w:ind w:firstLine="420" w:firstLineChars="200"/>
        <w:rPr>
          <w:color w:val="auto"/>
        </w:rPr>
      </w:pPr>
      <w:r>
        <w:rPr>
          <w:rFonts w:hint="eastAsia"/>
          <w:color w:val="auto"/>
        </w:rPr>
        <w:t>1.甲乙双方各自完成合同规定的责任和义务，合同自然终止。</w:t>
      </w:r>
    </w:p>
    <w:p>
      <w:pPr>
        <w:spacing w:line="560" w:lineRule="exact"/>
        <w:ind w:firstLine="420" w:firstLineChars="200"/>
        <w:rPr>
          <w:color w:val="auto"/>
        </w:rPr>
      </w:pPr>
      <w:r>
        <w:rPr>
          <w:rFonts w:hint="eastAsia"/>
          <w:color w:val="auto"/>
        </w:rPr>
        <w:t>2.双方协商一致同意解除合同。</w:t>
      </w:r>
    </w:p>
    <w:p>
      <w:pPr>
        <w:spacing w:line="560" w:lineRule="exact"/>
        <w:ind w:firstLine="420" w:firstLineChars="200"/>
        <w:rPr>
          <w:color w:val="auto"/>
        </w:rPr>
      </w:pPr>
      <w:r>
        <w:rPr>
          <w:rFonts w:hint="eastAsia"/>
          <w:color w:val="auto"/>
        </w:rPr>
        <w:t>3.发生本合同约定解除情形。</w:t>
      </w:r>
    </w:p>
    <w:p>
      <w:pPr>
        <w:spacing w:line="560" w:lineRule="exact"/>
        <w:ind w:firstLine="420" w:firstLineChars="200"/>
        <w:rPr>
          <w:color w:val="auto"/>
        </w:rPr>
      </w:pPr>
      <w:r>
        <w:rPr>
          <w:rFonts w:hint="eastAsia"/>
          <w:color w:val="auto"/>
        </w:rPr>
        <w:t>4.发生不可抗力情形时双方可解除合同。</w:t>
      </w:r>
    </w:p>
    <w:p>
      <w:pPr>
        <w:widowControl w:val="0"/>
        <w:ind w:firstLine="422"/>
        <w:jc w:val="both"/>
        <w:rPr>
          <w:rFonts w:hint="eastAsia" w:eastAsia="宋体"/>
          <w:b/>
          <w:bCs/>
          <w:color w:val="auto"/>
          <w:kern w:val="2"/>
          <w:sz w:val="21"/>
          <w:szCs w:val="24"/>
          <w:lang w:val="en-US" w:eastAsia="zh-CN" w:bidi="ar-SA"/>
        </w:rPr>
      </w:pPr>
      <w:r>
        <w:rPr>
          <w:rFonts w:hint="eastAsia" w:eastAsia="宋体"/>
          <w:b/>
          <w:bCs/>
          <w:color w:val="auto"/>
          <w:kern w:val="2"/>
          <w:sz w:val="21"/>
          <w:szCs w:val="24"/>
          <w:lang w:val="en-US" w:eastAsia="zh-CN" w:bidi="ar-SA"/>
        </w:rPr>
        <w:t>第十三条</w:t>
      </w:r>
      <w:r>
        <w:rPr>
          <w:rFonts w:hint="eastAsia" w:ascii="Times New Roman" w:hAnsi="Times New Roman" w:eastAsia="宋体" w:cs="Times New Roman"/>
          <w:b/>
          <w:bCs/>
          <w:color w:val="auto"/>
          <w:kern w:val="2"/>
          <w:sz w:val="21"/>
          <w:szCs w:val="24"/>
          <w:lang w:val="en-US" w:eastAsia="zh-CN" w:bidi="ar-SA"/>
        </w:rPr>
        <w:t xml:space="preserve"> </w:t>
      </w:r>
      <w:r>
        <w:rPr>
          <w:rFonts w:hint="eastAsia" w:eastAsia="宋体"/>
          <w:b/>
          <w:bCs/>
          <w:color w:val="auto"/>
          <w:kern w:val="2"/>
          <w:sz w:val="21"/>
          <w:szCs w:val="24"/>
          <w:lang w:val="en-US" w:eastAsia="zh-CN" w:bidi="ar-SA"/>
        </w:rPr>
        <w:t>争端的解决</w:t>
      </w:r>
    </w:p>
    <w:p>
      <w:pPr>
        <w:spacing w:line="560" w:lineRule="exact"/>
        <w:ind w:firstLine="420" w:firstLineChars="200"/>
        <w:rPr>
          <w:color w:val="auto"/>
        </w:rPr>
      </w:pPr>
      <w:r>
        <w:rPr>
          <w:rFonts w:hint="eastAsia"/>
          <w:color w:val="auto"/>
        </w:rPr>
        <w:t>1.凡与本合同有关的一切争议，甲乙双方应首先通过友好协商方式解决,如经协商后仍不能达成一致，任何一方可以向法院提起诉讼。</w:t>
      </w:r>
    </w:p>
    <w:p>
      <w:pPr>
        <w:spacing w:line="560" w:lineRule="exact"/>
        <w:ind w:firstLine="420" w:firstLineChars="200"/>
        <w:rPr>
          <w:color w:val="auto"/>
        </w:rPr>
      </w:pPr>
      <w:r>
        <w:rPr>
          <w:rFonts w:hint="eastAsia"/>
          <w:color w:val="auto"/>
        </w:rPr>
        <w:t>2.本合同的诉讼管辖法院为甲方所在地有管辖权的人民法院，违约方承担因此产生的诉讼费、律师费、鉴定费、担保费等全部费用。</w:t>
      </w:r>
    </w:p>
    <w:p>
      <w:pPr>
        <w:spacing w:line="560" w:lineRule="exact"/>
        <w:ind w:firstLine="422" w:firstLineChars="200"/>
        <w:rPr>
          <w:color w:val="auto"/>
        </w:rPr>
      </w:pPr>
      <w:r>
        <w:rPr>
          <w:rFonts w:hint="eastAsia" w:eastAsia="宋体"/>
          <w:b/>
          <w:bCs/>
          <w:color w:val="auto"/>
          <w:kern w:val="2"/>
          <w:sz w:val="21"/>
          <w:szCs w:val="24"/>
          <w:lang w:val="en-US" w:eastAsia="zh-CN" w:bidi="ar-SA"/>
        </w:rPr>
        <w:t>第十四条合同生效</w:t>
      </w:r>
    </w:p>
    <w:p>
      <w:pPr>
        <w:spacing w:line="560" w:lineRule="exact"/>
        <w:ind w:firstLine="420" w:firstLineChars="200"/>
        <w:rPr>
          <w:color w:val="auto"/>
        </w:rPr>
      </w:pPr>
      <w:r>
        <w:rPr>
          <w:rFonts w:hint="eastAsia"/>
          <w:color w:val="auto"/>
        </w:rPr>
        <w:t>本合同经双方签字盖章后生效。</w:t>
      </w:r>
    </w:p>
    <w:p>
      <w:pPr>
        <w:spacing w:line="560" w:lineRule="exact"/>
        <w:ind w:firstLine="422" w:firstLineChars="200"/>
        <w:rPr>
          <w:b/>
          <w:bCs/>
          <w:color w:val="auto"/>
        </w:rPr>
      </w:pPr>
      <w:r>
        <w:rPr>
          <w:rFonts w:hint="eastAsia"/>
          <w:b/>
          <w:bCs/>
          <w:color w:val="auto"/>
        </w:rPr>
        <w:t>第十五条其他</w:t>
      </w:r>
    </w:p>
    <w:p>
      <w:pPr>
        <w:spacing w:line="560" w:lineRule="exact"/>
        <w:ind w:firstLine="420" w:firstLineChars="200"/>
        <w:rPr>
          <w:color w:val="auto"/>
        </w:rPr>
      </w:pPr>
      <w:r>
        <w:rPr>
          <w:rFonts w:hint="eastAsia"/>
          <w:color w:val="auto"/>
        </w:rPr>
        <w:t>1.合同未尽事宜，由双方本者友好协商原则，另行签订补充协议。补充协议与本合同具有同等法律效力。</w:t>
      </w:r>
    </w:p>
    <w:p>
      <w:pPr>
        <w:spacing w:line="560" w:lineRule="exact"/>
        <w:ind w:firstLine="420" w:firstLineChars="200"/>
        <w:rPr>
          <w:color w:val="auto"/>
        </w:rPr>
      </w:pPr>
      <w:r>
        <w:rPr>
          <w:rFonts w:hint="eastAsia"/>
          <w:color w:val="auto"/>
        </w:rPr>
        <w:t>2.本合同一式____份，甲方执____份，乙方执____份，具有同等法律效力。</w:t>
      </w:r>
    </w:p>
    <w:p>
      <w:pPr>
        <w:spacing w:line="560" w:lineRule="exact"/>
        <w:ind w:firstLine="420" w:firstLineChars="200"/>
        <w:rPr>
          <w:color w:val="auto"/>
        </w:rPr>
      </w:pPr>
    </w:p>
    <w:p>
      <w:pPr>
        <w:spacing w:line="560" w:lineRule="exact"/>
        <w:ind w:firstLine="420" w:firstLineChars="200"/>
        <w:rPr>
          <w:color w:val="auto"/>
        </w:rPr>
      </w:pPr>
    </w:p>
    <w:p>
      <w:pPr>
        <w:spacing w:line="560" w:lineRule="exact"/>
        <w:ind w:firstLine="420" w:firstLineChars="200"/>
        <w:rPr>
          <w:color w:val="auto"/>
        </w:rPr>
      </w:pPr>
    </w:p>
    <w:p>
      <w:pPr>
        <w:spacing w:line="560" w:lineRule="exact"/>
        <w:ind w:firstLine="420" w:firstLineChars="200"/>
        <w:rPr>
          <w:color w:val="auto"/>
        </w:rPr>
      </w:pPr>
    </w:p>
    <w:p>
      <w:pPr>
        <w:pStyle w:val="2"/>
        <w:ind w:firstLine="562"/>
        <w:rPr>
          <w:color w:val="auto"/>
        </w:rPr>
      </w:pPr>
    </w:p>
    <w:p>
      <w:pPr>
        <w:spacing w:line="560" w:lineRule="exact"/>
        <w:ind w:firstLine="420" w:firstLineChars="200"/>
        <w:rPr>
          <w:color w:val="auto"/>
        </w:rPr>
      </w:pPr>
    </w:p>
    <w:p>
      <w:pPr>
        <w:spacing w:line="560" w:lineRule="exact"/>
        <w:ind w:firstLine="422"/>
        <w:rPr>
          <w:color w:val="auto"/>
        </w:rPr>
      </w:pPr>
      <w:r>
        <w:rPr>
          <w:rFonts w:hint="eastAsia"/>
          <w:color w:val="auto"/>
        </w:rPr>
        <w:t>[本合同正文结束，以下为合同签署页]</w:t>
      </w:r>
    </w:p>
    <w:p>
      <w:pPr>
        <w:spacing w:line="560" w:lineRule="exact"/>
        <w:ind w:firstLine="420" w:firstLineChars="200"/>
        <w:rPr>
          <w:color w:val="auto"/>
        </w:rPr>
      </w:pPr>
      <w:r>
        <w:rPr>
          <w:rFonts w:hint="eastAsia"/>
          <w:color w:val="auto"/>
        </w:rPr>
        <w:t>甲方：海口江东新区管理局（盖章）</w:t>
      </w:r>
    </w:p>
    <w:p>
      <w:pPr>
        <w:spacing w:line="560" w:lineRule="exact"/>
        <w:ind w:firstLine="420" w:firstLineChars="200"/>
        <w:rPr>
          <w:color w:val="auto"/>
        </w:rPr>
      </w:pPr>
      <w:r>
        <w:rPr>
          <w:rFonts w:hint="eastAsia"/>
          <w:color w:val="auto"/>
        </w:rPr>
        <w:t>法定代表人/委托代理人：（签名&gt;:</w:t>
      </w:r>
    </w:p>
    <w:p>
      <w:pPr>
        <w:spacing w:line="560" w:lineRule="exact"/>
        <w:ind w:firstLine="420" w:firstLineChars="200"/>
        <w:rPr>
          <w:color w:val="auto"/>
        </w:rPr>
      </w:pPr>
      <w:r>
        <w:rPr>
          <w:rFonts w:hint="eastAsia"/>
          <w:color w:val="auto"/>
        </w:rPr>
        <w:t>住所地：海南省海口市美兰区兴洋大道202号江东发展大厦</w:t>
      </w:r>
    </w:p>
    <w:p>
      <w:pPr>
        <w:spacing w:line="560" w:lineRule="exact"/>
        <w:ind w:firstLine="420" w:firstLineChars="200"/>
        <w:rPr>
          <w:color w:val="auto"/>
        </w:rPr>
      </w:pPr>
      <w:r>
        <w:rPr>
          <w:rFonts w:hint="eastAsia"/>
          <w:color w:val="auto"/>
        </w:rPr>
        <w:t>电话：</w:t>
      </w:r>
    </w:p>
    <w:p>
      <w:pPr>
        <w:spacing w:line="560" w:lineRule="exact"/>
        <w:ind w:firstLine="420" w:firstLineChars="200"/>
        <w:rPr>
          <w:color w:val="auto"/>
        </w:rPr>
      </w:pPr>
      <w:r>
        <w:rPr>
          <w:rFonts w:hint="eastAsia"/>
          <w:color w:val="auto"/>
        </w:rPr>
        <w:t>传真：</w:t>
      </w:r>
    </w:p>
    <w:p>
      <w:pPr>
        <w:spacing w:line="560" w:lineRule="exact"/>
        <w:ind w:firstLine="420" w:firstLineChars="200"/>
        <w:rPr>
          <w:color w:val="auto"/>
        </w:rPr>
      </w:pPr>
      <w:r>
        <w:rPr>
          <w:rFonts w:hint="eastAsia"/>
          <w:color w:val="auto"/>
        </w:rPr>
        <w:t>项目联系人：</w:t>
      </w:r>
    </w:p>
    <w:p>
      <w:pPr>
        <w:spacing w:line="560" w:lineRule="exact"/>
        <w:ind w:firstLine="420" w:firstLineChars="200"/>
        <w:rPr>
          <w:color w:val="auto"/>
        </w:rPr>
      </w:pPr>
      <w:r>
        <w:rPr>
          <w:rFonts w:hint="eastAsia"/>
          <w:color w:val="auto"/>
        </w:rPr>
        <w:t>联系方式：</w:t>
      </w:r>
    </w:p>
    <w:p>
      <w:pPr>
        <w:spacing w:line="560" w:lineRule="exact"/>
        <w:ind w:firstLine="630" w:firstLineChars="300"/>
        <w:rPr>
          <w:color w:val="auto"/>
        </w:rPr>
      </w:pPr>
      <w:r>
        <w:rPr>
          <w:rFonts w:hint="eastAsia"/>
          <w:color w:val="auto"/>
        </w:rPr>
        <w:t>年月日</w:t>
      </w:r>
    </w:p>
    <w:p>
      <w:pPr>
        <w:spacing w:line="560" w:lineRule="exact"/>
        <w:ind w:firstLine="630" w:firstLineChars="300"/>
        <w:rPr>
          <w:color w:val="auto"/>
        </w:rPr>
      </w:pPr>
    </w:p>
    <w:p>
      <w:pPr>
        <w:spacing w:line="560" w:lineRule="exact"/>
        <w:ind w:firstLine="630" w:firstLineChars="300"/>
        <w:rPr>
          <w:color w:val="auto"/>
        </w:rPr>
      </w:pPr>
    </w:p>
    <w:p>
      <w:pPr>
        <w:spacing w:line="560" w:lineRule="exact"/>
        <w:ind w:firstLine="420" w:firstLineChars="200"/>
        <w:rPr>
          <w:color w:val="auto"/>
        </w:rPr>
      </w:pPr>
      <w:r>
        <w:rPr>
          <w:rFonts w:hint="eastAsia"/>
          <w:color w:val="auto"/>
        </w:rPr>
        <w:t>乙方：（盖章）</w:t>
      </w:r>
    </w:p>
    <w:p>
      <w:pPr>
        <w:spacing w:line="560" w:lineRule="exact"/>
        <w:ind w:firstLine="420" w:firstLineChars="200"/>
        <w:rPr>
          <w:color w:val="auto"/>
        </w:rPr>
      </w:pPr>
      <w:r>
        <w:rPr>
          <w:rFonts w:hint="eastAsia"/>
          <w:color w:val="auto"/>
        </w:rPr>
        <w:t>法定代表人/委托代理人：（签名）</w:t>
      </w:r>
    </w:p>
    <w:p>
      <w:pPr>
        <w:spacing w:line="560" w:lineRule="exact"/>
        <w:ind w:firstLine="420" w:firstLineChars="200"/>
        <w:rPr>
          <w:color w:val="auto"/>
        </w:rPr>
      </w:pPr>
      <w:r>
        <w:rPr>
          <w:rFonts w:hint="eastAsia"/>
          <w:color w:val="auto"/>
        </w:rPr>
        <w:t>住所地：</w:t>
      </w:r>
    </w:p>
    <w:p>
      <w:pPr>
        <w:spacing w:line="560" w:lineRule="exact"/>
        <w:ind w:firstLine="420" w:firstLineChars="200"/>
        <w:rPr>
          <w:color w:val="auto"/>
        </w:rPr>
      </w:pPr>
      <w:r>
        <w:rPr>
          <w:rFonts w:hint="eastAsia"/>
          <w:color w:val="auto"/>
        </w:rPr>
        <w:t>电话：</w:t>
      </w:r>
    </w:p>
    <w:p>
      <w:pPr>
        <w:spacing w:line="560" w:lineRule="exact"/>
        <w:ind w:firstLine="420" w:firstLineChars="200"/>
        <w:rPr>
          <w:color w:val="auto"/>
        </w:rPr>
      </w:pPr>
      <w:r>
        <w:rPr>
          <w:rFonts w:hint="eastAsia"/>
          <w:color w:val="auto"/>
        </w:rPr>
        <w:t>传真：</w:t>
      </w:r>
    </w:p>
    <w:p>
      <w:pPr>
        <w:spacing w:line="560" w:lineRule="exact"/>
        <w:ind w:firstLine="420" w:firstLineChars="200"/>
        <w:rPr>
          <w:color w:val="auto"/>
        </w:rPr>
      </w:pPr>
      <w:r>
        <w:rPr>
          <w:rFonts w:hint="eastAsia"/>
          <w:color w:val="auto"/>
        </w:rPr>
        <w:t>项目负责人：</w:t>
      </w:r>
    </w:p>
    <w:p>
      <w:pPr>
        <w:spacing w:line="560" w:lineRule="exact"/>
        <w:ind w:firstLine="420" w:firstLineChars="200"/>
        <w:rPr>
          <w:color w:val="auto"/>
        </w:rPr>
      </w:pPr>
      <w:r>
        <w:rPr>
          <w:rFonts w:hint="eastAsia"/>
          <w:color w:val="auto"/>
        </w:rPr>
        <w:t>联系方式：</w:t>
      </w:r>
    </w:p>
    <w:p>
      <w:pPr>
        <w:spacing w:line="560" w:lineRule="exact"/>
        <w:rPr>
          <w:color w:val="auto"/>
        </w:rPr>
      </w:pPr>
      <w:r>
        <w:rPr>
          <w:rFonts w:hint="eastAsia"/>
          <w:color w:val="auto"/>
        </w:rPr>
        <w:t>年月日</w:t>
      </w:r>
    </w:p>
    <w:p>
      <w:pPr>
        <w:adjustRightInd w:val="0"/>
        <w:snapToGrid w:val="0"/>
        <w:spacing w:line="360" w:lineRule="auto"/>
        <w:outlineLvl w:val="1"/>
        <w:rPr>
          <w:color w:val="auto"/>
        </w:rPr>
        <w:sectPr>
          <w:headerReference r:id="rId14" w:type="default"/>
          <w:footerReference r:id="rId15" w:type="default"/>
          <w:pgSz w:w="11906" w:h="16838"/>
          <w:pgMar w:top="1440" w:right="1800" w:bottom="1440" w:left="1800" w:header="794" w:footer="992" w:gutter="0"/>
          <w:cols w:space="425" w:num="1"/>
          <w:docGrid w:type="lines" w:linePitch="312" w:charSpace="0"/>
        </w:sect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第六章</w:t>
      </w:r>
      <w:r>
        <w:rPr>
          <w:rFonts w:hint="eastAsia" w:asciiTheme="minorEastAsia" w:hAnsiTheme="minorEastAsia" w:eastAsiaTheme="minorEastAsia" w:cstheme="minorEastAsia"/>
          <w:b/>
          <w:color w:val="auto"/>
          <w:sz w:val="21"/>
          <w:szCs w:val="21"/>
          <w:highlight w:val="none"/>
          <w:lang w:eastAsia="zh-CN"/>
        </w:rPr>
        <w:t>响应文件</w:t>
      </w:r>
      <w:r>
        <w:rPr>
          <w:rFonts w:hint="eastAsia" w:asciiTheme="minorEastAsia" w:hAnsiTheme="minorEastAsia" w:eastAsiaTheme="minorEastAsia" w:cstheme="minorEastAsia"/>
          <w:b/>
          <w:color w:val="auto"/>
          <w:sz w:val="21"/>
          <w:szCs w:val="21"/>
          <w:highlight w:val="none"/>
        </w:rPr>
        <w:t>格式及附件</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highlight w:val="none"/>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格式1:</w:t>
      </w:r>
      <w:r>
        <w:rPr>
          <w:rFonts w:hint="eastAsia" w:asciiTheme="minorEastAsia" w:hAnsiTheme="minorEastAsia" w:eastAsiaTheme="minorEastAsia" w:cstheme="minorEastAsia"/>
          <w:b/>
          <w:color w:val="auto"/>
          <w:sz w:val="21"/>
          <w:szCs w:val="21"/>
          <w:highlight w:val="none"/>
          <w:lang w:val="en-US" w:eastAsia="zh-CN"/>
        </w:rPr>
        <w:t>响应</w:t>
      </w:r>
      <w:r>
        <w:rPr>
          <w:rFonts w:hint="eastAsia" w:asciiTheme="minorEastAsia" w:hAnsiTheme="minorEastAsia" w:eastAsiaTheme="minorEastAsia" w:cstheme="minorEastAsia"/>
          <w:b/>
          <w:color w:val="auto"/>
          <w:sz w:val="21"/>
          <w:szCs w:val="21"/>
          <w:highlight w:val="none"/>
        </w:rPr>
        <w:t>声明函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致：</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i/>
          <w:iCs/>
          <w:color w:val="auto"/>
          <w:sz w:val="21"/>
          <w:szCs w:val="21"/>
          <w:highlight w:val="none"/>
          <w:u w:val="single"/>
          <w:lang w:val="en-US" w:eastAsia="zh-CN"/>
        </w:rPr>
        <w:t>采购人）</w:t>
      </w:r>
    </w:p>
    <w:p>
      <w:pPr>
        <w:pStyle w:val="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根据贵方</w:t>
      </w:r>
      <w:r>
        <w:rPr>
          <w:rFonts w:hint="eastAsia" w:asciiTheme="minorEastAsia" w:hAnsiTheme="minorEastAsia" w:eastAsiaTheme="minorEastAsia" w:cstheme="minorEastAsia"/>
          <w:bCs/>
          <w:color w:val="auto"/>
          <w:sz w:val="21"/>
          <w:szCs w:val="21"/>
          <w:highlight w:val="none"/>
          <w:u w:val="single"/>
          <w:lang w:val="en-US" w:eastAsia="zh-CN"/>
        </w:rPr>
        <w:t>（</w:t>
      </w:r>
      <w:r>
        <w:rPr>
          <w:rFonts w:hint="eastAsia" w:asciiTheme="minorEastAsia" w:hAnsiTheme="minorEastAsia" w:eastAsiaTheme="minorEastAsia" w:cstheme="minorEastAsia"/>
          <w:bCs/>
          <w:color w:val="auto"/>
          <w:sz w:val="21"/>
          <w:szCs w:val="21"/>
          <w:highlight w:val="none"/>
          <w:u w:val="single"/>
        </w:rPr>
        <w:t>项目名称）</w:t>
      </w:r>
      <w:r>
        <w:rPr>
          <w:rFonts w:hint="eastAsia" w:asciiTheme="minorEastAsia" w:hAnsiTheme="minorEastAsia" w:eastAsiaTheme="minorEastAsia" w:cstheme="minorEastAsia"/>
          <w:bCs/>
          <w:color w:val="auto"/>
          <w:sz w:val="21"/>
          <w:szCs w:val="21"/>
          <w:highlight w:val="none"/>
        </w:rPr>
        <w:t>项目（项目编号（分包号）：）的</w:t>
      </w:r>
      <w:r>
        <w:rPr>
          <w:rFonts w:hint="eastAsia" w:asciiTheme="minorEastAsia" w:hAnsiTheme="minorEastAsia" w:eastAsiaTheme="minorEastAsia" w:cstheme="minorEastAsia"/>
          <w:bCs/>
          <w:color w:val="auto"/>
          <w:sz w:val="21"/>
          <w:szCs w:val="21"/>
          <w:highlight w:val="none"/>
          <w:lang w:val="en-US" w:eastAsia="zh-CN"/>
        </w:rPr>
        <w:t>采购</w:t>
      </w:r>
      <w:r>
        <w:rPr>
          <w:rFonts w:hint="eastAsia" w:asciiTheme="minorEastAsia" w:hAnsiTheme="minorEastAsia" w:eastAsiaTheme="minorEastAsia" w:cstheme="minorEastAsia"/>
          <w:bCs/>
          <w:color w:val="auto"/>
          <w:sz w:val="21"/>
          <w:szCs w:val="21"/>
          <w:highlight w:val="none"/>
          <w:lang w:eastAsia="zh-CN"/>
        </w:rPr>
        <w:t>比选公告</w:t>
      </w:r>
      <w:r>
        <w:rPr>
          <w:rFonts w:hint="eastAsia" w:asciiTheme="minorEastAsia" w:hAnsiTheme="minorEastAsia" w:eastAsiaTheme="minorEastAsia" w:cstheme="minorEastAsia"/>
          <w:bCs/>
          <w:color w:val="auto"/>
          <w:sz w:val="21"/>
          <w:szCs w:val="21"/>
          <w:highlight w:val="none"/>
        </w:rPr>
        <w:t>，本签字代表</w:t>
      </w:r>
      <w:r>
        <w:rPr>
          <w:rFonts w:hint="eastAsia" w:asciiTheme="minorEastAsia" w:hAnsiTheme="minorEastAsia" w:eastAsiaTheme="minorEastAsia" w:cstheme="minorEastAsia"/>
          <w:bCs/>
          <w:color w:val="auto"/>
          <w:sz w:val="21"/>
          <w:szCs w:val="21"/>
          <w:highlight w:val="none"/>
          <w:u w:val="single"/>
        </w:rPr>
        <w:t>（全名、职务）</w:t>
      </w:r>
      <w:r>
        <w:rPr>
          <w:rFonts w:hint="eastAsia" w:asciiTheme="minorEastAsia" w:hAnsiTheme="minorEastAsia" w:eastAsiaTheme="minorEastAsia" w:cstheme="minorEastAsia"/>
          <w:bCs/>
          <w:color w:val="auto"/>
          <w:sz w:val="21"/>
          <w:szCs w:val="21"/>
          <w:highlight w:val="none"/>
        </w:rPr>
        <w:t>代表</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u w:val="single"/>
          <w:lang w:eastAsia="zh-CN"/>
        </w:rPr>
        <w:t>供应商</w:t>
      </w:r>
      <w:r>
        <w:rPr>
          <w:rFonts w:hint="eastAsia" w:asciiTheme="minorEastAsia" w:hAnsiTheme="minorEastAsia" w:eastAsiaTheme="minorEastAsia" w:cstheme="minorEastAsia"/>
          <w:bCs/>
          <w:color w:val="auto"/>
          <w:sz w:val="21"/>
          <w:szCs w:val="21"/>
          <w:highlight w:val="none"/>
          <w:u w:val="single"/>
        </w:rPr>
        <w:t>单位名称、地址）</w:t>
      </w:r>
      <w:r>
        <w:rPr>
          <w:rFonts w:hint="eastAsia" w:asciiTheme="minorEastAsia" w:hAnsiTheme="minorEastAsia" w:eastAsiaTheme="minorEastAsia" w:cstheme="minorEastAsia"/>
          <w:bCs/>
          <w:color w:val="auto"/>
          <w:sz w:val="21"/>
          <w:szCs w:val="21"/>
          <w:highlight w:val="none"/>
        </w:rPr>
        <w:t>提交下述文件正本一份和副本份及电子版U盘一个。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据此函，签字代表承诺如下内容（本承诺内容为</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基本要求，如不满足或有缺漏项的，视为</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无效）：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1、我们愿意遵守采购比选文件中的各项规定，提供符合采购比选文件所要求的各项服务。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2、我们同意本响应文件自响应文件接收截止日起90天内有效。</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3、我们已经详细地阅读了全部采购比选文件及附件，包括澄清及参考文件（若有），我们完全理解并同意放弃对这方面有不明及误解的权利。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Cs w:val="21"/>
          <w:highlight w:val="none"/>
        </w:rPr>
        <w:t>4.我们同意按贵司的要求提供有关资料，并保证真实性。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代表签字：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（全称并加盖公章）：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Cs/>
          <w:color w:val="auto"/>
          <w:sz w:val="21"/>
          <w:szCs w:val="21"/>
          <w:highlight w:val="none"/>
        </w:rPr>
        <w:t>日期：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highlight w:val="none"/>
        </w:rPr>
        <w:sectPr>
          <w:headerReference r:id="rId16" w:type="default"/>
          <w:footerReference r:id="rId17" w:type="default"/>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1"/>
        <w:rPr>
          <w:rFonts w:hint="eastAsia"/>
          <w:color w:val="auto"/>
          <w:highlight w:val="none"/>
        </w:r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color w:val="auto"/>
          <w:sz w:val="21"/>
          <w:szCs w:val="21"/>
          <w:highlight w:val="none"/>
        </w:rPr>
        <w:t>格式2:</w:t>
      </w:r>
      <w:r>
        <w:rPr>
          <w:rFonts w:hint="eastAsia" w:asciiTheme="minorEastAsia" w:hAnsiTheme="minorEastAsia" w:eastAsiaTheme="minorEastAsia" w:cstheme="minorEastAsia"/>
          <w:b/>
          <w:bCs w:val="0"/>
          <w:color w:val="auto"/>
          <w:sz w:val="21"/>
          <w:szCs w:val="21"/>
          <w:highlight w:val="none"/>
        </w:rPr>
        <w:t>开标一览表</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项目名称：项目编号（分包号）：</w:t>
      </w:r>
    </w:p>
    <w:tbl>
      <w:tblPr>
        <w:tblStyle w:val="20"/>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总价(小写)（元）</w:t>
            </w:r>
          </w:p>
        </w:tc>
        <w:tc>
          <w:tcPr>
            <w:tcW w:w="2823"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服务期限</w:t>
            </w:r>
          </w:p>
        </w:tc>
        <w:tc>
          <w:tcPr>
            <w:tcW w:w="1527" w:type="dxa"/>
            <w:noWrap/>
            <w:vAlign w:val="center"/>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p>
        </w:tc>
        <w:tc>
          <w:tcPr>
            <w:tcW w:w="2823"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p>
        </w:tc>
        <w:tc>
          <w:tcPr>
            <w:tcW w:w="1527" w:type="dxa"/>
            <w:noWrap/>
          </w:tcPr>
          <w:p>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3"/>
            <w:noWrap/>
            <w:vAlign w:val="bottom"/>
          </w:tcPr>
          <w:p>
            <w:pPr>
              <w:pStyle w:val="7"/>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是否为符合条件的小微型企业:是（）；否（）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是否监狱企业参加采购活动：是（）；否（）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是否为符合条件的残疾人福利性单位：是（）；否（）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备注：（其他需要说明的情形）</w:t>
            </w:r>
          </w:p>
        </w:tc>
      </w:tr>
    </w:tbl>
    <w:p>
      <w:pPr>
        <w:pageBreakBefore w:val="0"/>
        <w:widowControl w:val="0"/>
        <w:kinsoku/>
        <w:wordWrap/>
        <w:overflowPunct/>
        <w:topLinePunct w:val="0"/>
        <w:autoSpaceDE/>
        <w:autoSpaceDN/>
        <w:bidi w:val="0"/>
        <w:adjustRightInd w:val="0"/>
        <w:snapToGrid w:val="0"/>
        <w:spacing w:line="360" w:lineRule="auto"/>
        <w:ind w:firstLine="560"/>
        <w:textAlignment w:val="auto"/>
        <w:rPr>
          <w:rFonts w:asciiTheme="minorEastAsia" w:hAnsiTheme="minorEastAsia" w:eastAsiaTheme="minorEastAsia" w:cstheme="minorEastAsia"/>
          <w:bCs/>
          <w:color w:val="auto"/>
          <w:sz w:val="21"/>
          <w:szCs w:val="21"/>
          <w:highlight w:val="none"/>
        </w:rPr>
      </w:pPr>
    </w:p>
    <w:p>
      <w:pPr>
        <w:pStyle w:val="7"/>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名称：（公章）</w:t>
      </w:r>
    </w:p>
    <w:p>
      <w:pPr>
        <w:pStyle w:val="7"/>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p>
    <w:p>
      <w:pPr>
        <w:pStyle w:val="7"/>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lang w:eastAsia="zh-CN"/>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代表签名：日期：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格式3:</w:t>
      </w:r>
      <w:r>
        <w:rPr>
          <w:rFonts w:hint="eastAsia" w:ascii="宋体" w:hAnsi="宋体" w:cs="宋体"/>
          <w:b/>
          <w:bCs w:val="0"/>
          <w:color w:val="auto"/>
          <w:kern w:val="2"/>
          <w:sz w:val="21"/>
          <w:szCs w:val="21"/>
          <w:highlight w:val="none"/>
          <w:lang w:val="en-US" w:eastAsia="zh-CN" w:bidi="ar-SA"/>
        </w:rPr>
        <w:t>响应报价</w:t>
      </w:r>
      <w:r>
        <w:rPr>
          <w:rFonts w:hint="eastAsia" w:ascii="宋体" w:hAnsi="宋体" w:eastAsia="宋体" w:cs="宋体"/>
          <w:b/>
          <w:bCs w:val="0"/>
          <w:color w:val="auto"/>
          <w:kern w:val="2"/>
          <w:sz w:val="21"/>
          <w:szCs w:val="21"/>
          <w:highlight w:val="none"/>
          <w:lang w:val="en-US" w:eastAsia="zh-CN" w:bidi="ar-SA"/>
        </w:rPr>
        <w:t>明细表</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项目名称：项目编号（分包号）∶</w:t>
      </w:r>
    </w:p>
    <w:tbl>
      <w:tblPr>
        <w:tblStyle w:val="20"/>
        <w:tblpPr w:leftFromText="180" w:rightFromText="180" w:vertAnchor="text" w:horzAnchor="page" w:tblpX="1885" w:tblpY="376"/>
        <w:tblOverlap w:val="never"/>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宋体" w:hAnsi="宋体" w:eastAsia="宋体" w:cs="宋体"/>
                <w:bCs/>
                <w:color w:val="auto"/>
                <w:sz w:val="21"/>
                <w:szCs w:val="21"/>
                <w:highlight w:val="none"/>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单项总价</w:t>
            </w: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heme="minorEastAsia" w:hAnsiTheme="minorEastAsia" w:eastAsiaTheme="minorEastAsia" w:cstheme="minorEastAsia"/>
                <w:b w:val="0"/>
                <w:bCs/>
                <w:color w:val="auto"/>
                <w:sz w:val="21"/>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heme="minorEastAsia" w:hAnsiTheme="minorEastAsia" w:eastAsiaTheme="minorEastAsia" w:cstheme="minorEastAsia"/>
                <w:b w:val="0"/>
                <w:bCs/>
                <w:color w:val="auto"/>
                <w:sz w:val="21"/>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heme="minorEastAsia" w:hAnsiTheme="minorEastAsia" w:eastAsiaTheme="minorEastAsia" w:cstheme="minorEastAsia"/>
                <w:b w:val="0"/>
                <w:bCs/>
                <w:color w:val="auto"/>
                <w:sz w:val="21"/>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4</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heme="minorEastAsia" w:hAnsiTheme="minorEastAsia" w:eastAsiaTheme="minorEastAsia" w:cstheme="minorEastAsia"/>
                <w:b w:val="0"/>
                <w:bCs/>
                <w:color w:val="auto"/>
                <w:sz w:val="21"/>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w:t>
            </w:r>
          </w:p>
        </w:tc>
        <w:tc>
          <w:tcPr>
            <w:tcW w:w="23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Theme="minorEastAsia" w:hAnsiTheme="minorEastAsia" w:eastAsiaTheme="minorEastAsia" w:cstheme="minorEastAsia"/>
                <w:bCs/>
                <w:color w:val="auto"/>
                <w:sz w:val="21"/>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97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23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c>
          <w:tcPr>
            <w:tcW w:w="109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74"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总价（大小写）：</w:t>
            </w:r>
          </w:p>
        </w:tc>
      </w:tr>
    </w:tbl>
    <w:p>
      <w:pPr>
        <w:pageBreakBefore w:val="0"/>
        <w:widowControl w:val="0"/>
        <w:kinsoku/>
        <w:wordWrap/>
        <w:overflowPunct/>
        <w:topLinePunct w:val="0"/>
        <w:autoSpaceDE/>
        <w:autoSpaceDN/>
        <w:bidi w:val="0"/>
        <w:adjustRightInd w:val="0"/>
        <w:snapToGrid w:val="0"/>
        <w:spacing w:line="360" w:lineRule="auto"/>
        <w:ind w:firstLine="561"/>
        <w:textAlignment w:val="auto"/>
        <w:rPr>
          <w:rFonts w:hint="eastAsia" w:asciiTheme="minorEastAsia" w:hAnsiTheme="minorEastAsia" w:eastAsiaTheme="minorEastAsia" w:cstheme="minorEastAsia"/>
          <w:bCs/>
          <w:color w:val="auto"/>
          <w:sz w:val="21"/>
          <w:szCs w:val="21"/>
          <w:highlight w:val="none"/>
          <w:lang w:eastAsia="zh-CN"/>
        </w:rPr>
      </w:pPr>
    </w:p>
    <w:p>
      <w:pPr>
        <w:pStyle w:val="7"/>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名称：（公章）</w:t>
      </w:r>
    </w:p>
    <w:p>
      <w:pPr>
        <w:pStyle w:val="7"/>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p>
    <w:p>
      <w:pPr>
        <w:pStyle w:val="7"/>
        <w:pageBreakBefore w:val="0"/>
        <w:wordWrap/>
        <w:topLinePunct w:val="0"/>
        <w:bidi w:val="0"/>
        <w:adjustRightInd w:val="0"/>
        <w:snapToGrid w:val="0"/>
        <w:spacing w:line="360" w:lineRule="auto"/>
        <w:ind w:firstLine="210" w:firstLineChars="100"/>
        <w:textAlignment w:val="auto"/>
        <w:rPr>
          <w:rFonts w:hint="eastAsia" w:asciiTheme="minorEastAsia" w:hAnsiTheme="minorEastAsia" w:eastAsiaTheme="minorEastAsia" w:cstheme="minorEastAsia"/>
          <w:bCs/>
          <w:color w:val="auto"/>
          <w:sz w:val="21"/>
          <w:szCs w:val="21"/>
          <w:highlight w:val="none"/>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代表签名：日期：</w:t>
      </w:r>
    </w:p>
    <w:p>
      <w:pPr>
        <w:pStyle w:val="11"/>
        <w:rPr>
          <w:rFonts w:hint="eastAsia"/>
          <w:color w:val="auto"/>
          <w:highlight w:val="none"/>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格式4：法定代表人授权委托书</w:t>
      </w:r>
    </w:p>
    <w:p>
      <w:pPr>
        <w:jc w:val="center"/>
        <w:rPr>
          <w:color w:val="auto"/>
          <w:highlight w:val="none"/>
        </w:rPr>
      </w:pPr>
      <w:r>
        <w:rPr>
          <w:rFonts w:hint="eastAsia"/>
          <w:color w:val="auto"/>
          <w:highlight w:val="none"/>
        </w:rPr>
        <w:t>法定代表人授权委托书</w:t>
      </w:r>
    </w:p>
    <w:p>
      <w:pPr>
        <w:rPr>
          <w:color w:val="auto"/>
          <w:highlight w:val="none"/>
        </w:rPr>
      </w:pPr>
    </w:p>
    <w:p>
      <w:pPr>
        <w:rPr>
          <w:color w:val="auto"/>
          <w:highlight w:val="none"/>
        </w:rPr>
      </w:pPr>
      <w:r>
        <w:rPr>
          <w:rFonts w:hint="eastAsia"/>
          <w:color w:val="auto"/>
          <w:highlight w:val="none"/>
          <w:u w:val="single"/>
        </w:rPr>
        <w:t>（供应商名称）</w:t>
      </w:r>
      <w:r>
        <w:rPr>
          <w:rFonts w:hint="eastAsia"/>
          <w:color w:val="auto"/>
          <w:highlight w:val="none"/>
        </w:rPr>
        <w:t>法定代表人授权我司员工全权负责项目的一切相关事宜。本授权书于_______年_____月_____日签字生效，特此声明。</w:t>
      </w:r>
    </w:p>
    <w:p>
      <w:pPr>
        <w:rPr>
          <w:color w:val="auto"/>
          <w:highlight w:val="none"/>
        </w:rPr>
      </w:pPr>
    </w:p>
    <w:p>
      <w:pPr>
        <w:rPr>
          <w:color w:val="auto"/>
          <w:highlight w:val="none"/>
        </w:rPr>
      </w:pPr>
    </w:p>
    <w:p>
      <w:pPr>
        <w:rPr>
          <w:color w:val="auto"/>
          <w:highlight w:val="none"/>
        </w:rPr>
      </w:pPr>
    </w:p>
    <w:p>
      <w:pPr>
        <w:rPr>
          <w:rFonts w:hint="eastAsia" w:eastAsia="宋体"/>
          <w:color w:val="auto"/>
          <w:highlight w:val="none"/>
          <w:lang w:eastAsia="zh-CN"/>
        </w:rPr>
      </w:pPr>
      <w:r>
        <w:rPr>
          <w:rFonts w:hint="eastAsia"/>
          <w:color w:val="auto"/>
          <w:highlight w:val="none"/>
        </w:rPr>
        <w:t>供应商（公章）：</w:t>
      </w:r>
    </w:p>
    <w:p>
      <w:pPr>
        <w:rPr>
          <w:color w:val="auto"/>
          <w:highlight w:val="none"/>
        </w:rPr>
      </w:pPr>
      <w:r>
        <w:rPr>
          <w:rFonts w:hint="eastAsia"/>
          <w:color w:val="auto"/>
          <w:highlight w:val="none"/>
        </w:rPr>
        <w:t>法定代表人签字：（或法人章）</w:t>
      </w:r>
    </w:p>
    <w:p>
      <w:pPr>
        <w:rPr>
          <w:color w:val="auto"/>
          <w:highlight w:val="none"/>
        </w:rPr>
      </w:pPr>
      <w:r>
        <w:rPr>
          <w:rFonts w:hint="eastAsia"/>
          <w:color w:val="auto"/>
          <w:highlight w:val="none"/>
        </w:rPr>
        <w:t>被授权人签字：</w:t>
      </w:r>
    </w:p>
    <w:p>
      <w:pPr>
        <w:pStyle w:val="11"/>
        <w:ind w:left="0" w:leftChars="0" w:firstLine="0" w:firstLineChars="0"/>
        <w:rPr>
          <w:color w:val="auto"/>
          <w:highlight w:val="none"/>
        </w:rPr>
      </w:pPr>
    </w:p>
    <w:p>
      <w:pPr>
        <w:pStyle w:val="11"/>
        <w:ind w:left="0" w:leftChars="0" w:firstLine="0" w:firstLineChars="0"/>
        <w:rPr>
          <w:color w:val="auto"/>
          <w:highlight w:val="none"/>
        </w:rPr>
      </w:pPr>
    </w:p>
    <w:p>
      <w:pPr>
        <w:pStyle w:val="11"/>
        <w:ind w:left="0" w:leftChars="0" w:firstLine="0" w:firstLineChars="0"/>
        <w:rPr>
          <w:rFonts w:ascii="宋体" w:hAnsi="宋体" w:eastAsia="宋体" w:cs="宋体"/>
          <w:color w:val="auto"/>
          <w:highlight w:val="none"/>
        </w:rPr>
      </w:pPr>
      <w:r>
        <w:rPr>
          <w:rFonts w:hint="eastAsia" w:ascii="宋体" w:hAnsi="宋体" w:eastAsia="宋体" w:cs="宋体"/>
          <w:color w:val="auto"/>
          <w:highlight w:val="none"/>
        </w:rPr>
        <w:t>附：法定代表人身份证复印件</w:t>
      </w:r>
    </w:p>
    <w:p>
      <w:pPr>
        <w:pStyle w:val="11"/>
        <w:ind w:left="0" w:leftChars="0" w:firstLine="0" w:firstLineChars="0"/>
        <w:rPr>
          <w:rFonts w:hint="eastAsia" w:ascii="Times New Roman" w:hAnsi="Times New Roman" w:eastAsia="宋体" w:cs="Times New Roman"/>
          <w:color w:val="auto"/>
          <w:szCs w:val="24"/>
          <w:highlight w:val="none"/>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宋体" w:cs="Times New Roman"/>
          <w:color w:val="auto"/>
          <w:szCs w:val="24"/>
          <w:highlight w:val="none"/>
        </w:rPr>
        <w:t>授权委托人身份证复印件</w:t>
      </w:r>
    </w:p>
    <w:p>
      <w:pPr>
        <w:pStyle w:val="37"/>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格式5：法定代表人身份证明书</w:t>
      </w:r>
    </w:p>
    <w:p>
      <w:pPr>
        <w:adjustRightInd w:val="0"/>
        <w:snapToGrid w:val="0"/>
        <w:spacing w:line="360" w:lineRule="auto"/>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法定代表人身份证明书</w:t>
      </w: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hint="default" w:asciiTheme="minorEastAsia" w:hAnsiTheme="minorEastAsia" w:eastAsiaTheme="minorEastAsia" w:cstheme="minorEastAsia"/>
          <w:bCs/>
          <w:color w:val="auto"/>
          <w:szCs w:val="21"/>
          <w:highlight w:val="none"/>
          <w:u w:val="single"/>
          <w:lang w:val="en-US" w:eastAsia="zh-CN"/>
        </w:rPr>
      </w:pPr>
      <w:r>
        <w:rPr>
          <w:rFonts w:hint="eastAsia" w:asciiTheme="minorEastAsia" w:hAnsiTheme="minorEastAsia" w:eastAsiaTheme="minorEastAsia" w:cstheme="minorEastAsia"/>
          <w:bCs/>
          <w:color w:val="auto"/>
          <w:szCs w:val="21"/>
          <w:highlight w:val="none"/>
        </w:rPr>
        <w:t>姓名：性别：年龄：职务：</w:t>
      </w:r>
    </w:p>
    <w:p>
      <w:pPr>
        <w:adjustRightInd w:val="0"/>
        <w:snapToGrid w:val="0"/>
        <w:spacing w:line="360" w:lineRule="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系</w:t>
      </w:r>
      <w:r>
        <w:rPr>
          <w:rFonts w:hint="eastAsia" w:asciiTheme="minorEastAsia" w:hAnsiTheme="minorEastAsia" w:eastAsiaTheme="minorEastAsia" w:cstheme="minorEastAsia"/>
          <w:bCs/>
          <w:color w:val="auto"/>
          <w:szCs w:val="21"/>
          <w:highlight w:val="none"/>
          <w:u w:val="single"/>
        </w:rPr>
        <w:t>（供应商名称）</w:t>
      </w:r>
      <w:r>
        <w:rPr>
          <w:rFonts w:hint="eastAsia" w:asciiTheme="minorEastAsia" w:hAnsiTheme="minorEastAsia" w:eastAsiaTheme="minorEastAsia" w:cstheme="minorEastAsia"/>
          <w:bCs/>
          <w:color w:val="auto"/>
          <w:szCs w:val="21"/>
          <w:highlight w:val="none"/>
        </w:rPr>
        <w:t>的法定代表人。</w:t>
      </w: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特此证明。</w:t>
      </w: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asciiTheme="minorEastAsia" w:hAnsiTheme="minorEastAsia" w:eastAsiaTheme="minorEastAsia" w:cstheme="minorEastAsia"/>
          <w:bCs/>
          <w:color w:val="auto"/>
          <w:szCs w:val="21"/>
          <w:highlight w:val="none"/>
        </w:rPr>
      </w:pPr>
    </w:p>
    <w:p>
      <w:pPr>
        <w:adjustRightInd w:val="0"/>
        <w:snapToGrid w:val="0"/>
        <w:spacing w:line="360" w:lineRule="auto"/>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rPr>
        <w:t>供应商（公章）：</w:t>
      </w:r>
    </w:p>
    <w:p>
      <w:pPr>
        <w:adjustRightInd w:val="0"/>
        <w:snapToGrid w:val="0"/>
        <w:spacing w:line="360" w:lineRule="auto"/>
        <w:rPr>
          <w:rFonts w:asciiTheme="minorEastAsia" w:hAnsiTheme="minorEastAsia" w:eastAsiaTheme="minorEastAsia" w:cstheme="minorEastAsia"/>
          <w:bCs/>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highlight w:val="none"/>
          <w:lang w:eastAsia="zh-CN"/>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Cs w:val="21"/>
          <w:highlight w:val="none"/>
        </w:rPr>
        <w:t>日期：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highlight w:val="none"/>
        </w:rPr>
      </w:pP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b/>
          <w:bCs/>
          <w:color w:val="auto"/>
          <w:spacing w:val="0"/>
          <w:w w:val="100"/>
          <w:position w:val="0"/>
          <w:sz w:val="21"/>
          <w:szCs w:val="21"/>
          <w:highlight w:val="none"/>
        </w:rPr>
      </w:pPr>
      <w:r>
        <w:rPr>
          <w:rFonts w:hint="eastAsia" w:ascii="宋体" w:hAnsi="宋体" w:eastAsia="宋体" w:cs="宋体"/>
          <w:b/>
          <w:color w:val="auto"/>
          <w:sz w:val="21"/>
          <w:szCs w:val="21"/>
          <w:highlight w:val="none"/>
        </w:rPr>
        <w:t>格式6：</w:t>
      </w:r>
      <w:r>
        <w:rPr>
          <w:rFonts w:hint="eastAsia" w:ascii="宋体" w:hAnsi="宋体" w:eastAsia="宋体" w:cs="宋体"/>
          <w:b/>
          <w:bCs/>
          <w:color w:val="auto"/>
          <w:spacing w:val="0"/>
          <w:w w:val="100"/>
          <w:position w:val="0"/>
          <w:sz w:val="21"/>
          <w:szCs w:val="21"/>
          <w:highlight w:val="none"/>
        </w:rPr>
        <w:t>资格承诺函</w:t>
      </w: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highlight w:val="none"/>
        </w:rPr>
      </w:pPr>
    </w:p>
    <w:p>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致：</w:t>
      </w:r>
      <w:r>
        <w:rPr>
          <w:rFonts w:hint="eastAsia" w:ascii="宋体" w:hAnsi="宋体" w:eastAsia="宋体" w:cs="宋体"/>
          <w:color w:val="auto"/>
          <w:spacing w:val="0"/>
          <w:w w:val="100"/>
          <w:position w:val="0"/>
          <w:sz w:val="21"/>
          <w:szCs w:val="21"/>
          <w:highlight w:val="none"/>
          <w:u w:val="single"/>
        </w:rPr>
        <w:t>（采购人）</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我单位参与</w:t>
      </w:r>
      <w:r>
        <w:rPr>
          <w:rFonts w:hint="eastAsia" w:ascii="宋体" w:hAnsi="宋体" w:eastAsia="宋体" w:cs="宋体"/>
          <w:color w:val="auto"/>
          <w:spacing w:val="0"/>
          <w:w w:val="100"/>
          <w:position w:val="0"/>
          <w:sz w:val="21"/>
          <w:szCs w:val="21"/>
          <w:highlight w:val="none"/>
          <w:u w:val="single"/>
        </w:rPr>
        <w:t>（项目名称）（项目编号</w:t>
      </w:r>
      <w:r>
        <w:rPr>
          <w:rFonts w:hint="eastAsia" w:ascii="宋体" w:hAnsi="宋体" w:eastAsia="宋体" w:cs="宋体"/>
          <w:color w:val="auto"/>
          <w:spacing w:val="0"/>
          <w:w w:val="100"/>
          <w:position w:val="0"/>
          <w:sz w:val="21"/>
          <w:szCs w:val="21"/>
          <w:highlight w:val="none"/>
          <w:u w:val="single"/>
          <w:lang w:eastAsia="zh-CN"/>
        </w:rPr>
        <w:t>（分包号）</w:t>
      </w:r>
      <w:r>
        <w:rPr>
          <w:rFonts w:hint="eastAsia" w:ascii="宋体" w:hAnsi="宋体" w:eastAsia="宋体" w:cs="宋体"/>
          <w:color w:val="auto"/>
          <w:spacing w:val="0"/>
          <w:w w:val="100"/>
          <w:position w:val="0"/>
          <w:sz w:val="21"/>
          <w:szCs w:val="21"/>
          <w:highlight w:val="none"/>
          <w:u w:val="single"/>
        </w:rPr>
        <w:t>：）</w:t>
      </w:r>
      <w:r>
        <w:rPr>
          <w:rFonts w:hint="eastAsia" w:ascii="宋体" w:hAnsi="宋体" w:eastAsia="宋体" w:cs="宋体"/>
          <w:color w:val="auto"/>
          <w:spacing w:val="0"/>
          <w:w w:val="100"/>
          <w:position w:val="0"/>
          <w:sz w:val="21"/>
          <w:szCs w:val="21"/>
          <w:highlight w:val="none"/>
        </w:rPr>
        <w:t>项目的采购活动，现承诺如下：</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1.</w:t>
      </w:r>
      <w:r>
        <w:rPr>
          <w:rFonts w:hint="eastAsia" w:ascii="宋体" w:hAnsi="宋体" w:eastAsia="宋体" w:cs="宋体"/>
          <w:color w:val="auto"/>
          <w:spacing w:val="0"/>
          <w:w w:val="100"/>
          <w:position w:val="0"/>
          <w:sz w:val="21"/>
          <w:szCs w:val="21"/>
          <w:highlight w:val="none"/>
        </w:rPr>
        <w:t>我单位具有符合</w:t>
      </w:r>
      <w:r>
        <w:rPr>
          <w:rFonts w:hint="eastAsia" w:ascii="宋体" w:hAnsi="宋体" w:eastAsia="宋体" w:cs="宋体"/>
          <w:color w:val="auto"/>
          <w:spacing w:val="0"/>
          <w:w w:val="100"/>
          <w:position w:val="0"/>
          <w:sz w:val="21"/>
          <w:szCs w:val="21"/>
          <w:highlight w:val="none"/>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highlight w:val="none"/>
        </w:rPr>
        <w:t>采购文件资格要求</w:t>
      </w:r>
      <w:r>
        <w:rPr>
          <w:rFonts w:hint="eastAsia" w:ascii="宋体" w:hAnsi="宋体" w:eastAsia="宋体" w:cs="宋体"/>
          <w:color w:val="auto"/>
          <w:spacing w:val="0"/>
          <w:w w:val="100"/>
          <w:position w:val="0"/>
          <w:sz w:val="21"/>
          <w:szCs w:val="21"/>
          <w:highlight w:val="none"/>
          <w:lang w:eastAsia="zh-CN"/>
        </w:rPr>
        <w:t>规定的良好的商业信誉和健全</w:t>
      </w:r>
      <w:r>
        <w:rPr>
          <w:rFonts w:hint="eastAsia" w:ascii="宋体" w:hAnsi="宋体" w:eastAsia="宋体" w:cs="宋体"/>
          <w:color w:val="auto"/>
          <w:spacing w:val="0"/>
          <w:w w:val="100"/>
          <w:position w:val="0"/>
          <w:sz w:val="21"/>
          <w:szCs w:val="21"/>
          <w:highlight w:val="none"/>
        </w:rPr>
        <w:t>的财务</w:t>
      </w:r>
      <w:r>
        <w:rPr>
          <w:rFonts w:hint="eastAsia" w:ascii="宋体" w:hAnsi="宋体" w:eastAsia="宋体" w:cs="宋体"/>
          <w:color w:val="auto"/>
          <w:spacing w:val="0"/>
          <w:w w:val="100"/>
          <w:position w:val="0"/>
          <w:sz w:val="21"/>
          <w:szCs w:val="21"/>
          <w:highlight w:val="none"/>
          <w:lang w:eastAsia="zh-CN"/>
        </w:rPr>
        <w:t>会计制度</w:t>
      </w:r>
      <w:r>
        <w:rPr>
          <w:rFonts w:hint="eastAsia" w:ascii="宋体" w:hAnsi="宋体" w:eastAsia="宋体" w:cs="宋体"/>
          <w:color w:val="auto"/>
          <w:spacing w:val="0"/>
          <w:w w:val="100"/>
          <w:position w:val="0"/>
          <w:sz w:val="21"/>
          <w:szCs w:val="21"/>
          <w:highlight w:val="none"/>
        </w:rPr>
        <w:t>。</w:t>
      </w:r>
    </w:p>
    <w:p>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lang w:val="en-US" w:eastAsia="zh-CN"/>
        </w:rPr>
      </w:pPr>
      <w:r>
        <w:rPr>
          <w:rFonts w:hint="eastAsia" w:ascii="宋体" w:hAnsi="宋体" w:eastAsia="宋体" w:cs="宋体"/>
          <w:color w:val="auto"/>
          <w:spacing w:val="0"/>
          <w:w w:val="100"/>
          <w:position w:val="0"/>
          <w:sz w:val="21"/>
          <w:szCs w:val="21"/>
          <w:highlight w:val="none"/>
          <w:lang w:val="en-US" w:eastAsia="zh-CN"/>
        </w:rPr>
        <w:t>2.我单位具有</w:t>
      </w:r>
      <w:r>
        <w:rPr>
          <w:rFonts w:hint="eastAsia" w:ascii="宋体" w:hAnsi="宋体" w:eastAsia="宋体" w:cs="宋体"/>
          <w:color w:val="auto"/>
          <w:spacing w:val="0"/>
          <w:w w:val="100"/>
          <w:position w:val="0"/>
          <w:sz w:val="21"/>
          <w:szCs w:val="21"/>
          <w:highlight w:val="none"/>
        </w:rPr>
        <w:t>符合</w:t>
      </w:r>
      <w:r>
        <w:rPr>
          <w:rFonts w:hint="eastAsia" w:ascii="宋体" w:hAnsi="宋体" w:eastAsia="宋体" w:cs="宋体"/>
          <w:color w:val="auto"/>
          <w:spacing w:val="0"/>
          <w:w w:val="100"/>
          <w:position w:val="0"/>
          <w:sz w:val="21"/>
          <w:szCs w:val="21"/>
          <w:highlight w:val="none"/>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highlight w:val="none"/>
        </w:rPr>
        <w:t>采购文件资格要求</w:t>
      </w:r>
      <w:r>
        <w:rPr>
          <w:rFonts w:hint="eastAsia" w:ascii="宋体" w:hAnsi="宋体" w:eastAsia="宋体" w:cs="宋体"/>
          <w:color w:val="auto"/>
          <w:spacing w:val="0"/>
          <w:w w:val="100"/>
          <w:position w:val="0"/>
          <w:sz w:val="21"/>
          <w:szCs w:val="21"/>
          <w:highlight w:val="none"/>
          <w:lang w:eastAsia="zh-CN"/>
        </w:rPr>
        <w:t>规定的</w:t>
      </w:r>
      <w:r>
        <w:rPr>
          <w:rFonts w:hint="eastAsia" w:ascii="宋体" w:hAnsi="宋体" w:eastAsia="宋体" w:cs="宋体"/>
          <w:color w:val="auto"/>
          <w:spacing w:val="0"/>
          <w:w w:val="100"/>
          <w:position w:val="0"/>
          <w:sz w:val="21"/>
          <w:szCs w:val="21"/>
          <w:highlight w:val="none"/>
          <w:lang w:val="en-US" w:eastAsia="zh-CN"/>
        </w:rPr>
        <w:t>履行合同所必需的设备和专业技术能力。</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3</w:t>
      </w:r>
      <w:r>
        <w:rPr>
          <w:rFonts w:hint="eastAsia" w:ascii="宋体" w:hAnsi="宋体" w:eastAsia="宋体" w:cs="宋体"/>
          <w:color w:val="auto"/>
          <w:spacing w:val="0"/>
          <w:w w:val="100"/>
          <w:position w:val="0"/>
          <w:sz w:val="21"/>
          <w:szCs w:val="21"/>
          <w:highlight w:val="none"/>
        </w:rPr>
        <w:t>.我单位具有符合</w:t>
      </w:r>
      <w:r>
        <w:rPr>
          <w:rFonts w:hint="eastAsia" w:ascii="宋体" w:hAnsi="宋体" w:eastAsia="宋体" w:cs="宋体"/>
          <w:color w:val="auto"/>
          <w:spacing w:val="0"/>
          <w:w w:val="100"/>
          <w:position w:val="0"/>
          <w:sz w:val="21"/>
          <w:szCs w:val="21"/>
          <w:highlight w:val="none"/>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highlight w:val="none"/>
        </w:rPr>
        <w:t>采购文件资格要求</w:t>
      </w:r>
      <w:r>
        <w:rPr>
          <w:rFonts w:hint="eastAsia" w:ascii="宋体" w:hAnsi="宋体" w:eastAsia="宋体" w:cs="宋体"/>
          <w:color w:val="auto"/>
          <w:spacing w:val="0"/>
          <w:w w:val="100"/>
          <w:position w:val="0"/>
          <w:sz w:val="21"/>
          <w:szCs w:val="21"/>
          <w:highlight w:val="none"/>
          <w:lang w:eastAsia="zh-CN"/>
        </w:rPr>
        <w:t>规定</w:t>
      </w:r>
      <w:r>
        <w:rPr>
          <w:rFonts w:hint="eastAsia" w:ascii="宋体" w:hAnsi="宋体" w:eastAsia="宋体" w:cs="宋体"/>
          <w:color w:val="auto"/>
          <w:spacing w:val="0"/>
          <w:w w:val="100"/>
          <w:position w:val="0"/>
          <w:sz w:val="21"/>
          <w:szCs w:val="21"/>
          <w:highlight w:val="none"/>
        </w:rPr>
        <w:t>的依法缴纳税收和社会保障资金的相关证明材料。</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4</w:t>
      </w:r>
      <w:r>
        <w:rPr>
          <w:rFonts w:hint="eastAsia" w:ascii="宋体" w:hAnsi="宋体" w:eastAsia="宋体" w:cs="宋体"/>
          <w:color w:val="auto"/>
          <w:spacing w:val="0"/>
          <w:w w:val="100"/>
          <w:position w:val="0"/>
          <w:sz w:val="21"/>
          <w:szCs w:val="21"/>
          <w:highlight w:val="none"/>
        </w:rPr>
        <w:t>.我</w:t>
      </w:r>
      <w:r>
        <w:rPr>
          <w:rFonts w:hint="eastAsia" w:ascii="宋体" w:hAnsi="宋体" w:eastAsia="宋体" w:cs="宋体"/>
          <w:color w:val="auto"/>
          <w:spacing w:val="0"/>
          <w:w w:val="100"/>
          <w:position w:val="0"/>
          <w:sz w:val="21"/>
          <w:szCs w:val="21"/>
          <w:highlight w:val="none"/>
          <w:lang w:eastAsia="zh-CN"/>
        </w:rPr>
        <w:t>单位</w:t>
      </w:r>
      <w:r>
        <w:rPr>
          <w:rFonts w:hint="eastAsia" w:ascii="宋体" w:hAnsi="宋体" w:eastAsia="宋体" w:cs="宋体"/>
          <w:color w:val="auto"/>
          <w:spacing w:val="0"/>
          <w:w w:val="100"/>
          <w:position w:val="0"/>
          <w:sz w:val="21"/>
          <w:szCs w:val="21"/>
          <w:highlight w:val="none"/>
        </w:rPr>
        <w:t>符合</w:t>
      </w:r>
      <w:r>
        <w:rPr>
          <w:rFonts w:hint="eastAsia" w:ascii="宋体" w:hAnsi="宋体" w:eastAsia="宋体" w:cs="宋体"/>
          <w:color w:val="auto"/>
          <w:spacing w:val="0"/>
          <w:w w:val="100"/>
          <w:position w:val="0"/>
          <w:sz w:val="21"/>
          <w:szCs w:val="21"/>
          <w:highlight w:val="none"/>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highlight w:val="none"/>
        </w:rPr>
        <w:t>采购文件资格要求</w:t>
      </w:r>
      <w:r>
        <w:rPr>
          <w:rFonts w:hint="eastAsia" w:ascii="宋体" w:hAnsi="宋体" w:eastAsia="宋体" w:cs="宋体"/>
          <w:color w:val="auto"/>
          <w:spacing w:val="0"/>
          <w:w w:val="100"/>
          <w:position w:val="0"/>
          <w:sz w:val="21"/>
          <w:szCs w:val="21"/>
          <w:highlight w:val="none"/>
          <w:lang w:eastAsia="zh-CN"/>
        </w:rPr>
        <w:t>规定</w:t>
      </w:r>
      <w:r>
        <w:rPr>
          <w:rFonts w:hint="eastAsia" w:ascii="宋体" w:hAnsi="宋体" w:eastAsia="宋体" w:cs="宋体"/>
          <w:color w:val="auto"/>
          <w:spacing w:val="0"/>
          <w:w w:val="100"/>
          <w:position w:val="0"/>
          <w:sz w:val="21"/>
          <w:szCs w:val="21"/>
          <w:highlight w:val="none"/>
        </w:rPr>
        <w:t>的</w:t>
      </w:r>
      <w:r>
        <w:rPr>
          <w:rFonts w:hint="eastAsia" w:ascii="宋体" w:hAnsi="宋体" w:eastAsia="宋体" w:cs="宋体"/>
          <w:color w:val="auto"/>
          <w:spacing w:val="0"/>
          <w:w w:val="100"/>
          <w:position w:val="0"/>
          <w:sz w:val="21"/>
          <w:szCs w:val="21"/>
          <w:highlight w:val="none"/>
          <w:lang w:eastAsia="zh-CN"/>
        </w:rPr>
        <w:t>在参加政府采购活动前三年内，在经营活动中没有重大违法记录</w:t>
      </w:r>
      <w:r>
        <w:rPr>
          <w:rFonts w:hint="eastAsia" w:ascii="宋体" w:hAnsi="宋体" w:eastAsia="宋体" w:cs="宋体"/>
          <w:color w:val="auto"/>
          <w:spacing w:val="0"/>
          <w:w w:val="100"/>
          <w:position w:val="0"/>
          <w:sz w:val="21"/>
          <w:szCs w:val="21"/>
          <w:highlight w:val="none"/>
        </w:rPr>
        <w:t>。</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5</w:t>
      </w:r>
      <w:r>
        <w:rPr>
          <w:rFonts w:hint="eastAsia" w:ascii="宋体" w:hAnsi="宋体" w:eastAsia="宋体" w:cs="宋体"/>
          <w:color w:val="auto"/>
          <w:spacing w:val="0"/>
          <w:w w:val="100"/>
          <w:position w:val="0"/>
          <w:sz w:val="21"/>
          <w:szCs w:val="21"/>
          <w:highlight w:val="none"/>
        </w:rPr>
        <w:t>.如违反上述承诺，同意将相关失信行为纳入海口市信用信息共享平台。</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.同意此承诺书在</w:t>
      </w:r>
      <w:r>
        <w:rPr>
          <w:rFonts w:hint="eastAsia" w:ascii="宋体" w:hAnsi="宋体" w:eastAsia="宋体" w:cs="宋体"/>
          <w:color w:val="auto"/>
          <w:spacing w:val="0"/>
          <w:w w:val="100"/>
          <w:position w:val="0"/>
          <w:sz w:val="21"/>
          <w:szCs w:val="21"/>
          <w:highlight w:val="none"/>
          <w:lang w:eastAsia="zh-CN"/>
        </w:rPr>
        <w:t>市公共资源中心的政府采购信息发布平台</w:t>
      </w:r>
      <w:r>
        <w:rPr>
          <w:rFonts w:hint="eastAsia" w:ascii="宋体" w:hAnsi="宋体" w:eastAsia="宋体" w:cs="宋体"/>
          <w:color w:val="auto"/>
          <w:spacing w:val="0"/>
          <w:w w:val="100"/>
          <w:position w:val="0"/>
          <w:sz w:val="21"/>
          <w:szCs w:val="21"/>
          <w:highlight w:val="none"/>
        </w:rPr>
        <w:t>公示，接受社会各界监督。</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若我单位以上承诺不实，自愿承担提供虚假材料谋取</w:t>
      </w:r>
      <w:r>
        <w:rPr>
          <w:rFonts w:hint="eastAsia" w:ascii="宋体" w:hAnsi="宋体" w:cs="宋体"/>
          <w:color w:val="auto"/>
          <w:spacing w:val="0"/>
          <w:w w:val="100"/>
          <w:position w:val="0"/>
          <w:sz w:val="21"/>
          <w:szCs w:val="21"/>
          <w:highlight w:val="none"/>
          <w:lang w:eastAsia="zh-CN"/>
        </w:rPr>
        <w:t>成交</w:t>
      </w:r>
      <w:r>
        <w:rPr>
          <w:rFonts w:hint="eastAsia" w:ascii="宋体" w:hAnsi="宋体" w:eastAsia="宋体" w:cs="宋体"/>
          <w:color w:val="auto"/>
          <w:spacing w:val="0"/>
          <w:w w:val="100"/>
          <w:position w:val="0"/>
          <w:sz w:val="21"/>
          <w:szCs w:val="21"/>
          <w:highlight w:val="none"/>
        </w:rPr>
        <w:t>、成交的法律责任。</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auto"/>
          <w:spacing w:val="0"/>
          <w:w w:val="100"/>
          <w:position w:val="0"/>
          <w:sz w:val="21"/>
          <w:szCs w:val="21"/>
          <w:highlight w:val="none"/>
        </w:rPr>
      </w:pP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承诺供应商（全称并加盖公章）：</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单位负责人或授权代表（签字）：</w:t>
      </w:r>
    </w:p>
    <w:p>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highlight w:val="none"/>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spacing w:val="0"/>
          <w:w w:val="100"/>
          <w:position w:val="0"/>
          <w:sz w:val="21"/>
          <w:szCs w:val="21"/>
          <w:highlight w:val="none"/>
        </w:rPr>
        <w:t>日期：</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格式7：</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联合体协议书</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（所有成员单位名称）自愿组成（联合体名称），共同参加__________（标段名称）投标。现就联合体投标事宜订立如下协议。</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1.（某成员单位名称）为（联合体名称）牵头人。</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2.联合体牵头人合法代表联合体各成员负责本项目响应文件递交和合同谈判活动，并代表联合体提交和接受相关的资料、信息及指示，处理与之有关的一切事务，并负责合同实施阶段的主办、组织和协调工作。</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3.联合体将严格按照招标文件的各项要求，编制投标文件，履行合同，并对外承担连带</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责任。</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4.联合体内部各成员单位的职责分工如下：。</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5.本协议书自签署之日起生效，合同履行完毕后自动失效。</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6.本协议书一式份，联合体成员和招标人各执一份。</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牵头人名称：（盖单位章）</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法定代表人或其委托代理人：（签字）</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成员单位名称：（盖单位章）</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法定代表人或其委托代理人：（签字）</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年月日</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color w:val="auto"/>
          <w:highlight w:val="none"/>
        </w:rPr>
      </w:pPr>
      <w:r>
        <w:rPr>
          <w:rFonts w:hint="eastAsia" w:ascii="宋体" w:hAnsi="宋体" w:eastAsia="宋体" w:cs="宋体"/>
          <w:color w:val="auto"/>
          <w:kern w:val="0"/>
          <w:sz w:val="21"/>
          <w:szCs w:val="21"/>
          <w:highlight w:val="none"/>
          <w:lang w:val="en-US" w:eastAsia="zh-CN" w:bidi="ar"/>
        </w:rPr>
        <w:t>注：本协议书由委托代理人签字时，应附法定代表人签字的授权委托书。</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highlight w:val="none"/>
          <w:lang w:eastAsia="zh-CN"/>
        </w:rPr>
      </w:pPr>
    </w:p>
    <w:p>
      <w:pPr>
        <w:pStyle w:val="2"/>
        <w:rPr>
          <w:rFonts w:hint="default" w:ascii="宋体" w:hAnsi="宋体" w:eastAsia="宋体" w:cs="Times New Roman"/>
          <w:b/>
          <w:color w:val="000000"/>
          <w:sz w:val="28"/>
          <w:szCs w:val="28"/>
          <w:highlight w:val="none"/>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附件</w:t>
      </w:r>
      <w:r>
        <w:rPr>
          <w:rFonts w:hint="eastAsia" w:asciiTheme="minorEastAsia" w:hAnsiTheme="minorEastAsia" w:eastAsiaTheme="minorEastAsia" w:cstheme="minorEastAsia"/>
          <w:b/>
          <w:color w:val="auto"/>
          <w:sz w:val="21"/>
          <w:szCs w:val="21"/>
          <w:highlight w:val="none"/>
          <w:lang w:val="en-US" w:eastAsia="zh-CN"/>
        </w:rPr>
        <w:t>2</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中小企业声明函（服务类）</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w:t>
      </w:r>
    </w:p>
    <w:p>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bCs/>
          <w:color w:val="auto"/>
          <w:sz w:val="21"/>
          <w:szCs w:val="21"/>
          <w:highlight w:val="none"/>
          <w:u w:val="single"/>
        </w:rPr>
        <w:t>（单位名称）</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u w:val="single"/>
        </w:rPr>
        <w:t>（项目名称、项目编号、包号）</w:t>
      </w:r>
      <w:r>
        <w:rPr>
          <w:rFonts w:hint="eastAsia" w:asciiTheme="minorEastAsia" w:hAnsiTheme="minorEastAsia" w:eastAsiaTheme="minorEastAsia" w:cstheme="minorEastAsia"/>
          <w:bCs/>
          <w:color w:val="auto"/>
          <w:sz w:val="21"/>
          <w:szCs w:val="21"/>
          <w:highlight w:val="none"/>
        </w:rPr>
        <w:t>采购活动，服务全部由符合政策要求的中小企业承接。相关企业（含联合体中的中小企业、签订分包意向协议的中小企业）的具体情况如下：</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r>
        <w:rPr>
          <w:rFonts w:hint="eastAsia" w:asciiTheme="minorEastAsia" w:hAnsiTheme="minorEastAsia" w:eastAsiaTheme="minorEastAsia" w:cstheme="minorEastAsia"/>
          <w:bCs/>
          <w:color w:val="auto"/>
          <w:sz w:val="21"/>
          <w:szCs w:val="21"/>
          <w:highlight w:val="none"/>
          <w:u w:val="single"/>
        </w:rPr>
        <w:t>（标的名称）</w:t>
      </w:r>
      <w:r>
        <w:rPr>
          <w:rFonts w:hint="eastAsia" w:asciiTheme="minorEastAsia" w:hAnsiTheme="minorEastAsia" w:eastAsiaTheme="minorEastAsia" w:cstheme="minorEastAsia"/>
          <w:bCs/>
          <w:color w:val="auto"/>
          <w:sz w:val="21"/>
          <w:szCs w:val="21"/>
          <w:highlight w:val="none"/>
        </w:rPr>
        <w:t>，属于</w:t>
      </w:r>
      <w:r>
        <w:rPr>
          <w:rFonts w:hint="eastAsia" w:asciiTheme="minorEastAsia" w:hAnsiTheme="minorEastAsia" w:eastAsiaTheme="minorEastAsia" w:cstheme="minorEastAsia"/>
          <w:bCs/>
          <w:color w:val="auto"/>
          <w:sz w:val="21"/>
          <w:szCs w:val="21"/>
          <w:highlight w:val="none"/>
          <w:u w:val="single"/>
        </w:rPr>
        <w:t>（采购文件中明确的所属行业）</w:t>
      </w:r>
      <w:r>
        <w:rPr>
          <w:rFonts w:hint="eastAsia" w:asciiTheme="minorEastAsia" w:hAnsiTheme="minorEastAsia" w:eastAsiaTheme="minorEastAsia" w:cstheme="minorEastAsia"/>
          <w:bCs/>
          <w:color w:val="auto"/>
          <w:sz w:val="21"/>
          <w:szCs w:val="21"/>
          <w:highlight w:val="none"/>
        </w:rPr>
        <w:t>；承接企业为</w:t>
      </w:r>
      <w:r>
        <w:rPr>
          <w:rFonts w:hint="eastAsia" w:asciiTheme="minorEastAsia" w:hAnsiTheme="minorEastAsia" w:eastAsiaTheme="minorEastAsia" w:cstheme="minorEastAsia"/>
          <w:bCs/>
          <w:color w:val="auto"/>
          <w:sz w:val="21"/>
          <w:szCs w:val="21"/>
          <w:highlight w:val="none"/>
          <w:u w:val="single"/>
        </w:rPr>
        <w:t>（企业名称）</w:t>
      </w:r>
      <w:r>
        <w:rPr>
          <w:rFonts w:hint="eastAsia" w:asciiTheme="minorEastAsia" w:hAnsiTheme="minorEastAsia" w:eastAsiaTheme="minorEastAsia" w:cstheme="minorEastAsia"/>
          <w:bCs/>
          <w:color w:val="auto"/>
          <w:sz w:val="21"/>
          <w:szCs w:val="21"/>
          <w:highlight w:val="none"/>
        </w:rPr>
        <w:t>，从业人员人，营业收入为万元，资产总额为万元，属于</w:t>
      </w:r>
      <w:r>
        <w:rPr>
          <w:rFonts w:hint="eastAsia" w:asciiTheme="minorEastAsia" w:hAnsiTheme="minorEastAsia" w:eastAsiaTheme="minorEastAsia" w:cstheme="minorEastAsia"/>
          <w:bCs/>
          <w:color w:val="auto"/>
          <w:sz w:val="21"/>
          <w:szCs w:val="21"/>
          <w:highlight w:val="none"/>
          <w:u w:val="single"/>
        </w:rPr>
        <w:t>（中型企业、小型企业、微型企业）</w:t>
      </w:r>
      <w:r>
        <w:rPr>
          <w:rFonts w:hint="eastAsia" w:asciiTheme="minorEastAsia" w:hAnsiTheme="minorEastAsia" w:eastAsiaTheme="minorEastAsia" w:cstheme="minorEastAsia"/>
          <w:bCs/>
          <w:color w:val="auto"/>
          <w:sz w:val="21"/>
          <w:szCs w:val="21"/>
          <w:highlight w:val="none"/>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r>
        <w:rPr>
          <w:rFonts w:hint="eastAsia" w:asciiTheme="minorEastAsia" w:hAnsiTheme="minorEastAsia" w:eastAsiaTheme="minorEastAsia" w:cstheme="minorEastAsia"/>
          <w:bCs/>
          <w:color w:val="auto"/>
          <w:sz w:val="21"/>
          <w:szCs w:val="21"/>
          <w:highlight w:val="none"/>
          <w:u w:val="single"/>
        </w:rPr>
        <w:t>（标的名称）</w:t>
      </w:r>
      <w:r>
        <w:rPr>
          <w:rFonts w:hint="eastAsia" w:asciiTheme="minorEastAsia" w:hAnsiTheme="minorEastAsia" w:eastAsiaTheme="minorEastAsia" w:cstheme="minorEastAsia"/>
          <w:bCs/>
          <w:color w:val="auto"/>
          <w:sz w:val="21"/>
          <w:szCs w:val="21"/>
          <w:highlight w:val="none"/>
        </w:rPr>
        <w:t>，属于</w:t>
      </w:r>
      <w:r>
        <w:rPr>
          <w:rFonts w:hint="eastAsia" w:asciiTheme="minorEastAsia" w:hAnsiTheme="minorEastAsia" w:eastAsiaTheme="minorEastAsia" w:cstheme="minorEastAsia"/>
          <w:bCs/>
          <w:color w:val="auto"/>
          <w:sz w:val="21"/>
          <w:szCs w:val="21"/>
          <w:highlight w:val="none"/>
          <w:u w:val="single"/>
        </w:rPr>
        <w:t>（采购文件中明确的所属行业）</w:t>
      </w:r>
      <w:r>
        <w:rPr>
          <w:rFonts w:hint="eastAsia" w:asciiTheme="minorEastAsia" w:hAnsiTheme="minorEastAsia" w:eastAsiaTheme="minorEastAsia" w:cstheme="minorEastAsia"/>
          <w:bCs/>
          <w:color w:val="auto"/>
          <w:sz w:val="21"/>
          <w:szCs w:val="21"/>
          <w:highlight w:val="none"/>
        </w:rPr>
        <w:t>；承接企业为</w:t>
      </w:r>
      <w:r>
        <w:rPr>
          <w:rFonts w:hint="eastAsia" w:asciiTheme="minorEastAsia" w:hAnsiTheme="minorEastAsia" w:eastAsiaTheme="minorEastAsia" w:cstheme="minorEastAsia"/>
          <w:bCs/>
          <w:color w:val="auto"/>
          <w:sz w:val="21"/>
          <w:szCs w:val="21"/>
          <w:highlight w:val="none"/>
          <w:u w:val="single"/>
        </w:rPr>
        <w:t>（企业名称）</w:t>
      </w:r>
      <w:r>
        <w:rPr>
          <w:rFonts w:hint="eastAsia" w:asciiTheme="minorEastAsia" w:hAnsiTheme="minorEastAsia" w:eastAsiaTheme="minorEastAsia" w:cstheme="minorEastAsia"/>
          <w:bCs/>
          <w:color w:val="auto"/>
          <w:sz w:val="21"/>
          <w:szCs w:val="21"/>
          <w:highlight w:val="none"/>
        </w:rPr>
        <w:t>，从业人员人，营业收入为万元，资产总额为万元，属于</w:t>
      </w:r>
      <w:r>
        <w:rPr>
          <w:rFonts w:hint="eastAsia" w:asciiTheme="minorEastAsia" w:hAnsiTheme="minorEastAsia" w:eastAsiaTheme="minorEastAsia" w:cstheme="minorEastAsia"/>
          <w:bCs/>
          <w:color w:val="auto"/>
          <w:sz w:val="21"/>
          <w:szCs w:val="21"/>
          <w:highlight w:val="none"/>
          <w:u w:val="single"/>
        </w:rPr>
        <w:t>（中型企业、小型企业、微型企业）</w:t>
      </w:r>
      <w:r>
        <w:rPr>
          <w:rFonts w:hint="eastAsia" w:asciiTheme="minorEastAsia" w:hAnsiTheme="minorEastAsia" w:eastAsiaTheme="minorEastAsia" w:cstheme="minorEastAsia"/>
          <w:bCs/>
          <w:color w:val="auto"/>
          <w:sz w:val="21"/>
          <w:szCs w:val="21"/>
          <w:highlight w:val="none"/>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以上企业，不属于大企业的分支机构，不存在控股股东为大企业的情形，也不存在与大企业的负责人为同一人的情形。</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本企业对上述声明内容的真实性负责。如有虚假，将依法承担相应责任。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asciiTheme="minorEastAsia" w:hAnsiTheme="minorEastAsia" w:eastAsiaTheme="minorEastAsia" w:cstheme="minorEastAsia"/>
          <w:bCs/>
          <w:color w:val="auto"/>
          <w:sz w:val="21"/>
          <w:szCs w:val="21"/>
          <w:highlight w:val="none"/>
        </w:rPr>
      </w:pPr>
    </w:p>
    <w:p>
      <w:pPr>
        <w:pStyle w:val="7"/>
        <w:pageBreakBefore w:val="0"/>
        <w:wordWrap/>
        <w:topLinePunct w:val="0"/>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名称（盖章）：</w:t>
      </w:r>
    </w:p>
    <w:p>
      <w:pPr>
        <w:pageBreakBefore w:val="0"/>
        <w:widowControl w:val="0"/>
        <w:kinsoku/>
        <w:wordWrap/>
        <w:overflowPunct/>
        <w:topLinePunct w:val="0"/>
        <w:autoSpaceDE/>
        <w:autoSpaceDN/>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日期：</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备注：</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①从业人员、营业收入、资产总额填报上一年度数据，无上一年度数据的新成立企业可不填报。</w:t>
      </w:r>
    </w:p>
    <w:p>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highlight w:val="none"/>
        </w:rPr>
        <w:t>②供应商提供《中小企业声明函》内容不实的，属于“隐瞒真实情况，提供虚假资料的”情形，依照有关规定追究相应责任。</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附件3：监狱企业证明文件</w:t>
      </w:r>
    </w:p>
    <w:p>
      <w:pPr>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1"/>
          <w:szCs w:val="21"/>
          <w:highlight w:val="none"/>
          <w:lang w:val="zh-CN"/>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highlight w:val="none"/>
          <w:lang w:val="zh-CN"/>
        </w:rPr>
        <w:t>享受</w:t>
      </w:r>
      <w:r>
        <w:rPr>
          <w:rFonts w:hint="eastAsia"/>
          <w:color w:val="auto"/>
          <w:sz w:val="21"/>
          <w:szCs w:val="21"/>
          <w:highlight w:val="none"/>
          <w:lang w:val="zh-CN"/>
        </w:rPr>
        <w:t>政策优惠的监狱企业须提供由省级以上监狱管理局、戒毒管理局（含新疆生产建设兵团）出具的属于监狱企业的证明文件。</w:t>
      </w:r>
    </w:p>
    <w:p>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附件4</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残疾人福利性单位声明函</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highlight w:val="none"/>
        </w:rPr>
      </w:pP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rPr>
        <w:t>单位的</w:t>
      </w:r>
      <w:r>
        <w:rPr>
          <w:rFonts w:hint="eastAsia" w:asciiTheme="minorEastAsia" w:hAnsiTheme="minorEastAsia" w:eastAsiaTheme="minorEastAsia" w:cstheme="minorEastAsia"/>
          <w:bCs/>
          <w:color w:val="auto"/>
          <w:sz w:val="21"/>
          <w:szCs w:val="21"/>
          <w:highlight w:val="none"/>
          <w:u w:val="single"/>
        </w:rPr>
        <w:t>（项目名称、项目编号、包号）</w:t>
      </w:r>
      <w:r>
        <w:rPr>
          <w:rFonts w:hint="eastAsia" w:asciiTheme="minorEastAsia" w:hAnsiTheme="minorEastAsia" w:eastAsiaTheme="minorEastAsia" w:cstheme="minorEastAsia"/>
          <w:color w:val="auto"/>
          <w:sz w:val="21"/>
          <w:szCs w:val="21"/>
          <w:highlight w:val="none"/>
        </w:rPr>
        <w:t>项目采购活动提供本单位制造的货物（由本单位承担工程/提供服务），或者提供其他残疾人福利性单位制造的货物（不包括使用非残疾人福利性单位注册商标的货物）。 </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本单位对上述声明的真实性负责。如有虚假，将依法承担相应责任。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highlight w:val="none"/>
        </w:rPr>
      </w:pPr>
    </w:p>
    <w:p>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highlight w:val="none"/>
        </w:rPr>
      </w:pPr>
    </w:p>
    <w:p>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单位名称（盖章）：　　　　　　　　</w:t>
      </w:r>
    </w:p>
    <w:p>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日期：</w:t>
      </w:r>
    </w:p>
    <w:p>
      <w:pPr>
        <w:pageBreakBefore w:val="0"/>
        <w:wordWrap/>
        <w:topLinePunct w:val="0"/>
        <w:bidi w:val="0"/>
        <w:spacing w:line="360" w:lineRule="auto"/>
        <w:ind w:firstLine="561"/>
        <w:textAlignment w:val="auto"/>
        <w:rPr>
          <w:rFonts w:hint="eastAsia" w:ascii="宋体" w:hAnsi="宋体" w:eastAsia="宋体" w:cs="宋体"/>
          <w:b w:val="0"/>
          <w:bCs/>
          <w:color w:val="auto"/>
          <w:sz w:val="21"/>
          <w:szCs w:val="21"/>
          <w:highlight w:val="none"/>
        </w:rPr>
      </w:pPr>
    </w:p>
    <w:p>
      <w:pPr>
        <w:adjustRightInd/>
        <w:snapToGrid/>
        <w:spacing w:line="560" w:lineRule="exact"/>
        <w:rPr>
          <w:color w:val="auto"/>
        </w:rPr>
      </w:pPr>
    </w:p>
    <w:sectPr>
      <w:headerReference r:id="rId18" w:type="default"/>
      <w:footerReference r:id="rId19" w:type="default"/>
      <w:pgSz w:w="11906" w:h="16838"/>
      <w:pgMar w:top="1440" w:right="1800" w:bottom="1440" w:left="1800" w:header="794"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Monotype Corsiva">
    <w:panose1 w:val="03010101010201010101"/>
    <w:charset w:val="00"/>
    <w:family w:val="auto"/>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页共</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ind w:firstLine="36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页共</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页</w:t>
                    </w:r>
                  </w:p>
                </w:txbxContent>
              </v:textbox>
            </v:shape>
          </w:pict>
        </mc:Fallback>
      </mc:AlternateContent>
    </w: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页共</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ind w:firstLine="36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页共</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页</w:t>
                    </w:r>
                  </w:p>
                </w:txbxContent>
              </v:textbox>
            </v:shape>
          </w:pict>
        </mc:Fallback>
      </mc:AlternateContent>
    </w:r>
  </w:p>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ind w:firstLine="36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页共</w:t>
                          </w:r>
                          <w:r>
                            <w:fldChar w:fldCharType="begin"/>
                          </w:r>
                          <w:r>
                            <w:instrText xml:space="preserve"> NUMPAGES  \* MERGEFORMAT </w:instrText>
                          </w:r>
                          <w:r>
                            <w:fldChar w:fldCharType="separate"/>
                          </w:r>
                          <w:r>
                            <w:t>114</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4"/>
                      <w:ind w:firstLine="36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页共</w:t>
                    </w:r>
                    <w:r>
                      <w:fldChar w:fldCharType="begin"/>
                    </w:r>
                    <w:r>
                      <w:instrText xml:space="preserve"> NUMPAGES  \* MERGEFORMAT </w:instrText>
                    </w:r>
                    <w:r>
                      <w:fldChar w:fldCharType="separate"/>
                    </w:r>
                    <w:r>
                      <w:t>114</w:t>
                    </w:r>
                    <w:r>
                      <w:fldChar w:fldCharType="end"/>
                    </w:r>
                    <w:r>
                      <w:rPr>
                        <w:rFonts w:hint="eastAsia"/>
                      </w:rPr>
                      <w:t>页</w:t>
                    </w:r>
                  </w:p>
                </w:txbxContent>
              </v:textbox>
            </v:shape>
          </w:pict>
        </mc:Fallback>
      </mc:AlternateContent>
    </w:r>
  </w:p>
  <w:p>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页共</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4"/>
                      <w:ind w:firstLine="36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页共</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页</w:t>
                    </w:r>
                  </w:p>
                </w:txbxContent>
              </v:textbox>
            </v:shape>
          </w:pict>
        </mc:Fallback>
      </mc:AlternateContent>
    </w:r>
  </w:p>
  <w:p>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ind w:firstLine="360"/>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14"/>
                      <w:ind w:firstLine="360"/>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页共</w:t>
                          </w:r>
                          <w:r>
                            <w:fldChar w:fldCharType="begin"/>
                          </w:r>
                          <w:r>
                            <w:instrText xml:space="preserve"> NUMPAGES  \* MERGEFORMAT </w:instrText>
                          </w:r>
                          <w:r>
                            <w:fldChar w:fldCharType="separate"/>
                          </w:r>
                          <w:r>
                            <w:t>35</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页共</w:t>
                    </w:r>
                    <w:r>
                      <w:fldChar w:fldCharType="begin"/>
                    </w:r>
                    <w:r>
                      <w:instrText xml:space="preserve"> NUMPAGES  \* MERGEFORMAT </w:instrText>
                    </w:r>
                    <w:r>
                      <w:fldChar w:fldCharType="separate"/>
                    </w:r>
                    <w:r>
                      <w:t>35</w:t>
                    </w:r>
                    <w:r>
                      <w:fldChar w:fldCharType="end"/>
                    </w:r>
                    <w:r>
                      <w:rPr>
                        <w:rFonts w:hint="eastAsia"/>
                      </w:rPr>
                      <w:t>页</w:t>
                    </w:r>
                  </w:p>
                </w:txbxContent>
              </v:textbox>
            </v:shape>
          </w:pict>
        </mc:Fallback>
      </mc:AlternateContent>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页共</w:t>
                          </w:r>
                          <w:r>
                            <w:fldChar w:fldCharType="begin"/>
                          </w:r>
                          <w:r>
                            <w:instrText xml:space="preserve"> NUMPAGES  \* MERGEFORMAT </w:instrText>
                          </w:r>
                          <w:r>
                            <w:fldChar w:fldCharType="separate"/>
                          </w:r>
                          <w:r>
                            <w:t>35</w:t>
                          </w:r>
                          <w: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ind w:firstLine="36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页共</w:t>
                    </w:r>
                    <w:r>
                      <w:fldChar w:fldCharType="begin"/>
                    </w:r>
                    <w:r>
                      <w:instrText xml:space="preserve"> NUMPAGES  \* MERGEFORMAT </w:instrText>
                    </w:r>
                    <w:r>
                      <w:fldChar w:fldCharType="separate"/>
                    </w:r>
                    <w:r>
                      <w:t>35</w:t>
                    </w:r>
                    <w:r>
                      <w:fldChar w:fldCharType="end"/>
                    </w:r>
                    <w:r>
                      <w:rPr>
                        <w:rFonts w:hint="eastAsia"/>
                      </w:rPr>
                      <w:t>页</w:t>
                    </w:r>
                  </w:p>
                </w:txbxContent>
              </v:textbox>
            </v:shape>
          </w:pict>
        </mc:Fallback>
      </mc:AlternateContent>
    </w:r>
  </w:p>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60"/>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rFonts w:hint="eastAsia"/>
        <w:sz w:val="18"/>
        <w:szCs w:val="18"/>
      </w:rPr>
      <w:t>海</w:t>
    </w:r>
    <w:r>
      <w:rPr>
        <w:rFonts w:hint="eastAsia"/>
      </w:rPr>
      <w:t>口市政府采购中心海口市人民医院物业服务项目（C包安保服务）</w:t>
    </w:r>
  </w:p>
  <w:p>
    <w:pPr>
      <w:pStyle w:val="12"/>
    </w:pPr>
    <w:r>
      <w:rPr>
        <w:rFonts w:hint="eastAsia"/>
      </w:rPr>
      <w:t>/HKGP-2021-0038</w:t>
    </w:r>
  </w:p>
  <w:p>
    <w:pPr>
      <w:pStyle w:val="15"/>
      <w:ind w:firstLine="360"/>
    </w:pP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rFonts w:hint="eastAsia"/>
        <w:sz w:val="18"/>
        <w:szCs w:val="18"/>
      </w:rPr>
      <w:t>海</w:t>
    </w:r>
    <w:r>
      <w:rPr>
        <w:rFonts w:hint="eastAsia"/>
      </w:rPr>
      <w:t>口市政府采购中心海口市人民医院物业服务项目（C包安保服务）</w:t>
    </w:r>
  </w:p>
  <w:p>
    <w:pPr>
      <w:pStyle w:val="12"/>
    </w:pPr>
    <w:r>
      <w:rPr>
        <w:rFonts w:hint="eastAsia"/>
      </w:rPr>
      <w:t>/HKGP-2021-0038</w:t>
    </w:r>
  </w:p>
  <w:p>
    <w:pPr>
      <w:ind w:firstLine="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r>
      <w:rPr>
        <w:sz w:val="21"/>
        <w:szCs w:val="21"/>
      </w:rPr>
      <w:ptab w:relativeTo="margin" w:alignment="right"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60"/>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7891C"/>
    <w:multiLevelType w:val="singleLevel"/>
    <w:tmpl w:val="E987891C"/>
    <w:lvl w:ilvl="0" w:tentative="0">
      <w:start w:val="6"/>
      <w:numFmt w:val="chineseCounting"/>
      <w:suff w:val="space"/>
      <w:lvlText w:val="第%1条"/>
      <w:lvlJc w:val="left"/>
      <w:rPr>
        <w:rFonts w:hint="eastAsia"/>
      </w:rPr>
    </w:lvl>
  </w:abstractNum>
  <w:abstractNum w:abstractNumId="1">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visionView w:markup="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NDBkZjBiZWNmZjRiMDA2MjU2N2ViNjhkY2FkZmQifQ=="/>
  </w:docVars>
  <w:rsids>
    <w:rsidRoot w:val="00172A27"/>
    <w:rsid w:val="0001465D"/>
    <w:rsid w:val="00172A27"/>
    <w:rsid w:val="002D0ECF"/>
    <w:rsid w:val="003216DB"/>
    <w:rsid w:val="00407E90"/>
    <w:rsid w:val="00471A40"/>
    <w:rsid w:val="004754F0"/>
    <w:rsid w:val="005D103E"/>
    <w:rsid w:val="005E2BF8"/>
    <w:rsid w:val="005F4489"/>
    <w:rsid w:val="006951D6"/>
    <w:rsid w:val="00801901"/>
    <w:rsid w:val="00803B0C"/>
    <w:rsid w:val="00847139"/>
    <w:rsid w:val="009A1606"/>
    <w:rsid w:val="009B4088"/>
    <w:rsid w:val="00A63F7E"/>
    <w:rsid w:val="00B226E4"/>
    <w:rsid w:val="00B2523D"/>
    <w:rsid w:val="00B801B8"/>
    <w:rsid w:val="00BF39B3"/>
    <w:rsid w:val="00CF3B3E"/>
    <w:rsid w:val="00EA3FDC"/>
    <w:rsid w:val="00FE4042"/>
    <w:rsid w:val="01193BAB"/>
    <w:rsid w:val="012515C4"/>
    <w:rsid w:val="012F0CEC"/>
    <w:rsid w:val="013A752C"/>
    <w:rsid w:val="0159347F"/>
    <w:rsid w:val="017C6D0A"/>
    <w:rsid w:val="01816A09"/>
    <w:rsid w:val="0196601E"/>
    <w:rsid w:val="01C41560"/>
    <w:rsid w:val="01C66C29"/>
    <w:rsid w:val="01D408F4"/>
    <w:rsid w:val="01E70628"/>
    <w:rsid w:val="02031C73"/>
    <w:rsid w:val="02092C94"/>
    <w:rsid w:val="02160F0D"/>
    <w:rsid w:val="02213014"/>
    <w:rsid w:val="022655F4"/>
    <w:rsid w:val="022D30DA"/>
    <w:rsid w:val="02455925"/>
    <w:rsid w:val="0256755B"/>
    <w:rsid w:val="02866093"/>
    <w:rsid w:val="02A97FD3"/>
    <w:rsid w:val="02B04EBD"/>
    <w:rsid w:val="02BA21E0"/>
    <w:rsid w:val="02D05560"/>
    <w:rsid w:val="02D219C4"/>
    <w:rsid w:val="03065425"/>
    <w:rsid w:val="030A6CC4"/>
    <w:rsid w:val="03231259"/>
    <w:rsid w:val="033360DB"/>
    <w:rsid w:val="033B0CFE"/>
    <w:rsid w:val="034F7EF4"/>
    <w:rsid w:val="03854560"/>
    <w:rsid w:val="03BF4CCA"/>
    <w:rsid w:val="03C14561"/>
    <w:rsid w:val="03C926DB"/>
    <w:rsid w:val="04041965"/>
    <w:rsid w:val="040D3C69"/>
    <w:rsid w:val="0422003D"/>
    <w:rsid w:val="04261197"/>
    <w:rsid w:val="04630F4A"/>
    <w:rsid w:val="049B5476"/>
    <w:rsid w:val="04AC1A71"/>
    <w:rsid w:val="04E03371"/>
    <w:rsid w:val="052D4ADE"/>
    <w:rsid w:val="0534580D"/>
    <w:rsid w:val="05432019"/>
    <w:rsid w:val="055E210C"/>
    <w:rsid w:val="056A57F8"/>
    <w:rsid w:val="05774F35"/>
    <w:rsid w:val="05B80C59"/>
    <w:rsid w:val="05F21DE6"/>
    <w:rsid w:val="06112117"/>
    <w:rsid w:val="064E5119"/>
    <w:rsid w:val="064E6865"/>
    <w:rsid w:val="066C559F"/>
    <w:rsid w:val="06984B35"/>
    <w:rsid w:val="06BC55A9"/>
    <w:rsid w:val="06DF2215"/>
    <w:rsid w:val="06EC4087"/>
    <w:rsid w:val="07027CB2"/>
    <w:rsid w:val="07050876"/>
    <w:rsid w:val="07105E67"/>
    <w:rsid w:val="071C34B5"/>
    <w:rsid w:val="071D0355"/>
    <w:rsid w:val="0733430F"/>
    <w:rsid w:val="073851BD"/>
    <w:rsid w:val="07A219EC"/>
    <w:rsid w:val="07B81042"/>
    <w:rsid w:val="07D1641A"/>
    <w:rsid w:val="07D23B28"/>
    <w:rsid w:val="07DE427B"/>
    <w:rsid w:val="07F5271F"/>
    <w:rsid w:val="07F661BB"/>
    <w:rsid w:val="08007B78"/>
    <w:rsid w:val="08105A97"/>
    <w:rsid w:val="08145A20"/>
    <w:rsid w:val="081964D9"/>
    <w:rsid w:val="082779D0"/>
    <w:rsid w:val="082C4653"/>
    <w:rsid w:val="085409E1"/>
    <w:rsid w:val="085A2AEA"/>
    <w:rsid w:val="085A4AFD"/>
    <w:rsid w:val="08755BC3"/>
    <w:rsid w:val="087D5842"/>
    <w:rsid w:val="08A774AC"/>
    <w:rsid w:val="08DB2D17"/>
    <w:rsid w:val="08DC5BCE"/>
    <w:rsid w:val="08FD2989"/>
    <w:rsid w:val="090F409F"/>
    <w:rsid w:val="09601EFA"/>
    <w:rsid w:val="09634106"/>
    <w:rsid w:val="09856BC3"/>
    <w:rsid w:val="09886B94"/>
    <w:rsid w:val="09955495"/>
    <w:rsid w:val="09A068B5"/>
    <w:rsid w:val="09B37E23"/>
    <w:rsid w:val="09FC5A6D"/>
    <w:rsid w:val="0A586351"/>
    <w:rsid w:val="0A5D1DCF"/>
    <w:rsid w:val="0A7B7C6C"/>
    <w:rsid w:val="0A89454C"/>
    <w:rsid w:val="0AA52631"/>
    <w:rsid w:val="0ABD0ABF"/>
    <w:rsid w:val="0AD87214"/>
    <w:rsid w:val="0AF21923"/>
    <w:rsid w:val="0AFD710E"/>
    <w:rsid w:val="0B183F48"/>
    <w:rsid w:val="0B301C8C"/>
    <w:rsid w:val="0B464611"/>
    <w:rsid w:val="0B971310"/>
    <w:rsid w:val="0BB7140A"/>
    <w:rsid w:val="0BBC0022"/>
    <w:rsid w:val="0BD90EE9"/>
    <w:rsid w:val="0BE61950"/>
    <w:rsid w:val="0BF26973"/>
    <w:rsid w:val="0C0D599E"/>
    <w:rsid w:val="0C246131"/>
    <w:rsid w:val="0C282C80"/>
    <w:rsid w:val="0C747BE1"/>
    <w:rsid w:val="0C796895"/>
    <w:rsid w:val="0C7E427E"/>
    <w:rsid w:val="0C87260E"/>
    <w:rsid w:val="0C8D7232"/>
    <w:rsid w:val="0C8E44C1"/>
    <w:rsid w:val="0C956CDB"/>
    <w:rsid w:val="0C9E593E"/>
    <w:rsid w:val="0CA578F4"/>
    <w:rsid w:val="0CC95340"/>
    <w:rsid w:val="0CE06855"/>
    <w:rsid w:val="0CF271BF"/>
    <w:rsid w:val="0D2C5A88"/>
    <w:rsid w:val="0D337983"/>
    <w:rsid w:val="0D3A63F7"/>
    <w:rsid w:val="0D3F756A"/>
    <w:rsid w:val="0D417786"/>
    <w:rsid w:val="0D42705A"/>
    <w:rsid w:val="0D474670"/>
    <w:rsid w:val="0D5F1E64"/>
    <w:rsid w:val="0D9755F8"/>
    <w:rsid w:val="0DB145F7"/>
    <w:rsid w:val="0DB27913"/>
    <w:rsid w:val="0DCD568A"/>
    <w:rsid w:val="0DFD1228"/>
    <w:rsid w:val="0E2B535C"/>
    <w:rsid w:val="0E603E62"/>
    <w:rsid w:val="0EF600FC"/>
    <w:rsid w:val="0EFA4090"/>
    <w:rsid w:val="0F3B3D47"/>
    <w:rsid w:val="0F4814BC"/>
    <w:rsid w:val="0F6B0AEA"/>
    <w:rsid w:val="0F973DEF"/>
    <w:rsid w:val="0FB6788B"/>
    <w:rsid w:val="100B407B"/>
    <w:rsid w:val="104E667B"/>
    <w:rsid w:val="10575E20"/>
    <w:rsid w:val="105A2DDD"/>
    <w:rsid w:val="10637FF6"/>
    <w:rsid w:val="106611CB"/>
    <w:rsid w:val="10831E63"/>
    <w:rsid w:val="10A67900"/>
    <w:rsid w:val="11357601"/>
    <w:rsid w:val="113722BE"/>
    <w:rsid w:val="113B0DD1"/>
    <w:rsid w:val="113F685C"/>
    <w:rsid w:val="11601AD6"/>
    <w:rsid w:val="11BA18B5"/>
    <w:rsid w:val="11C11441"/>
    <w:rsid w:val="11E76422"/>
    <w:rsid w:val="120D71EE"/>
    <w:rsid w:val="12380801"/>
    <w:rsid w:val="12507C79"/>
    <w:rsid w:val="1254371D"/>
    <w:rsid w:val="1262199D"/>
    <w:rsid w:val="12865437"/>
    <w:rsid w:val="128A572B"/>
    <w:rsid w:val="12A73D26"/>
    <w:rsid w:val="12AA1929"/>
    <w:rsid w:val="12AF6F40"/>
    <w:rsid w:val="12BD6BF4"/>
    <w:rsid w:val="12CA3D79"/>
    <w:rsid w:val="13053004"/>
    <w:rsid w:val="132D6E78"/>
    <w:rsid w:val="1339562D"/>
    <w:rsid w:val="13505B2E"/>
    <w:rsid w:val="137C0484"/>
    <w:rsid w:val="13962132"/>
    <w:rsid w:val="1399374C"/>
    <w:rsid w:val="139C4065"/>
    <w:rsid w:val="13BF7656"/>
    <w:rsid w:val="141E0ADB"/>
    <w:rsid w:val="142812C3"/>
    <w:rsid w:val="1437327D"/>
    <w:rsid w:val="145002AE"/>
    <w:rsid w:val="1454587B"/>
    <w:rsid w:val="145A17F2"/>
    <w:rsid w:val="145A366F"/>
    <w:rsid w:val="145F04F1"/>
    <w:rsid w:val="147C10A3"/>
    <w:rsid w:val="14891A12"/>
    <w:rsid w:val="148D1503"/>
    <w:rsid w:val="14A8633C"/>
    <w:rsid w:val="14B22D17"/>
    <w:rsid w:val="14B33330"/>
    <w:rsid w:val="14E24257"/>
    <w:rsid w:val="14F364DD"/>
    <w:rsid w:val="14FE7D0A"/>
    <w:rsid w:val="150D5D06"/>
    <w:rsid w:val="15204125"/>
    <w:rsid w:val="153951E6"/>
    <w:rsid w:val="155B13B3"/>
    <w:rsid w:val="157F1A78"/>
    <w:rsid w:val="15D078F9"/>
    <w:rsid w:val="15DA2525"/>
    <w:rsid w:val="15DA2C5A"/>
    <w:rsid w:val="1605187F"/>
    <w:rsid w:val="16154877"/>
    <w:rsid w:val="16500A3A"/>
    <w:rsid w:val="16573B76"/>
    <w:rsid w:val="1672275E"/>
    <w:rsid w:val="167A1613"/>
    <w:rsid w:val="16845276"/>
    <w:rsid w:val="16897AA8"/>
    <w:rsid w:val="169762DB"/>
    <w:rsid w:val="16A11295"/>
    <w:rsid w:val="16A13043"/>
    <w:rsid w:val="16A673E4"/>
    <w:rsid w:val="16AA639C"/>
    <w:rsid w:val="16C0190D"/>
    <w:rsid w:val="170F0CDD"/>
    <w:rsid w:val="17137D16"/>
    <w:rsid w:val="173B3498"/>
    <w:rsid w:val="17563E2E"/>
    <w:rsid w:val="17944956"/>
    <w:rsid w:val="17982698"/>
    <w:rsid w:val="17B77DC6"/>
    <w:rsid w:val="17E31439"/>
    <w:rsid w:val="18251A52"/>
    <w:rsid w:val="18367B71"/>
    <w:rsid w:val="18371EB1"/>
    <w:rsid w:val="186A144F"/>
    <w:rsid w:val="187622AE"/>
    <w:rsid w:val="18812024"/>
    <w:rsid w:val="189D2F2A"/>
    <w:rsid w:val="18A543BA"/>
    <w:rsid w:val="18B16CFB"/>
    <w:rsid w:val="18D314AE"/>
    <w:rsid w:val="18DA1062"/>
    <w:rsid w:val="18DF750D"/>
    <w:rsid w:val="19057B47"/>
    <w:rsid w:val="192E465C"/>
    <w:rsid w:val="193A152D"/>
    <w:rsid w:val="195A634B"/>
    <w:rsid w:val="19720CC7"/>
    <w:rsid w:val="199C16E9"/>
    <w:rsid w:val="199D5F29"/>
    <w:rsid w:val="1A0E0CCD"/>
    <w:rsid w:val="1A271AB1"/>
    <w:rsid w:val="1A2E4BEE"/>
    <w:rsid w:val="1A5202FA"/>
    <w:rsid w:val="1AAC33FA"/>
    <w:rsid w:val="1AB86BAD"/>
    <w:rsid w:val="1AED0A61"/>
    <w:rsid w:val="1AF517D9"/>
    <w:rsid w:val="1B056327"/>
    <w:rsid w:val="1B34092A"/>
    <w:rsid w:val="1B4548E5"/>
    <w:rsid w:val="1B4B4FB2"/>
    <w:rsid w:val="1B4E010B"/>
    <w:rsid w:val="1B5C39DD"/>
    <w:rsid w:val="1B7A723A"/>
    <w:rsid w:val="1B9E715D"/>
    <w:rsid w:val="1BC33804"/>
    <w:rsid w:val="1BCA0EFB"/>
    <w:rsid w:val="1BCD6688"/>
    <w:rsid w:val="1BD6322C"/>
    <w:rsid w:val="1BDD4B1E"/>
    <w:rsid w:val="1BDF0C37"/>
    <w:rsid w:val="1C180837"/>
    <w:rsid w:val="1C1B5646"/>
    <w:rsid w:val="1C2244F6"/>
    <w:rsid w:val="1C6670D2"/>
    <w:rsid w:val="1C735482"/>
    <w:rsid w:val="1C8E406A"/>
    <w:rsid w:val="1C9070D0"/>
    <w:rsid w:val="1CA52F76"/>
    <w:rsid w:val="1CAD6FA9"/>
    <w:rsid w:val="1CCD7296"/>
    <w:rsid w:val="1CE64FF2"/>
    <w:rsid w:val="1D1C3424"/>
    <w:rsid w:val="1D234DCF"/>
    <w:rsid w:val="1D2D3ACF"/>
    <w:rsid w:val="1D3E783E"/>
    <w:rsid w:val="1D686A57"/>
    <w:rsid w:val="1D813BCE"/>
    <w:rsid w:val="1D864D41"/>
    <w:rsid w:val="1D877C1B"/>
    <w:rsid w:val="1DB63878"/>
    <w:rsid w:val="1DE2494A"/>
    <w:rsid w:val="1DFE6FCD"/>
    <w:rsid w:val="1E0D7210"/>
    <w:rsid w:val="1E1A6270"/>
    <w:rsid w:val="1E37603B"/>
    <w:rsid w:val="1E66393B"/>
    <w:rsid w:val="1E6C2189"/>
    <w:rsid w:val="1E8C6387"/>
    <w:rsid w:val="1E9F7B2F"/>
    <w:rsid w:val="1EB53B30"/>
    <w:rsid w:val="1EB83740"/>
    <w:rsid w:val="1EC56452"/>
    <w:rsid w:val="1EED5392"/>
    <w:rsid w:val="1F37541D"/>
    <w:rsid w:val="1F86727A"/>
    <w:rsid w:val="1F9D2223"/>
    <w:rsid w:val="1FC96AD8"/>
    <w:rsid w:val="1FE15F3B"/>
    <w:rsid w:val="1FF7A56F"/>
    <w:rsid w:val="20270A5D"/>
    <w:rsid w:val="203E5DA7"/>
    <w:rsid w:val="205D447F"/>
    <w:rsid w:val="20660E66"/>
    <w:rsid w:val="208725B1"/>
    <w:rsid w:val="209B4FA7"/>
    <w:rsid w:val="20A21E92"/>
    <w:rsid w:val="21132956"/>
    <w:rsid w:val="211428BF"/>
    <w:rsid w:val="211519AD"/>
    <w:rsid w:val="21202FCA"/>
    <w:rsid w:val="215A09BE"/>
    <w:rsid w:val="217C5962"/>
    <w:rsid w:val="21B3342C"/>
    <w:rsid w:val="21C127EB"/>
    <w:rsid w:val="21C978F2"/>
    <w:rsid w:val="21F95F69"/>
    <w:rsid w:val="220171CF"/>
    <w:rsid w:val="22235254"/>
    <w:rsid w:val="22287E8E"/>
    <w:rsid w:val="224A0A33"/>
    <w:rsid w:val="224A1874"/>
    <w:rsid w:val="225D1EB1"/>
    <w:rsid w:val="226F2DD1"/>
    <w:rsid w:val="22745AB0"/>
    <w:rsid w:val="229B216B"/>
    <w:rsid w:val="229D6DB5"/>
    <w:rsid w:val="22B13B13"/>
    <w:rsid w:val="22B3482A"/>
    <w:rsid w:val="22B66EF0"/>
    <w:rsid w:val="22F664C5"/>
    <w:rsid w:val="23256DAA"/>
    <w:rsid w:val="233174FD"/>
    <w:rsid w:val="233A0AA7"/>
    <w:rsid w:val="234271CB"/>
    <w:rsid w:val="237D267B"/>
    <w:rsid w:val="238B212F"/>
    <w:rsid w:val="23A0437A"/>
    <w:rsid w:val="23A423C5"/>
    <w:rsid w:val="23AE0B4E"/>
    <w:rsid w:val="23B1063E"/>
    <w:rsid w:val="23B32608"/>
    <w:rsid w:val="23BC2A5A"/>
    <w:rsid w:val="23C66840"/>
    <w:rsid w:val="23C860B3"/>
    <w:rsid w:val="23CD07BD"/>
    <w:rsid w:val="23FB3B93"/>
    <w:rsid w:val="240D7F6A"/>
    <w:rsid w:val="24294678"/>
    <w:rsid w:val="24346E9F"/>
    <w:rsid w:val="243E6375"/>
    <w:rsid w:val="245925FC"/>
    <w:rsid w:val="245C4A4D"/>
    <w:rsid w:val="245E5334"/>
    <w:rsid w:val="24774524"/>
    <w:rsid w:val="248A08C7"/>
    <w:rsid w:val="24A26904"/>
    <w:rsid w:val="24ED56A6"/>
    <w:rsid w:val="25030902"/>
    <w:rsid w:val="25050C41"/>
    <w:rsid w:val="25320EB3"/>
    <w:rsid w:val="253F05F7"/>
    <w:rsid w:val="254257E5"/>
    <w:rsid w:val="25675458"/>
    <w:rsid w:val="256D095A"/>
    <w:rsid w:val="25714A6D"/>
    <w:rsid w:val="25824FE5"/>
    <w:rsid w:val="258E50DA"/>
    <w:rsid w:val="25AE26C4"/>
    <w:rsid w:val="25D51472"/>
    <w:rsid w:val="25E0531F"/>
    <w:rsid w:val="25F5515A"/>
    <w:rsid w:val="26306279"/>
    <w:rsid w:val="263A0DBE"/>
    <w:rsid w:val="263B05DB"/>
    <w:rsid w:val="264F15E3"/>
    <w:rsid w:val="26774ED4"/>
    <w:rsid w:val="26832765"/>
    <w:rsid w:val="26AD1856"/>
    <w:rsid w:val="26F02B5B"/>
    <w:rsid w:val="26FE382E"/>
    <w:rsid w:val="273B094A"/>
    <w:rsid w:val="273F0DA8"/>
    <w:rsid w:val="27460791"/>
    <w:rsid w:val="274F43F6"/>
    <w:rsid w:val="274F678B"/>
    <w:rsid w:val="275318CF"/>
    <w:rsid w:val="27A40BE5"/>
    <w:rsid w:val="27BF3540"/>
    <w:rsid w:val="27D44B1C"/>
    <w:rsid w:val="28193725"/>
    <w:rsid w:val="282A6111"/>
    <w:rsid w:val="282F2F82"/>
    <w:rsid w:val="2835183D"/>
    <w:rsid w:val="286A10B9"/>
    <w:rsid w:val="286F2FA1"/>
    <w:rsid w:val="28777AD4"/>
    <w:rsid w:val="287D015D"/>
    <w:rsid w:val="288B7471"/>
    <w:rsid w:val="28A92BCF"/>
    <w:rsid w:val="28B078C0"/>
    <w:rsid w:val="28B5472C"/>
    <w:rsid w:val="28CC4A38"/>
    <w:rsid w:val="28D56B7C"/>
    <w:rsid w:val="29220014"/>
    <w:rsid w:val="29335621"/>
    <w:rsid w:val="293755EF"/>
    <w:rsid w:val="295B52D4"/>
    <w:rsid w:val="297213A4"/>
    <w:rsid w:val="298A5CE1"/>
    <w:rsid w:val="298E56A9"/>
    <w:rsid w:val="29935745"/>
    <w:rsid w:val="299B073A"/>
    <w:rsid w:val="299E0C30"/>
    <w:rsid w:val="29AF73CD"/>
    <w:rsid w:val="29C333E9"/>
    <w:rsid w:val="29CF2C9E"/>
    <w:rsid w:val="29F01EC0"/>
    <w:rsid w:val="29FF0355"/>
    <w:rsid w:val="2A0059CF"/>
    <w:rsid w:val="2A1525B3"/>
    <w:rsid w:val="2A1F3C77"/>
    <w:rsid w:val="2A41271B"/>
    <w:rsid w:val="2A420242"/>
    <w:rsid w:val="2A663F30"/>
    <w:rsid w:val="2A770325"/>
    <w:rsid w:val="2A862824"/>
    <w:rsid w:val="2A954815"/>
    <w:rsid w:val="2AFE1682"/>
    <w:rsid w:val="2B3E30FF"/>
    <w:rsid w:val="2B5621F6"/>
    <w:rsid w:val="2B577739"/>
    <w:rsid w:val="2B82420A"/>
    <w:rsid w:val="2BC32FA6"/>
    <w:rsid w:val="2BDE0F2A"/>
    <w:rsid w:val="2BE230F1"/>
    <w:rsid w:val="2BF35C97"/>
    <w:rsid w:val="2BFD2672"/>
    <w:rsid w:val="2C1005F7"/>
    <w:rsid w:val="2C1B0D4A"/>
    <w:rsid w:val="2C1F0ECB"/>
    <w:rsid w:val="2C29790B"/>
    <w:rsid w:val="2C2F0132"/>
    <w:rsid w:val="2C5B48B1"/>
    <w:rsid w:val="2C60179C"/>
    <w:rsid w:val="2C635A6B"/>
    <w:rsid w:val="2C9C63F2"/>
    <w:rsid w:val="2C9F5E1F"/>
    <w:rsid w:val="2CE95AE3"/>
    <w:rsid w:val="2D056A81"/>
    <w:rsid w:val="2D0B713B"/>
    <w:rsid w:val="2D0D1210"/>
    <w:rsid w:val="2D205DF5"/>
    <w:rsid w:val="2D6C3F53"/>
    <w:rsid w:val="2D6F2A08"/>
    <w:rsid w:val="2D7A708A"/>
    <w:rsid w:val="2D986A7C"/>
    <w:rsid w:val="2DD31C58"/>
    <w:rsid w:val="2DEA2F02"/>
    <w:rsid w:val="2E0D6B3A"/>
    <w:rsid w:val="2E386100"/>
    <w:rsid w:val="2E3A4E93"/>
    <w:rsid w:val="2E4F2F2D"/>
    <w:rsid w:val="2E671B3F"/>
    <w:rsid w:val="2E69279B"/>
    <w:rsid w:val="2E813A2E"/>
    <w:rsid w:val="2E921BC1"/>
    <w:rsid w:val="2E987B5A"/>
    <w:rsid w:val="2E9D3756"/>
    <w:rsid w:val="2ED71151"/>
    <w:rsid w:val="2EEB534C"/>
    <w:rsid w:val="2EFB0B3C"/>
    <w:rsid w:val="2F1300E5"/>
    <w:rsid w:val="2F3B21A6"/>
    <w:rsid w:val="2F503401"/>
    <w:rsid w:val="2F5B4CE0"/>
    <w:rsid w:val="2F5C1340"/>
    <w:rsid w:val="2F5D4FF9"/>
    <w:rsid w:val="2F6457B2"/>
    <w:rsid w:val="2F666780"/>
    <w:rsid w:val="2F7E3ACA"/>
    <w:rsid w:val="2F8135BA"/>
    <w:rsid w:val="2F8D101C"/>
    <w:rsid w:val="2F9039F3"/>
    <w:rsid w:val="2FB63264"/>
    <w:rsid w:val="2FE85A33"/>
    <w:rsid w:val="2FF4525E"/>
    <w:rsid w:val="300D602F"/>
    <w:rsid w:val="30434F34"/>
    <w:rsid w:val="30551C7E"/>
    <w:rsid w:val="305C1DF5"/>
    <w:rsid w:val="307A6139"/>
    <w:rsid w:val="307D0225"/>
    <w:rsid w:val="30845CF8"/>
    <w:rsid w:val="3095731D"/>
    <w:rsid w:val="30A552E1"/>
    <w:rsid w:val="30AB6B41"/>
    <w:rsid w:val="30C145B6"/>
    <w:rsid w:val="30C330A2"/>
    <w:rsid w:val="30E26F4D"/>
    <w:rsid w:val="31032820"/>
    <w:rsid w:val="31366ABD"/>
    <w:rsid w:val="31575E0E"/>
    <w:rsid w:val="315F3110"/>
    <w:rsid w:val="3163566D"/>
    <w:rsid w:val="31847465"/>
    <w:rsid w:val="31DD71CE"/>
    <w:rsid w:val="31DE379A"/>
    <w:rsid w:val="31F055F6"/>
    <w:rsid w:val="321B2CF5"/>
    <w:rsid w:val="327B69E7"/>
    <w:rsid w:val="327D0402"/>
    <w:rsid w:val="32A61FCC"/>
    <w:rsid w:val="32C0465B"/>
    <w:rsid w:val="32CE6B16"/>
    <w:rsid w:val="32D54349"/>
    <w:rsid w:val="33000244"/>
    <w:rsid w:val="3319111C"/>
    <w:rsid w:val="33366578"/>
    <w:rsid w:val="33896EE1"/>
    <w:rsid w:val="33A45AC9"/>
    <w:rsid w:val="33A63D3F"/>
    <w:rsid w:val="33AA7583"/>
    <w:rsid w:val="33D3298D"/>
    <w:rsid w:val="33D41912"/>
    <w:rsid w:val="33DB773D"/>
    <w:rsid w:val="33F61B9F"/>
    <w:rsid w:val="33FB1B8D"/>
    <w:rsid w:val="3425351D"/>
    <w:rsid w:val="3442156A"/>
    <w:rsid w:val="34864572"/>
    <w:rsid w:val="349808FF"/>
    <w:rsid w:val="34B155AA"/>
    <w:rsid w:val="34B7799F"/>
    <w:rsid w:val="34BE18EB"/>
    <w:rsid w:val="34BF7A35"/>
    <w:rsid w:val="34C80E50"/>
    <w:rsid w:val="34DB1C6D"/>
    <w:rsid w:val="35095BB0"/>
    <w:rsid w:val="350D3521"/>
    <w:rsid w:val="35262805"/>
    <w:rsid w:val="352D343A"/>
    <w:rsid w:val="353A6D2D"/>
    <w:rsid w:val="35407683"/>
    <w:rsid w:val="3560476E"/>
    <w:rsid w:val="357342CB"/>
    <w:rsid w:val="357F234A"/>
    <w:rsid w:val="35956011"/>
    <w:rsid w:val="35A207D8"/>
    <w:rsid w:val="35A51DD0"/>
    <w:rsid w:val="35CC03C4"/>
    <w:rsid w:val="36202DD1"/>
    <w:rsid w:val="36345F74"/>
    <w:rsid w:val="365629B3"/>
    <w:rsid w:val="36603F29"/>
    <w:rsid w:val="366C2AF8"/>
    <w:rsid w:val="36720821"/>
    <w:rsid w:val="36CF7301"/>
    <w:rsid w:val="36E43B49"/>
    <w:rsid w:val="36F31241"/>
    <w:rsid w:val="3708704A"/>
    <w:rsid w:val="37105321"/>
    <w:rsid w:val="37570C1D"/>
    <w:rsid w:val="375D7E76"/>
    <w:rsid w:val="37755EB7"/>
    <w:rsid w:val="37807888"/>
    <w:rsid w:val="37873738"/>
    <w:rsid w:val="37941424"/>
    <w:rsid w:val="37AD13F0"/>
    <w:rsid w:val="37C96B2D"/>
    <w:rsid w:val="37F0121B"/>
    <w:rsid w:val="37F214F9"/>
    <w:rsid w:val="381416F0"/>
    <w:rsid w:val="384A4E91"/>
    <w:rsid w:val="38533CA9"/>
    <w:rsid w:val="3868086E"/>
    <w:rsid w:val="3869436C"/>
    <w:rsid w:val="38754CFF"/>
    <w:rsid w:val="388138D0"/>
    <w:rsid w:val="388B18D0"/>
    <w:rsid w:val="38BB7B3D"/>
    <w:rsid w:val="38C70290"/>
    <w:rsid w:val="38CA6BA3"/>
    <w:rsid w:val="38E057F5"/>
    <w:rsid w:val="38E30E42"/>
    <w:rsid w:val="38EF3348"/>
    <w:rsid w:val="38F36F52"/>
    <w:rsid w:val="39027F6D"/>
    <w:rsid w:val="39072D82"/>
    <w:rsid w:val="391A0D07"/>
    <w:rsid w:val="392C38FE"/>
    <w:rsid w:val="39302E30"/>
    <w:rsid w:val="394B49F2"/>
    <w:rsid w:val="395D73C0"/>
    <w:rsid w:val="3964489B"/>
    <w:rsid w:val="39677CC5"/>
    <w:rsid w:val="396D4363"/>
    <w:rsid w:val="397D5C71"/>
    <w:rsid w:val="398C450B"/>
    <w:rsid w:val="39A27D95"/>
    <w:rsid w:val="39A30FAD"/>
    <w:rsid w:val="39B35E27"/>
    <w:rsid w:val="39C26CA9"/>
    <w:rsid w:val="39DF76B4"/>
    <w:rsid w:val="3A0379ED"/>
    <w:rsid w:val="3A0743D6"/>
    <w:rsid w:val="3A3B4A7C"/>
    <w:rsid w:val="3A9C5889"/>
    <w:rsid w:val="3B0300BA"/>
    <w:rsid w:val="3B103205"/>
    <w:rsid w:val="3B2319C9"/>
    <w:rsid w:val="3B2C125E"/>
    <w:rsid w:val="3B40382E"/>
    <w:rsid w:val="3B4909A7"/>
    <w:rsid w:val="3B706D2B"/>
    <w:rsid w:val="3B7A5A8D"/>
    <w:rsid w:val="3B900E71"/>
    <w:rsid w:val="3B903503"/>
    <w:rsid w:val="3B96663F"/>
    <w:rsid w:val="3B967BC8"/>
    <w:rsid w:val="3BC7074D"/>
    <w:rsid w:val="3BDA3232"/>
    <w:rsid w:val="3C0567E7"/>
    <w:rsid w:val="3C362D65"/>
    <w:rsid w:val="3C547DBA"/>
    <w:rsid w:val="3C5A7719"/>
    <w:rsid w:val="3C71787E"/>
    <w:rsid w:val="3C766FF7"/>
    <w:rsid w:val="3C8F5568"/>
    <w:rsid w:val="3C964B49"/>
    <w:rsid w:val="3CB60D47"/>
    <w:rsid w:val="3CB92798"/>
    <w:rsid w:val="3CEC3782"/>
    <w:rsid w:val="3CF03B2D"/>
    <w:rsid w:val="3CF8135F"/>
    <w:rsid w:val="3D005751"/>
    <w:rsid w:val="3D2E7CF5"/>
    <w:rsid w:val="3D6A7A3F"/>
    <w:rsid w:val="3D8475ED"/>
    <w:rsid w:val="3D8726E3"/>
    <w:rsid w:val="3D9133ED"/>
    <w:rsid w:val="3D9A7407"/>
    <w:rsid w:val="3DB72FC9"/>
    <w:rsid w:val="3DBA03C3"/>
    <w:rsid w:val="3DC47494"/>
    <w:rsid w:val="3DDC47DD"/>
    <w:rsid w:val="3DF02037"/>
    <w:rsid w:val="3E0C29CB"/>
    <w:rsid w:val="3E111FAD"/>
    <w:rsid w:val="3E1438A5"/>
    <w:rsid w:val="3E467EA9"/>
    <w:rsid w:val="3E4800C5"/>
    <w:rsid w:val="3E5949BE"/>
    <w:rsid w:val="3E6977ED"/>
    <w:rsid w:val="3E974BA8"/>
    <w:rsid w:val="3EB53979"/>
    <w:rsid w:val="3ECC2AA4"/>
    <w:rsid w:val="3ED06C72"/>
    <w:rsid w:val="3EE85802"/>
    <w:rsid w:val="3F06105C"/>
    <w:rsid w:val="3F0A7128"/>
    <w:rsid w:val="3F11193A"/>
    <w:rsid w:val="3F472EC1"/>
    <w:rsid w:val="3F9179BC"/>
    <w:rsid w:val="3FAF7652"/>
    <w:rsid w:val="3FB91F06"/>
    <w:rsid w:val="3FC76DC7"/>
    <w:rsid w:val="3FCC262F"/>
    <w:rsid w:val="3FCF2120"/>
    <w:rsid w:val="3FD9375B"/>
    <w:rsid w:val="3FEF631E"/>
    <w:rsid w:val="40143827"/>
    <w:rsid w:val="40172C0E"/>
    <w:rsid w:val="405A10B2"/>
    <w:rsid w:val="4065225E"/>
    <w:rsid w:val="408C567A"/>
    <w:rsid w:val="40930E3F"/>
    <w:rsid w:val="40DE32EB"/>
    <w:rsid w:val="40FB141E"/>
    <w:rsid w:val="40FC0CF2"/>
    <w:rsid w:val="412D71DE"/>
    <w:rsid w:val="416C485A"/>
    <w:rsid w:val="41721093"/>
    <w:rsid w:val="41A25A1E"/>
    <w:rsid w:val="41A75102"/>
    <w:rsid w:val="41D5051C"/>
    <w:rsid w:val="41D57EC1"/>
    <w:rsid w:val="41D93646"/>
    <w:rsid w:val="422B280E"/>
    <w:rsid w:val="42302AF1"/>
    <w:rsid w:val="42420B28"/>
    <w:rsid w:val="424C4B06"/>
    <w:rsid w:val="42552DB0"/>
    <w:rsid w:val="42666D6B"/>
    <w:rsid w:val="429E3832"/>
    <w:rsid w:val="42C87A9C"/>
    <w:rsid w:val="42EE4396"/>
    <w:rsid w:val="432033BE"/>
    <w:rsid w:val="43215097"/>
    <w:rsid w:val="432B3B11"/>
    <w:rsid w:val="432B78CC"/>
    <w:rsid w:val="43335793"/>
    <w:rsid w:val="433E3844"/>
    <w:rsid w:val="434D1CD9"/>
    <w:rsid w:val="43504A5C"/>
    <w:rsid w:val="43560B8E"/>
    <w:rsid w:val="43666078"/>
    <w:rsid w:val="437629AE"/>
    <w:rsid w:val="437D2606"/>
    <w:rsid w:val="43974D0D"/>
    <w:rsid w:val="43BB7080"/>
    <w:rsid w:val="43BE61A8"/>
    <w:rsid w:val="43D0692B"/>
    <w:rsid w:val="43DA56DD"/>
    <w:rsid w:val="43EE0B63"/>
    <w:rsid w:val="441D78FE"/>
    <w:rsid w:val="442D019F"/>
    <w:rsid w:val="44370871"/>
    <w:rsid w:val="443B5FD6"/>
    <w:rsid w:val="444529B0"/>
    <w:rsid w:val="445B0426"/>
    <w:rsid w:val="445F7F16"/>
    <w:rsid w:val="447913F5"/>
    <w:rsid w:val="449201EC"/>
    <w:rsid w:val="44AA1CB0"/>
    <w:rsid w:val="44AD0C81"/>
    <w:rsid w:val="44B518E4"/>
    <w:rsid w:val="44CE24E4"/>
    <w:rsid w:val="44D16A09"/>
    <w:rsid w:val="44D33F5C"/>
    <w:rsid w:val="44D90521"/>
    <w:rsid w:val="44E52F1F"/>
    <w:rsid w:val="45060392"/>
    <w:rsid w:val="450E440F"/>
    <w:rsid w:val="45502007"/>
    <w:rsid w:val="45647E2F"/>
    <w:rsid w:val="45763769"/>
    <w:rsid w:val="457B0D80"/>
    <w:rsid w:val="457C5EE2"/>
    <w:rsid w:val="4580392B"/>
    <w:rsid w:val="45883F8A"/>
    <w:rsid w:val="45B7168C"/>
    <w:rsid w:val="45EA7CB3"/>
    <w:rsid w:val="45F04858"/>
    <w:rsid w:val="4606799E"/>
    <w:rsid w:val="4629386F"/>
    <w:rsid w:val="466174A4"/>
    <w:rsid w:val="468B197E"/>
    <w:rsid w:val="46CB3641"/>
    <w:rsid w:val="46D52AA1"/>
    <w:rsid w:val="470E5183"/>
    <w:rsid w:val="471F4F7F"/>
    <w:rsid w:val="47264D1B"/>
    <w:rsid w:val="472F1E22"/>
    <w:rsid w:val="47413903"/>
    <w:rsid w:val="47501D1D"/>
    <w:rsid w:val="479B2B65"/>
    <w:rsid w:val="47E241F2"/>
    <w:rsid w:val="47E32E09"/>
    <w:rsid w:val="47E67EE1"/>
    <w:rsid w:val="47F05DF8"/>
    <w:rsid w:val="47FB1B88"/>
    <w:rsid w:val="483C6C28"/>
    <w:rsid w:val="484C22AF"/>
    <w:rsid w:val="48790270"/>
    <w:rsid w:val="488B7FA6"/>
    <w:rsid w:val="488D2155"/>
    <w:rsid w:val="48AC59F4"/>
    <w:rsid w:val="48C742DC"/>
    <w:rsid w:val="48C90054"/>
    <w:rsid w:val="48DB6F66"/>
    <w:rsid w:val="49057F3E"/>
    <w:rsid w:val="493D11A5"/>
    <w:rsid w:val="49497376"/>
    <w:rsid w:val="49913258"/>
    <w:rsid w:val="49AD56D2"/>
    <w:rsid w:val="49CE0CA6"/>
    <w:rsid w:val="49DF2FA3"/>
    <w:rsid w:val="49ED1963"/>
    <w:rsid w:val="49ED1B20"/>
    <w:rsid w:val="49EF3AEA"/>
    <w:rsid w:val="49F37251"/>
    <w:rsid w:val="49F41BF1"/>
    <w:rsid w:val="49FE18E4"/>
    <w:rsid w:val="4A2B6493"/>
    <w:rsid w:val="4A570B81"/>
    <w:rsid w:val="4A596A5D"/>
    <w:rsid w:val="4A7D708F"/>
    <w:rsid w:val="4A9936CA"/>
    <w:rsid w:val="4AC43147"/>
    <w:rsid w:val="4ACC2191"/>
    <w:rsid w:val="4AE01685"/>
    <w:rsid w:val="4B967555"/>
    <w:rsid w:val="4BA41081"/>
    <w:rsid w:val="4BAE7BD6"/>
    <w:rsid w:val="4BE56F53"/>
    <w:rsid w:val="4C07336D"/>
    <w:rsid w:val="4C516396"/>
    <w:rsid w:val="4C624E51"/>
    <w:rsid w:val="4C6F5D75"/>
    <w:rsid w:val="4C8614A0"/>
    <w:rsid w:val="4CAC181F"/>
    <w:rsid w:val="4CB90B4A"/>
    <w:rsid w:val="4D011E35"/>
    <w:rsid w:val="4D1A70AD"/>
    <w:rsid w:val="4D4D66ED"/>
    <w:rsid w:val="4D53629A"/>
    <w:rsid w:val="4D896AAF"/>
    <w:rsid w:val="4D927727"/>
    <w:rsid w:val="4DBA3D68"/>
    <w:rsid w:val="4DC350E6"/>
    <w:rsid w:val="4DCE7CC5"/>
    <w:rsid w:val="4DD94895"/>
    <w:rsid w:val="4DDB03CA"/>
    <w:rsid w:val="4DDF58BD"/>
    <w:rsid w:val="4E295649"/>
    <w:rsid w:val="4E434405"/>
    <w:rsid w:val="4E493156"/>
    <w:rsid w:val="4E6C5A7D"/>
    <w:rsid w:val="4E6D51A2"/>
    <w:rsid w:val="4E9B1B4B"/>
    <w:rsid w:val="4EC74D90"/>
    <w:rsid w:val="4EE72FE2"/>
    <w:rsid w:val="4EFE738A"/>
    <w:rsid w:val="4F330037"/>
    <w:rsid w:val="4F6B7B7D"/>
    <w:rsid w:val="4F840FDE"/>
    <w:rsid w:val="4F8A0ABB"/>
    <w:rsid w:val="502B260A"/>
    <w:rsid w:val="502D383A"/>
    <w:rsid w:val="503277C4"/>
    <w:rsid w:val="506B19F1"/>
    <w:rsid w:val="507B2035"/>
    <w:rsid w:val="50B62F90"/>
    <w:rsid w:val="50D729C1"/>
    <w:rsid w:val="50FE4613"/>
    <w:rsid w:val="510065DD"/>
    <w:rsid w:val="511F7635"/>
    <w:rsid w:val="512978E2"/>
    <w:rsid w:val="5187033E"/>
    <w:rsid w:val="51990B70"/>
    <w:rsid w:val="51B3364F"/>
    <w:rsid w:val="51B615DA"/>
    <w:rsid w:val="51CF5615"/>
    <w:rsid w:val="51D41141"/>
    <w:rsid w:val="51DA0BDC"/>
    <w:rsid w:val="5200518F"/>
    <w:rsid w:val="52111515"/>
    <w:rsid w:val="52115DFD"/>
    <w:rsid w:val="523830D8"/>
    <w:rsid w:val="525E7A5F"/>
    <w:rsid w:val="52A124AC"/>
    <w:rsid w:val="52B0193D"/>
    <w:rsid w:val="52F14A35"/>
    <w:rsid w:val="53430A03"/>
    <w:rsid w:val="53453EF9"/>
    <w:rsid w:val="537961D3"/>
    <w:rsid w:val="537E1A3B"/>
    <w:rsid w:val="537E7219"/>
    <w:rsid w:val="53AE1474"/>
    <w:rsid w:val="53CC6C4A"/>
    <w:rsid w:val="53E73F9D"/>
    <w:rsid w:val="542B47E5"/>
    <w:rsid w:val="5463665A"/>
    <w:rsid w:val="54737C15"/>
    <w:rsid w:val="54867B4F"/>
    <w:rsid w:val="5489364B"/>
    <w:rsid w:val="549A28A4"/>
    <w:rsid w:val="54D86D8D"/>
    <w:rsid w:val="54F16968"/>
    <w:rsid w:val="554B067D"/>
    <w:rsid w:val="554C1DF1"/>
    <w:rsid w:val="555111B5"/>
    <w:rsid w:val="55583A1F"/>
    <w:rsid w:val="55624988"/>
    <w:rsid w:val="55651104"/>
    <w:rsid w:val="55705033"/>
    <w:rsid w:val="557D70BE"/>
    <w:rsid w:val="55A36912"/>
    <w:rsid w:val="55CE4587"/>
    <w:rsid w:val="5603032A"/>
    <w:rsid w:val="560D2D97"/>
    <w:rsid w:val="5624337B"/>
    <w:rsid w:val="56332F20"/>
    <w:rsid w:val="56861332"/>
    <w:rsid w:val="56E6539B"/>
    <w:rsid w:val="56E827E2"/>
    <w:rsid w:val="56E96FC6"/>
    <w:rsid w:val="570B1838"/>
    <w:rsid w:val="57103B34"/>
    <w:rsid w:val="5714694D"/>
    <w:rsid w:val="571B5F1F"/>
    <w:rsid w:val="572C012C"/>
    <w:rsid w:val="57340E32"/>
    <w:rsid w:val="5737024E"/>
    <w:rsid w:val="574A1DC1"/>
    <w:rsid w:val="576A0C54"/>
    <w:rsid w:val="57825F9E"/>
    <w:rsid w:val="579E08FE"/>
    <w:rsid w:val="57A04676"/>
    <w:rsid w:val="57CC7219"/>
    <w:rsid w:val="57E83927"/>
    <w:rsid w:val="57F549C2"/>
    <w:rsid w:val="580547FF"/>
    <w:rsid w:val="5809010E"/>
    <w:rsid w:val="581A6F83"/>
    <w:rsid w:val="582A0AC8"/>
    <w:rsid w:val="582E1C82"/>
    <w:rsid w:val="583525C6"/>
    <w:rsid w:val="583F79A7"/>
    <w:rsid w:val="588E0FF2"/>
    <w:rsid w:val="589932BB"/>
    <w:rsid w:val="58F5055B"/>
    <w:rsid w:val="58FC3E36"/>
    <w:rsid w:val="59264674"/>
    <w:rsid w:val="593B4656"/>
    <w:rsid w:val="5966544B"/>
    <w:rsid w:val="596801AA"/>
    <w:rsid w:val="596B480F"/>
    <w:rsid w:val="596F1852"/>
    <w:rsid w:val="59831B59"/>
    <w:rsid w:val="5987789B"/>
    <w:rsid w:val="5992473D"/>
    <w:rsid w:val="59AC5554"/>
    <w:rsid w:val="59B61F2F"/>
    <w:rsid w:val="59D251A4"/>
    <w:rsid w:val="5A026F22"/>
    <w:rsid w:val="5A16575C"/>
    <w:rsid w:val="5A175510"/>
    <w:rsid w:val="5A225816"/>
    <w:rsid w:val="5A244218"/>
    <w:rsid w:val="5A5F15A1"/>
    <w:rsid w:val="5A8B5169"/>
    <w:rsid w:val="5A954EAF"/>
    <w:rsid w:val="5A975B2D"/>
    <w:rsid w:val="5ABB4A59"/>
    <w:rsid w:val="5AC230A5"/>
    <w:rsid w:val="5ACE32A8"/>
    <w:rsid w:val="5B070F30"/>
    <w:rsid w:val="5B1D06EE"/>
    <w:rsid w:val="5B3E7A46"/>
    <w:rsid w:val="5B4041A6"/>
    <w:rsid w:val="5B907B59"/>
    <w:rsid w:val="5B975D90"/>
    <w:rsid w:val="5BA858A7"/>
    <w:rsid w:val="5BAB5771"/>
    <w:rsid w:val="5BC87CF7"/>
    <w:rsid w:val="5BE014E5"/>
    <w:rsid w:val="5BF44728"/>
    <w:rsid w:val="5BFB5EB2"/>
    <w:rsid w:val="5C0276AD"/>
    <w:rsid w:val="5C1271C4"/>
    <w:rsid w:val="5C317F92"/>
    <w:rsid w:val="5C495DD3"/>
    <w:rsid w:val="5C4E06E7"/>
    <w:rsid w:val="5C593A80"/>
    <w:rsid w:val="5C7B2FBB"/>
    <w:rsid w:val="5CC901CB"/>
    <w:rsid w:val="5CEB6393"/>
    <w:rsid w:val="5D041CF2"/>
    <w:rsid w:val="5D0D6309"/>
    <w:rsid w:val="5D101956"/>
    <w:rsid w:val="5D2378DB"/>
    <w:rsid w:val="5D2418A5"/>
    <w:rsid w:val="5D272928"/>
    <w:rsid w:val="5D2B2C34"/>
    <w:rsid w:val="5D4F03EF"/>
    <w:rsid w:val="5D905C05"/>
    <w:rsid w:val="5DAA7FFC"/>
    <w:rsid w:val="5DCD0AC1"/>
    <w:rsid w:val="5E02038B"/>
    <w:rsid w:val="5E2C27BF"/>
    <w:rsid w:val="5E3E0FB2"/>
    <w:rsid w:val="5E9774D4"/>
    <w:rsid w:val="5EC96260"/>
    <w:rsid w:val="5EE67330"/>
    <w:rsid w:val="5F092881"/>
    <w:rsid w:val="5F212FF8"/>
    <w:rsid w:val="5F21580E"/>
    <w:rsid w:val="5F245B8C"/>
    <w:rsid w:val="5F27742B"/>
    <w:rsid w:val="5F571ABE"/>
    <w:rsid w:val="5F8B27B8"/>
    <w:rsid w:val="5F8D1984"/>
    <w:rsid w:val="5FB7255D"/>
    <w:rsid w:val="5FB72636"/>
    <w:rsid w:val="5FCB425A"/>
    <w:rsid w:val="5FED41D0"/>
    <w:rsid w:val="5FFF7CA9"/>
    <w:rsid w:val="60017C7C"/>
    <w:rsid w:val="600B3636"/>
    <w:rsid w:val="600B50C4"/>
    <w:rsid w:val="60326087"/>
    <w:rsid w:val="6060486B"/>
    <w:rsid w:val="608A7C71"/>
    <w:rsid w:val="60DE7CF2"/>
    <w:rsid w:val="611E2E9B"/>
    <w:rsid w:val="612B0E8B"/>
    <w:rsid w:val="6191721C"/>
    <w:rsid w:val="619743F4"/>
    <w:rsid w:val="619D6AD3"/>
    <w:rsid w:val="619D7131"/>
    <w:rsid w:val="61B56F70"/>
    <w:rsid w:val="61D45A07"/>
    <w:rsid w:val="61DE071F"/>
    <w:rsid w:val="6218157F"/>
    <w:rsid w:val="62204E98"/>
    <w:rsid w:val="62553AB2"/>
    <w:rsid w:val="6291178B"/>
    <w:rsid w:val="62956105"/>
    <w:rsid w:val="62997C74"/>
    <w:rsid w:val="62A77FE2"/>
    <w:rsid w:val="62BB05B6"/>
    <w:rsid w:val="62E55633"/>
    <w:rsid w:val="631F28F3"/>
    <w:rsid w:val="634041A9"/>
    <w:rsid w:val="63652AF7"/>
    <w:rsid w:val="63805167"/>
    <w:rsid w:val="63832876"/>
    <w:rsid w:val="638442E1"/>
    <w:rsid w:val="63946ADD"/>
    <w:rsid w:val="63972DD1"/>
    <w:rsid w:val="640929F0"/>
    <w:rsid w:val="64B41760"/>
    <w:rsid w:val="64B905C0"/>
    <w:rsid w:val="64CF7BEB"/>
    <w:rsid w:val="65187528"/>
    <w:rsid w:val="65200BA4"/>
    <w:rsid w:val="656C147B"/>
    <w:rsid w:val="65832223"/>
    <w:rsid w:val="664A7A0D"/>
    <w:rsid w:val="665723A3"/>
    <w:rsid w:val="66901382"/>
    <w:rsid w:val="66E63727"/>
    <w:rsid w:val="66FB3677"/>
    <w:rsid w:val="670F0ED0"/>
    <w:rsid w:val="671A190B"/>
    <w:rsid w:val="6731767E"/>
    <w:rsid w:val="67335956"/>
    <w:rsid w:val="67925807"/>
    <w:rsid w:val="67DA14DE"/>
    <w:rsid w:val="68016B77"/>
    <w:rsid w:val="68246BFD"/>
    <w:rsid w:val="68291AF5"/>
    <w:rsid w:val="68294213"/>
    <w:rsid w:val="68307014"/>
    <w:rsid w:val="687047EC"/>
    <w:rsid w:val="68774F7F"/>
    <w:rsid w:val="68A06712"/>
    <w:rsid w:val="68E1689C"/>
    <w:rsid w:val="68EF4B15"/>
    <w:rsid w:val="68FD36D6"/>
    <w:rsid w:val="690C2F01"/>
    <w:rsid w:val="691438F8"/>
    <w:rsid w:val="692A3B68"/>
    <w:rsid w:val="69325697"/>
    <w:rsid w:val="693A4663"/>
    <w:rsid w:val="698536CB"/>
    <w:rsid w:val="699B0FA7"/>
    <w:rsid w:val="699F0403"/>
    <w:rsid w:val="6A257C7E"/>
    <w:rsid w:val="6A2C3B47"/>
    <w:rsid w:val="6A38073E"/>
    <w:rsid w:val="6A771266"/>
    <w:rsid w:val="6A927E4E"/>
    <w:rsid w:val="6AB061AF"/>
    <w:rsid w:val="6AED0C62"/>
    <w:rsid w:val="6AEF34F2"/>
    <w:rsid w:val="6AEF704E"/>
    <w:rsid w:val="6AF66468"/>
    <w:rsid w:val="6AF86E22"/>
    <w:rsid w:val="6AF97ECD"/>
    <w:rsid w:val="6B170353"/>
    <w:rsid w:val="6B276638"/>
    <w:rsid w:val="6B5F2CBB"/>
    <w:rsid w:val="6B850358"/>
    <w:rsid w:val="6B8A321B"/>
    <w:rsid w:val="6B99520C"/>
    <w:rsid w:val="6BA23990"/>
    <w:rsid w:val="6BA918F3"/>
    <w:rsid w:val="6BA92A8C"/>
    <w:rsid w:val="6BAF5D69"/>
    <w:rsid w:val="6BBF6B35"/>
    <w:rsid w:val="6BD40CFD"/>
    <w:rsid w:val="6C022DB1"/>
    <w:rsid w:val="6C0F240A"/>
    <w:rsid w:val="6C2271E5"/>
    <w:rsid w:val="6C6139A2"/>
    <w:rsid w:val="6C643A6C"/>
    <w:rsid w:val="6C6475C8"/>
    <w:rsid w:val="6C6B059F"/>
    <w:rsid w:val="6C7259E8"/>
    <w:rsid w:val="6C8C5F63"/>
    <w:rsid w:val="6CAB169B"/>
    <w:rsid w:val="6CFA34DB"/>
    <w:rsid w:val="6CFD6829"/>
    <w:rsid w:val="6D330230"/>
    <w:rsid w:val="6D332F6E"/>
    <w:rsid w:val="6D396B87"/>
    <w:rsid w:val="6DB265D8"/>
    <w:rsid w:val="6DB301A4"/>
    <w:rsid w:val="6DD84920"/>
    <w:rsid w:val="6DDB5D1F"/>
    <w:rsid w:val="6DE210EC"/>
    <w:rsid w:val="6DE82115"/>
    <w:rsid w:val="6DF14E2F"/>
    <w:rsid w:val="6DFB5D0A"/>
    <w:rsid w:val="6E182D60"/>
    <w:rsid w:val="6E1F4FB0"/>
    <w:rsid w:val="6E3B25AB"/>
    <w:rsid w:val="6E465867"/>
    <w:rsid w:val="6E5246F3"/>
    <w:rsid w:val="6E8F319E"/>
    <w:rsid w:val="6EB4432A"/>
    <w:rsid w:val="6EF54E4F"/>
    <w:rsid w:val="6F1C062E"/>
    <w:rsid w:val="6F3326BD"/>
    <w:rsid w:val="6F3411C8"/>
    <w:rsid w:val="6F5B19D4"/>
    <w:rsid w:val="6FB1521A"/>
    <w:rsid w:val="6FBD5643"/>
    <w:rsid w:val="6FC50CC6"/>
    <w:rsid w:val="6FDF215C"/>
    <w:rsid w:val="6FF979C2"/>
    <w:rsid w:val="703608FF"/>
    <w:rsid w:val="703B0F88"/>
    <w:rsid w:val="707123F1"/>
    <w:rsid w:val="708F6BDE"/>
    <w:rsid w:val="709E7E1C"/>
    <w:rsid w:val="70A709CF"/>
    <w:rsid w:val="70AA1BAA"/>
    <w:rsid w:val="70C21E33"/>
    <w:rsid w:val="713954C7"/>
    <w:rsid w:val="71420EA7"/>
    <w:rsid w:val="714C45F2"/>
    <w:rsid w:val="7150639A"/>
    <w:rsid w:val="715504AF"/>
    <w:rsid w:val="717C3606"/>
    <w:rsid w:val="719721EE"/>
    <w:rsid w:val="71B863AA"/>
    <w:rsid w:val="71B9524D"/>
    <w:rsid w:val="71D03848"/>
    <w:rsid w:val="71FE226D"/>
    <w:rsid w:val="72044045"/>
    <w:rsid w:val="720930EC"/>
    <w:rsid w:val="72440D8F"/>
    <w:rsid w:val="724701AA"/>
    <w:rsid w:val="72613BB4"/>
    <w:rsid w:val="72686DCB"/>
    <w:rsid w:val="72711D77"/>
    <w:rsid w:val="72734125"/>
    <w:rsid w:val="727918F3"/>
    <w:rsid w:val="72890BE1"/>
    <w:rsid w:val="729130E1"/>
    <w:rsid w:val="7297342D"/>
    <w:rsid w:val="72A66B8C"/>
    <w:rsid w:val="730750C4"/>
    <w:rsid w:val="73165394"/>
    <w:rsid w:val="733D0171"/>
    <w:rsid w:val="733E411A"/>
    <w:rsid w:val="734D525A"/>
    <w:rsid w:val="735006CC"/>
    <w:rsid w:val="7368312F"/>
    <w:rsid w:val="73913267"/>
    <w:rsid w:val="73A535EF"/>
    <w:rsid w:val="73B459E2"/>
    <w:rsid w:val="73B74455"/>
    <w:rsid w:val="73BF1DDC"/>
    <w:rsid w:val="73D46E02"/>
    <w:rsid w:val="73ED07EB"/>
    <w:rsid w:val="73F456D6"/>
    <w:rsid w:val="74153FE8"/>
    <w:rsid w:val="741C39F8"/>
    <w:rsid w:val="74544D62"/>
    <w:rsid w:val="748D4891"/>
    <w:rsid w:val="74B143F2"/>
    <w:rsid w:val="74B34C91"/>
    <w:rsid w:val="74B6734E"/>
    <w:rsid w:val="74C6482B"/>
    <w:rsid w:val="752320C7"/>
    <w:rsid w:val="7530605E"/>
    <w:rsid w:val="756E4256"/>
    <w:rsid w:val="75917350"/>
    <w:rsid w:val="75CB690A"/>
    <w:rsid w:val="75D723B2"/>
    <w:rsid w:val="76157B85"/>
    <w:rsid w:val="762304F4"/>
    <w:rsid w:val="76393941"/>
    <w:rsid w:val="76584AFD"/>
    <w:rsid w:val="768E0063"/>
    <w:rsid w:val="76A809F9"/>
    <w:rsid w:val="76B37ACA"/>
    <w:rsid w:val="77043BE9"/>
    <w:rsid w:val="770739C7"/>
    <w:rsid w:val="77A15B74"/>
    <w:rsid w:val="77D44857"/>
    <w:rsid w:val="77D75D2C"/>
    <w:rsid w:val="78375191"/>
    <w:rsid w:val="783A5034"/>
    <w:rsid w:val="78752699"/>
    <w:rsid w:val="788A190E"/>
    <w:rsid w:val="78B67C13"/>
    <w:rsid w:val="78C7785D"/>
    <w:rsid w:val="78CD6A8B"/>
    <w:rsid w:val="78D027F0"/>
    <w:rsid w:val="78F46178"/>
    <w:rsid w:val="79091C23"/>
    <w:rsid w:val="79107D4E"/>
    <w:rsid w:val="79133380"/>
    <w:rsid w:val="79144124"/>
    <w:rsid w:val="79353900"/>
    <w:rsid w:val="793C3B55"/>
    <w:rsid w:val="793F6CA3"/>
    <w:rsid w:val="794A04D7"/>
    <w:rsid w:val="79746535"/>
    <w:rsid w:val="797647ED"/>
    <w:rsid w:val="79814165"/>
    <w:rsid w:val="7984574E"/>
    <w:rsid w:val="799C6F8D"/>
    <w:rsid w:val="79DD5887"/>
    <w:rsid w:val="7A13676F"/>
    <w:rsid w:val="7A387BE8"/>
    <w:rsid w:val="7A456C8B"/>
    <w:rsid w:val="7A4D74CC"/>
    <w:rsid w:val="7A523156"/>
    <w:rsid w:val="7A5428B9"/>
    <w:rsid w:val="7A60559B"/>
    <w:rsid w:val="7A682979"/>
    <w:rsid w:val="7A774EF1"/>
    <w:rsid w:val="7AB94F83"/>
    <w:rsid w:val="7AC843DE"/>
    <w:rsid w:val="7ADD5115"/>
    <w:rsid w:val="7AE9123F"/>
    <w:rsid w:val="7AED3D24"/>
    <w:rsid w:val="7AF34939"/>
    <w:rsid w:val="7AFC3A32"/>
    <w:rsid w:val="7B237139"/>
    <w:rsid w:val="7B323F28"/>
    <w:rsid w:val="7B446F42"/>
    <w:rsid w:val="7B4D150D"/>
    <w:rsid w:val="7B504D7D"/>
    <w:rsid w:val="7B533629"/>
    <w:rsid w:val="7B800B6B"/>
    <w:rsid w:val="7BAF26F5"/>
    <w:rsid w:val="7BB05565"/>
    <w:rsid w:val="7BBB5446"/>
    <w:rsid w:val="7BEA3458"/>
    <w:rsid w:val="7C0163B0"/>
    <w:rsid w:val="7C025169"/>
    <w:rsid w:val="7C127041"/>
    <w:rsid w:val="7C39281F"/>
    <w:rsid w:val="7C3D3992"/>
    <w:rsid w:val="7C682867"/>
    <w:rsid w:val="7C6B04FF"/>
    <w:rsid w:val="7C6C7F23"/>
    <w:rsid w:val="7CA51C7D"/>
    <w:rsid w:val="7CD05611"/>
    <w:rsid w:val="7CEB43CC"/>
    <w:rsid w:val="7D1F7C67"/>
    <w:rsid w:val="7D524A37"/>
    <w:rsid w:val="7D676F18"/>
    <w:rsid w:val="7D7D2BE0"/>
    <w:rsid w:val="7D8201F6"/>
    <w:rsid w:val="7DA0242A"/>
    <w:rsid w:val="7DA418C3"/>
    <w:rsid w:val="7DDA1DE0"/>
    <w:rsid w:val="7DEA78A4"/>
    <w:rsid w:val="7E1846B6"/>
    <w:rsid w:val="7E325778"/>
    <w:rsid w:val="7E454CA6"/>
    <w:rsid w:val="7E6367F0"/>
    <w:rsid w:val="7E8B0CEF"/>
    <w:rsid w:val="7EA93097"/>
    <w:rsid w:val="7EDE41B3"/>
    <w:rsid w:val="7EE20BA9"/>
    <w:rsid w:val="7F143F12"/>
    <w:rsid w:val="7F1E73A2"/>
    <w:rsid w:val="7F29005F"/>
    <w:rsid w:val="7F380545"/>
    <w:rsid w:val="7F5C7E39"/>
    <w:rsid w:val="7F6A4A9D"/>
    <w:rsid w:val="7F7973D7"/>
    <w:rsid w:val="7F9B2913"/>
    <w:rsid w:val="7FBD3767"/>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420" w:firstLineChars="200"/>
      <w:jc w:val="both"/>
      <w:pPrChange w:id="0" w:author="flx-wzy" w:date="2024-04-18T22:43:00Z">
        <w:pPr>
          <w:widowControl w:val="0"/>
          <w:jc w:val="both"/>
        </w:pPr>
      </w:pPrChange>
    </w:pPr>
    <w:rPr>
      <w:rFonts w:ascii="Times New Roman" w:hAnsi="Times New Roman" w:eastAsia="宋体" w:cs="Times New Roman"/>
      <w:kern w:val="2"/>
      <w:sz w:val="21"/>
      <w:szCs w:val="24"/>
      <w:lang w:val="en-US" w:eastAsia="zh-CN" w:bidi="ar-SA"/>
      <w:rPrChange w:id="1" w:author="flx-wzy" w:date="2024-04-18T22:43:00Z">
        <w:rPr>
          <w:rFonts w:eastAsia="宋体"/>
          <w:kern w:val="2"/>
          <w:sz w:val="21"/>
          <w:szCs w:val="24"/>
          <w:lang w:val="en-US" w:eastAsia="zh-CN" w:bidi="ar-SA"/>
        </w:rPr>
      </w:rPrChange>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5" w:lineRule="auto"/>
      <w:outlineLvl w:val="2"/>
    </w:pPr>
    <w:rPr>
      <w:b/>
      <w:sz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tabs>
        <w:tab w:val="right" w:leader="dot" w:pos="8393"/>
      </w:tabs>
      <w:spacing w:line="500" w:lineRule="exact"/>
      <w:ind w:firstLine="562"/>
      <w:pPrChange w:id="2" w:author="flx-wzy" w:date="2024-04-18T22:50:00Z">
        <w:pPr>
          <w:widowControl w:val="0"/>
          <w:spacing w:line="500" w:lineRule="exact"/>
          <w:ind w:firstLine="420" w:firstLineChars="200"/>
          <w:jc w:val="both"/>
        </w:pPr>
      </w:pPrChange>
    </w:pPr>
    <w:rPr>
      <w:rFonts w:ascii="宋体" w:hAnsi="宋体"/>
      <w:b/>
      <w:bCs/>
      <w:color w:val="000000"/>
      <w:sz w:val="28"/>
      <w:szCs w:val="28"/>
      <w:rPrChange w:id="3" w:author="flx-wzy" w:date="2024-04-18T22:50:00Z">
        <w:rPr>
          <w:rFonts w:ascii="宋体" w:hAnsi="宋体" w:eastAsia="宋体"/>
          <w:b/>
          <w:bCs/>
          <w:color w:val="000000"/>
          <w:kern w:val="2"/>
          <w:sz w:val="28"/>
          <w:szCs w:val="28"/>
          <w:lang w:val="en-US" w:eastAsia="zh-CN" w:bidi="ar-SA"/>
        </w:rPr>
      </w:rPrChange>
    </w:rPr>
  </w:style>
  <w:style w:type="paragraph" w:styleId="6">
    <w:name w:val="Normal Indent"/>
    <w:basedOn w:val="1"/>
    <w:next w:val="1"/>
    <w:autoRedefine/>
    <w:qFormat/>
    <w:uiPriority w:val="0"/>
    <w:rPr>
      <w:szCs w:val="20"/>
    </w:rPr>
  </w:style>
  <w:style w:type="paragraph" w:styleId="7">
    <w:name w:val="annotation text"/>
    <w:basedOn w:val="1"/>
    <w:link w:val="68"/>
    <w:autoRedefine/>
    <w:qFormat/>
    <w:uiPriority w:val="0"/>
    <w:pPr>
      <w:jc w:val="left"/>
      <w:pPrChange w:id="4" w:author="flx-wzy" w:date="2024-04-18T17:17:00Z">
        <w:pPr>
          <w:widowControl w:val="0"/>
        </w:pPr>
      </w:pPrChange>
    </w:pPr>
    <w:rPr>
      <w:rPrChange w:id="5" w:author="flx-wzy" w:date="2024-04-18T17:17:00Z">
        <w:rPr>
          <w:rFonts w:eastAsia="宋体"/>
          <w:kern w:val="2"/>
          <w:sz w:val="21"/>
          <w:szCs w:val="24"/>
          <w:lang w:val="en-US" w:eastAsia="zh-CN" w:bidi="ar-SA"/>
        </w:rPr>
      </w:rPrChange>
    </w:rPr>
  </w:style>
  <w:style w:type="paragraph" w:styleId="8">
    <w:name w:val="Body Text"/>
    <w:basedOn w:val="1"/>
    <w:next w:val="9"/>
    <w:autoRedefine/>
    <w:qFormat/>
    <w:uiPriority w:val="99"/>
    <w:pPr>
      <w:spacing w:after="120"/>
    </w:pPr>
  </w:style>
  <w:style w:type="paragraph" w:styleId="9">
    <w:name w:val="Title"/>
    <w:basedOn w:val="1"/>
    <w:next w:val="1"/>
    <w:autoRedefine/>
    <w:qFormat/>
    <w:uiPriority w:val="0"/>
    <w:pPr>
      <w:spacing w:before="240" w:after="60"/>
      <w:jc w:val="center"/>
      <w:outlineLvl w:val="0"/>
    </w:pPr>
    <w:rPr>
      <w:rFonts w:ascii="Calibri Light" w:hAnsi="Calibri Light"/>
      <w:b/>
      <w:bCs/>
      <w:sz w:val="32"/>
      <w:szCs w:val="32"/>
    </w:rPr>
  </w:style>
  <w:style w:type="paragraph" w:styleId="10">
    <w:name w:val="Body Text Indent"/>
    <w:basedOn w:val="1"/>
    <w:next w:val="11"/>
    <w:autoRedefine/>
    <w:qFormat/>
    <w:uiPriority w:val="0"/>
    <w:pPr>
      <w:snapToGrid w:val="0"/>
      <w:spacing w:line="360" w:lineRule="auto"/>
      <w:ind w:firstLine="538" w:firstLineChars="192"/>
    </w:pPr>
    <w:rPr>
      <w:rFonts w:ascii="仿宋_GB2312" w:eastAsia="仿宋_GB2312"/>
      <w:bCs/>
      <w:sz w:val="28"/>
      <w:szCs w:val="28"/>
    </w:rPr>
  </w:style>
  <w:style w:type="paragraph" w:styleId="11">
    <w:name w:val="Body Text First Indent 2"/>
    <w:basedOn w:val="10"/>
    <w:next w:val="1"/>
    <w:autoRedefine/>
    <w:unhideWhenUsed/>
    <w:qFormat/>
    <w:uiPriority w:val="0"/>
    <w:pPr>
      <w:spacing w:after="120" w:line="240" w:lineRule="auto"/>
      <w:ind w:left="420" w:leftChars="200" w:firstLine="420" w:firstLineChars="200"/>
    </w:pPr>
    <w:rPr>
      <w:sz w:val="21"/>
      <w:szCs w:val="21"/>
    </w:rPr>
  </w:style>
  <w:style w:type="paragraph" w:styleId="12">
    <w:name w:val="Plain Text"/>
    <w:basedOn w:val="1"/>
    <w:autoRedefine/>
    <w:qFormat/>
    <w:uiPriority w:val="0"/>
    <w:rPr>
      <w:rFonts w:ascii="宋体" w:hAnsi="Courier New"/>
      <w:szCs w:val="20"/>
    </w:rPr>
  </w:style>
  <w:style w:type="paragraph" w:styleId="13">
    <w:name w:val="Balloon Text"/>
    <w:basedOn w:val="1"/>
    <w:autoRedefine/>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footnote text"/>
    <w:basedOn w:val="1"/>
    <w:autoRedefine/>
    <w:qFormat/>
    <w:uiPriority w:val="0"/>
    <w:pPr>
      <w:snapToGrid w:val="0"/>
    </w:pPr>
    <w:rPr>
      <w:sz w:val="18"/>
    </w:rPr>
  </w:style>
  <w:style w:type="paragraph" w:styleId="17">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7"/>
    <w:next w:val="7"/>
    <w:link w:val="69"/>
    <w:autoRedefine/>
    <w:semiHidden/>
    <w:unhideWhenUsed/>
    <w:qFormat/>
    <w:uiPriority w:val="0"/>
    <w:rPr>
      <w:b/>
      <w:bCs/>
    </w:rPr>
  </w:style>
  <w:style w:type="paragraph" w:styleId="19">
    <w:name w:val="Body Text First Indent"/>
    <w:basedOn w:val="8"/>
    <w:autoRedefine/>
    <w:unhideWhenUsed/>
    <w:qFormat/>
    <w:uiPriority w:val="99"/>
    <w:pPr>
      <w:ind w:firstLineChars="100"/>
    </w:pPr>
    <w:rPr>
      <w:rFonts w:eastAsia="仿宋_GB2312"/>
      <w:sz w:val="32"/>
      <w:szCs w:val="22"/>
    </w:rPr>
  </w:style>
  <w:style w:type="table" w:styleId="21">
    <w:name w:val="Table Grid"/>
    <w:basedOn w:val="2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22"/>
    <w:rPr>
      <w:b/>
      <w:bCs/>
    </w:rPr>
  </w:style>
  <w:style w:type="character" w:styleId="24">
    <w:name w:val="page number"/>
    <w:basedOn w:val="22"/>
    <w:autoRedefine/>
    <w:qFormat/>
    <w:uiPriority w:val="0"/>
  </w:style>
  <w:style w:type="character" w:styleId="25">
    <w:name w:val="FollowedHyperlink"/>
    <w:basedOn w:val="22"/>
    <w:autoRedefine/>
    <w:semiHidden/>
    <w:unhideWhenUsed/>
    <w:qFormat/>
    <w:uiPriority w:val="0"/>
    <w:rPr>
      <w:color w:val="428BCA"/>
      <w:u w:val="none"/>
    </w:rPr>
  </w:style>
  <w:style w:type="character" w:styleId="26">
    <w:name w:val="HTML Definition"/>
    <w:basedOn w:val="22"/>
    <w:autoRedefine/>
    <w:semiHidden/>
    <w:unhideWhenUsed/>
    <w:qFormat/>
    <w:uiPriority w:val="0"/>
    <w:rPr>
      <w:i/>
      <w:iCs/>
    </w:rPr>
  </w:style>
  <w:style w:type="character" w:styleId="27">
    <w:name w:val="Hyperlink"/>
    <w:basedOn w:val="22"/>
    <w:autoRedefine/>
    <w:qFormat/>
    <w:uiPriority w:val="0"/>
    <w:rPr>
      <w:color w:val="013F7C"/>
      <w:u w:val="none"/>
    </w:rPr>
  </w:style>
  <w:style w:type="character" w:styleId="28">
    <w:name w:val="HTML Code"/>
    <w:basedOn w:val="22"/>
    <w:autoRedefine/>
    <w:semiHidden/>
    <w:unhideWhenUsed/>
    <w:qFormat/>
    <w:uiPriority w:val="0"/>
    <w:rPr>
      <w:rFonts w:hint="default" w:ascii="Consolas" w:hAnsi="Consolas" w:eastAsia="Consolas" w:cs="Consolas"/>
      <w:color w:val="C7254E"/>
      <w:sz w:val="21"/>
      <w:szCs w:val="21"/>
      <w:shd w:val="clear" w:color="auto" w:fill="F9F2F4"/>
    </w:rPr>
  </w:style>
  <w:style w:type="character" w:styleId="29">
    <w:name w:val="annotation reference"/>
    <w:basedOn w:val="22"/>
    <w:autoRedefine/>
    <w:semiHidden/>
    <w:unhideWhenUsed/>
    <w:qFormat/>
    <w:uiPriority w:val="0"/>
    <w:rPr>
      <w:sz w:val="21"/>
      <w:szCs w:val="21"/>
    </w:rPr>
  </w:style>
  <w:style w:type="character" w:styleId="30">
    <w:name w:val="HTML Cite"/>
    <w:basedOn w:val="22"/>
    <w:autoRedefine/>
    <w:semiHidden/>
    <w:unhideWhenUsed/>
    <w:qFormat/>
    <w:uiPriority w:val="0"/>
  </w:style>
  <w:style w:type="character" w:styleId="31">
    <w:name w:val="HTML Keyboard"/>
    <w:basedOn w:val="22"/>
    <w:autoRedefine/>
    <w:semiHidden/>
    <w:unhideWhenUsed/>
    <w:qFormat/>
    <w:uiPriority w:val="0"/>
    <w:rPr>
      <w:rFonts w:hint="default" w:ascii="Consolas" w:hAnsi="Consolas" w:eastAsia="Consolas" w:cs="Consolas"/>
      <w:color w:val="FFFFFF"/>
      <w:sz w:val="21"/>
      <w:szCs w:val="21"/>
      <w:shd w:val="clear" w:color="auto" w:fill="333333"/>
    </w:rPr>
  </w:style>
  <w:style w:type="character" w:styleId="32">
    <w:name w:val="HTML Sample"/>
    <w:basedOn w:val="22"/>
    <w:autoRedefine/>
    <w:semiHidden/>
    <w:unhideWhenUsed/>
    <w:qFormat/>
    <w:uiPriority w:val="0"/>
    <w:rPr>
      <w:rFonts w:ascii="Consolas" w:hAnsi="Consolas" w:eastAsia="Consolas" w:cs="Consolas"/>
      <w:sz w:val="21"/>
      <w:szCs w:val="21"/>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paragraph" w:customStyle="1" w:styleId="34">
    <w:name w:val="正文缩进1"/>
    <w:basedOn w:val="1"/>
    <w:autoRedefine/>
    <w:qFormat/>
    <w:uiPriority w:val="0"/>
  </w:style>
  <w:style w:type="paragraph" w:customStyle="1" w:styleId="35">
    <w:name w:val="引用1"/>
    <w:basedOn w:val="1"/>
    <w:next w:val="1"/>
    <w:autoRedefine/>
    <w:qFormat/>
    <w:uiPriority w:val="99"/>
    <w:rPr>
      <w:rFonts w:ascii="Calibri" w:hAnsi="Calibri" w:cs="Calibri"/>
      <w:i/>
      <w:iCs/>
      <w:color w:val="000000"/>
      <w:sz w:val="22"/>
      <w:szCs w:val="22"/>
    </w:rPr>
  </w:style>
  <w:style w:type="paragraph" w:customStyle="1" w:styleId="3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7">
    <w:name w:val="样式3"/>
    <w:basedOn w:val="12"/>
    <w:autoRedefine/>
    <w:qFormat/>
    <w:uiPriority w:val="0"/>
    <w:pPr>
      <w:spacing w:line="0" w:lineRule="atLeast"/>
      <w:outlineLvl w:val="0"/>
    </w:pPr>
    <w:rPr>
      <w:sz w:val="28"/>
      <w:szCs w:val="24"/>
    </w:rPr>
  </w:style>
  <w:style w:type="paragraph" w:customStyle="1" w:styleId="38">
    <w:name w:val="正文1"/>
    <w:autoRedefine/>
    <w:qFormat/>
    <w:uiPriority w:val="0"/>
    <w:pPr>
      <w:jc w:val="both"/>
    </w:pPr>
    <w:rPr>
      <w:rFonts w:ascii="Calibri" w:hAnsi="Calibri" w:eastAsia="宋体" w:cs="宋体"/>
      <w:kern w:val="2"/>
      <w:sz w:val="21"/>
      <w:szCs w:val="21"/>
      <w:lang w:val="en-US" w:eastAsia="zh-CN" w:bidi="ar-SA"/>
    </w:rPr>
  </w:style>
  <w:style w:type="paragraph" w:customStyle="1" w:styleId="39">
    <w:name w:val="Normal_18"/>
    <w:autoRedefine/>
    <w:qFormat/>
    <w:uiPriority w:val="0"/>
    <w:rPr>
      <w:rFonts w:ascii="Times New Roman" w:hAnsi="Times New Roman" w:eastAsia="宋体" w:cs="Times New Roman"/>
      <w:sz w:val="21"/>
      <w:lang w:val="en-US" w:eastAsia="zh-CN" w:bidi="ar-SA"/>
    </w:rPr>
  </w:style>
  <w:style w:type="character" w:customStyle="1" w:styleId="40">
    <w:name w:val="ndata"/>
    <w:basedOn w:val="22"/>
    <w:autoRedefine/>
    <w:qFormat/>
    <w:uiPriority w:val="0"/>
    <w:rPr>
      <w:color w:val="AAAAAA"/>
    </w:rPr>
  </w:style>
  <w:style w:type="character" w:customStyle="1" w:styleId="41">
    <w:name w:val="NormalCharacter"/>
    <w:autoRedefine/>
    <w:qFormat/>
    <w:uiPriority w:val="0"/>
    <w:rPr>
      <w:sz w:val="21"/>
      <w:lang w:val="en-US" w:eastAsia="zh-CN" w:bidi="ar-SA"/>
    </w:rPr>
  </w:style>
  <w:style w:type="paragraph" w:customStyle="1" w:styleId="42">
    <w:name w:val="正文2"/>
    <w:basedOn w:val="1"/>
    <w:autoRedefine/>
    <w:qFormat/>
    <w:uiPriority w:val="0"/>
    <w:pPr>
      <w:spacing w:before="156" w:line="360" w:lineRule="auto"/>
      <w:ind w:firstLine="510"/>
    </w:pPr>
    <w:rPr>
      <w:sz w:val="24"/>
    </w:rPr>
  </w:style>
  <w:style w:type="paragraph" w:customStyle="1" w:styleId="43">
    <w:name w:val="NormalIndent"/>
    <w:basedOn w:val="1"/>
    <w:autoRedefine/>
    <w:qFormat/>
    <w:uiPriority w:val="0"/>
    <w:pPr>
      <w:widowControl/>
      <w:ind w:firstLine="200"/>
      <w:textAlignment w:val="baseline"/>
    </w:pPr>
    <w:rPr>
      <w:rFonts w:ascii="Calibri" w:hAnsi="Calibri"/>
    </w:rPr>
  </w:style>
  <w:style w:type="paragraph" w:styleId="44">
    <w:name w:val="List Paragraph"/>
    <w:basedOn w:val="1"/>
    <w:autoRedefine/>
    <w:qFormat/>
    <w:uiPriority w:val="34"/>
  </w:style>
  <w:style w:type="paragraph" w:customStyle="1" w:styleId="45">
    <w:name w:val="Table Paragraph"/>
    <w:basedOn w:val="1"/>
    <w:autoRedefine/>
    <w:qFormat/>
    <w:uiPriority w:val="1"/>
    <w:pPr>
      <w:autoSpaceDE w:val="0"/>
      <w:autoSpaceDN w:val="0"/>
      <w:jc w:val="left"/>
    </w:pPr>
    <w:rPr>
      <w:rFonts w:ascii="宋体" w:hAnsi="宋体" w:cs="宋体"/>
      <w:kern w:val="0"/>
      <w:sz w:val="22"/>
      <w:szCs w:val="22"/>
      <w:lang w:eastAsia="en-US"/>
    </w:rPr>
  </w:style>
  <w:style w:type="character" w:customStyle="1" w:styleId="46">
    <w:name w:val="active5"/>
    <w:basedOn w:val="22"/>
    <w:autoRedefine/>
    <w:qFormat/>
    <w:uiPriority w:val="0"/>
    <w:rPr>
      <w:color w:val="FFFFFF"/>
      <w:shd w:val="clear" w:color="auto" w:fill="428BCA"/>
    </w:rPr>
  </w:style>
  <w:style w:type="character" w:customStyle="1" w:styleId="47">
    <w:name w:val="ui-jqgrid-resize"/>
    <w:basedOn w:val="22"/>
    <w:autoRedefine/>
    <w:qFormat/>
    <w:uiPriority w:val="0"/>
  </w:style>
  <w:style w:type="character" w:customStyle="1" w:styleId="48">
    <w:name w:val="ui-icon37"/>
    <w:basedOn w:val="22"/>
    <w:autoRedefine/>
    <w:qFormat/>
    <w:uiPriority w:val="0"/>
  </w:style>
  <w:style w:type="character" w:customStyle="1" w:styleId="49">
    <w:name w:val="ui-icon38"/>
    <w:basedOn w:val="22"/>
    <w:autoRedefine/>
    <w:qFormat/>
    <w:uiPriority w:val="0"/>
  </w:style>
  <w:style w:type="character" w:customStyle="1" w:styleId="50">
    <w:name w:val="ui-icon39"/>
    <w:basedOn w:val="22"/>
    <w:autoRedefine/>
    <w:qFormat/>
    <w:uiPriority w:val="0"/>
  </w:style>
  <w:style w:type="character" w:customStyle="1" w:styleId="51">
    <w:name w:val="input-icon2"/>
    <w:basedOn w:val="22"/>
    <w:autoRedefine/>
    <w:qFormat/>
    <w:uiPriority w:val="0"/>
  </w:style>
  <w:style w:type="character" w:customStyle="1" w:styleId="52">
    <w:name w:val="before"/>
    <w:basedOn w:val="22"/>
    <w:autoRedefine/>
    <w:qFormat/>
    <w:uiPriority w:val="0"/>
    <w:rPr>
      <w:rFonts w:hint="default" w:ascii="Monotype Corsiva" w:hAnsi="Monotype Corsiva" w:eastAsia="Monotype Corsiva" w:cs="Monotype Corsiva"/>
      <w:color w:val="888888"/>
    </w:rPr>
  </w:style>
  <w:style w:type="character" w:customStyle="1" w:styleId="53">
    <w:name w:val="before1"/>
    <w:basedOn w:val="22"/>
    <w:autoRedefine/>
    <w:qFormat/>
    <w:uiPriority w:val="0"/>
    <w:rPr>
      <w:rFonts w:hint="default" w:ascii="Monotype Corsiva" w:hAnsi="Monotype Corsiva" w:eastAsia="Monotype Corsiva" w:cs="Monotype Corsiva"/>
      <w:color w:val="888888"/>
    </w:rPr>
  </w:style>
  <w:style w:type="character" w:customStyle="1" w:styleId="54">
    <w:name w:val="hover6"/>
    <w:basedOn w:val="22"/>
    <w:autoRedefine/>
    <w:qFormat/>
    <w:uiPriority w:val="0"/>
    <w:rPr>
      <w:shd w:val="clear" w:color="auto" w:fill="EEEEEE"/>
    </w:rPr>
  </w:style>
  <w:style w:type="character" w:customStyle="1" w:styleId="55">
    <w:name w:val="old"/>
    <w:basedOn w:val="22"/>
    <w:autoRedefine/>
    <w:qFormat/>
    <w:uiPriority w:val="0"/>
    <w:rPr>
      <w:color w:val="999999"/>
    </w:rPr>
  </w:style>
  <w:style w:type="character" w:customStyle="1" w:styleId="56">
    <w:name w:val="ui-icon40"/>
    <w:basedOn w:val="22"/>
    <w:autoRedefine/>
    <w:qFormat/>
    <w:uiPriority w:val="0"/>
  </w:style>
  <w:style w:type="character" w:customStyle="1" w:styleId="57">
    <w:name w:val="font31"/>
    <w:basedOn w:val="22"/>
    <w:autoRedefine/>
    <w:qFormat/>
    <w:uiPriority w:val="0"/>
    <w:rPr>
      <w:rFonts w:hint="default" w:ascii="Arial" w:hAnsi="Arial" w:cs="Arial"/>
      <w:b/>
      <w:color w:val="000000"/>
      <w:sz w:val="24"/>
      <w:szCs w:val="24"/>
      <w:u w:val="none"/>
    </w:rPr>
  </w:style>
  <w:style w:type="character" w:customStyle="1" w:styleId="58">
    <w:name w:val="font81"/>
    <w:basedOn w:val="22"/>
    <w:autoRedefine/>
    <w:qFormat/>
    <w:uiPriority w:val="0"/>
    <w:rPr>
      <w:rFonts w:ascii="新宋体" w:hAnsi="新宋体" w:eastAsia="新宋体" w:cs="新宋体"/>
      <w:color w:val="000000"/>
      <w:sz w:val="21"/>
      <w:szCs w:val="21"/>
      <w:u w:val="none"/>
    </w:rPr>
  </w:style>
  <w:style w:type="character" w:customStyle="1" w:styleId="59">
    <w:name w:val="font41"/>
    <w:basedOn w:val="22"/>
    <w:autoRedefine/>
    <w:qFormat/>
    <w:uiPriority w:val="0"/>
    <w:rPr>
      <w:rFonts w:hint="default" w:ascii="Times New Roman" w:hAnsi="Times New Roman" w:cs="Times New Roman"/>
      <w:color w:val="000000"/>
      <w:sz w:val="18"/>
      <w:szCs w:val="18"/>
      <w:u w:val="none"/>
    </w:rPr>
  </w:style>
  <w:style w:type="character" w:customStyle="1" w:styleId="60">
    <w:name w:val="font51"/>
    <w:basedOn w:val="22"/>
    <w:autoRedefine/>
    <w:qFormat/>
    <w:uiPriority w:val="0"/>
    <w:rPr>
      <w:rFonts w:hint="eastAsia" w:ascii="宋体" w:hAnsi="宋体" w:eastAsia="宋体" w:cs="宋体"/>
      <w:b/>
      <w:color w:val="000000"/>
      <w:sz w:val="32"/>
      <w:szCs w:val="32"/>
      <w:u w:val="none"/>
    </w:rPr>
  </w:style>
  <w:style w:type="character" w:customStyle="1" w:styleId="61">
    <w:name w:val="font01"/>
    <w:basedOn w:val="22"/>
    <w:autoRedefine/>
    <w:qFormat/>
    <w:uiPriority w:val="0"/>
    <w:rPr>
      <w:rFonts w:hint="eastAsia" w:ascii="宋体" w:hAnsi="宋体" w:eastAsia="宋体" w:cs="宋体"/>
      <w:color w:val="000000"/>
      <w:sz w:val="24"/>
      <w:szCs w:val="24"/>
      <w:u w:val="none"/>
    </w:rPr>
  </w:style>
  <w:style w:type="character" w:customStyle="1" w:styleId="62">
    <w:name w:val="font71"/>
    <w:basedOn w:val="22"/>
    <w:autoRedefine/>
    <w:qFormat/>
    <w:uiPriority w:val="0"/>
    <w:rPr>
      <w:rFonts w:hint="default" w:ascii="仿宋_GB2312" w:eastAsia="仿宋_GB2312" w:cs="仿宋_GB2312"/>
      <w:b/>
      <w:bCs/>
      <w:color w:val="000000"/>
      <w:sz w:val="32"/>
      <w:szCs w:val="32"/>
      <w:u w:val="none"/>
    </w:rPr>
  </w:style>
  <w:style w:type="character" w:customStyle="1" w:styleId="63">
    <w:name w:val="active1"/>
    <w:basedOn w:val="22"/>
    <w:autoRedefine/>
    <w:qFormat/>
    <w:uiPriority w:val="0"/>
    <w:rPr>
      <w:color w:val="FFFFFF"/>
      <w:shd w:val="clear" w:color="auto" w:fill="428BCA"/>
    </w:rPr>
  </w:style>
  <w:style w:type="character" w:customStyle="1" w:styleId="64">
    <w:name w:val="hover5"/>
    <w:basedOn w:val="22"/>
    <w:autoRedefine/>
    <w:qFormat/>
    <w:uiPriority w:val="0"/>
    <w:rPr>
      <w:shd w:val="clear" w:color="auto" w:fill="EEEEEE"/>
    </w:rPr>
  </w:style>
  <w:style w:type="character" w:customStyle="1" w:styleId="65">
    <w:name w:val="ui-jqgrid-resize2"/>
    <w:basedOn w:val="22"/>
    <w:autoRedefine/>
    <w:qFormat/>
    <w:uiPriority w:val="0"/>
  </w:style>
  <w:style w:type="paragraph" w:customStyle="1" w:styleId="66">
    <w:name w:val="列出段落1"/>
    <w:basedOn w:val="1"/>
    <w:autoRedefine/>
    <w:qFormat/>
    <w:uiPriority w:val="34"/>
  </w:style>
  <w:style w:type="paragraph" w:customStyle="1" w:styleId="67">
    <w:name w:val="Revision"/>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8">
    <w:name w:val="批注文字 字符"/>
    <w:basedOn w:val="22"/>
    <w:link w:val="7"/>
    <w:autoRedefine/>
    <w:qFormat/>
    <w:uiPriority w:val="0"/>
    <w:rPr>
      <w:kern w:val="2"/>
      <w:sz w:val="21"/>
      <w:szCs w:val="24"/>
    </w:rPr>
  </w:style>
  <w:style w:type="character" w:customStyle="1" w:styleId="69">
    <w:name w:val="批注主题 字符"/>
    <w:basedOn w:val="68"/>
    <w:link w:val="18"/>
    <w:autoRedefine/>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49</Pages>
  <Words>4555</Words>
  <Characters>25968</Characters>
  <Lines>216</Lines>
  <Paragraphs>60</Paragraphs>
  <TotalTime>24</TotalTime>
  <ScaleCrop>false</ScaleCrop>
  <LinksUpToDate>false</LinksUpToDate>
  <CharactersWithSpaces>30463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2020-09-02T10:13:00Z</dcterms:created>
  <dc:creator>随风</dc:creator>
  <cp:lastModifiedBy>符锐</cp:lastModifiedBy>
  <cp:lastPrinted>2023-10-07T01:41:00Z</cp:lastPrinted>
  <dcterms:modified xsi:type="dcterms:W3CDTF">2024-04-22T08:56:08Z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C11373439A57413A89FADB15762B206A_13</vt:lpwstr>
  </property>
</Properties>
</file>