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0"/>
        <w:rPr>
          <w:rFonts w:hint="default" w:asciiTheme="minorEastAsia" w:hAnsiTheme="minorEastAsia" w:eastAsiaTheme="minorEastAsia" w:cstheme="minorEastAsia"/>
          <w:b/>
          <w:color w:val="auto"/>
          <w:sz w:val="21"/>
          <w:szCs w:val="21"/>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color w:val="auto"/>
          <w:sz w:val="21"/>
          <w:szCs w:val="21"/>
        </w:rPr>
      </w:pPr>
    </w:p>
    <w:p>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5887524"/>
      <w:bookmarkStart w:id="1" w:name="_Toc246826091"/>
      <w:bookmarkStart w:id="2" w:name="_Toc245888257"/>
      <w:bookmarkStart w:id="3" w:name="_Toc246825786"/>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5887525"/>
      <w:bookmarkStart w:id="5" w:name="_Toc246825787"/>
      <w:bookmarkStart w:id="6" w:name="_Toc245888258"/>
      <w:bookmarkStart w:id="7" w:name="_Toc246826092"/>
      <w:r>
        <w:rPr>
          <w:rFonts w:hint="eastAsia" w:asciiTheme="minorEastAsia" w:hAnsiTheme="minorEastAsia" w:eastAsiaTheme="minorEastAsia" w:cstheme="minorEastAsia"/>
          <w:b/>
          <w:bCs w:val="0"/>
          <w:color w:val="0000FF"/>
          <w:sz w:val="28"/>
          <w:szCs w:val="28"/>
          <w:lang w:val="en-US" w:eastAsia="zh-CN"/>
        </w:rPr>
        <w:t>zfcg-fw-20240411-001</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 xml:space="preserve"> </w:t>
      </w:r>
    </w:p>
    <w:p>
      <w:pPr>
        <w:pStyle w:val="11"/>
        <w:pageBreakBefore w:val="0"/>
        <w:wordWrap/>
        <w:topLinePunct w:val="0"/>
        <w:bidi w:val="0"/>
        <w:spacing w:line="360" w:lineRule="auto"/>
        <w:ind w:left="3360" w:leftChars="931" w:hanging="1405" w:hangingChars="5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6825789"/>
      <w:bookmarkStart w:id="9" w:name="_Toc245888260"/>
      <w:bookmarkStart w:id="10" w:name="_Toc246826094"/>
      <w:bookmarkStart w:id="11" w:name="_Toc245887527"/>
      <w:r>
        <w:rPr>
          <w:rFonts w:hint="eastAsia" w:asciiTheme="minorEastAsia" w:hAnsiTheme="minorEastAsia" w:eastAsiaTheme="minorEastAsia" w:cstheme="minorEastAsia"/>
          <w:b/>
          <w:bCs w:val="0"/>
          <w:color w:val="auto"/>
          <w:sz w:val="28"/>
          <w:szCs w:val="28"/>
        </w:rPr>
        <w:t>江东新区全球消费精品展示中心区</w:t>
      </w:r>
      <w:r>
        <w:rPr>
          <w:rFonts w:hint="eastAsia" w:asciiTheme="minorEastAsia" w:hAnsiTheme="minorEastAsia" w:eastAsiaTheme="minorEastAsia" w:cstheme="minorEastAsia"/>
          <w:b/>
          <w:color w:val="auto"/>
          <w:sz w:val="28"/>
          <w:szCs w:val="28"/>
          <w:lang w:eastAsia="zh-CN"/>
        </w:rPr>
        <w:t>建设占用耕地耕作层剥离再利用实施方案编制</w:t>
      </w:r>
      <w:r>
        <w:rPr>
          <w:rFonts w:hint="eastAsia" w:asciiTheme="minorEastAsia" w:hAnsiTheme="minorEastAsia" w:eastAsiaTheme="minorEastAsia" w:cstheme="minorEastAsia"/>
          <w:b/>
          <w:color w:val="auto"/>
          <w:sz w:val="28"/>
          <w:szCs w:val="28"/>
          <w:lang w:val="en-US" w:eastAsia="zh-CN"/>
        </w:rPr>
        <w:t>工作</w:t>
      </w:r>
    </w:p>
    <w:bookmarkEnd w:id="8"/>
    <w:bookmarkEnd w:id="9"/>
    <w:bookmarkEnd w:id="10"/>
    <w:bookmarkEnd w:id="11"/>
    <w:p>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1"/>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pPr>
        <w:pStyle w:val="7"/>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pPr>
        <w:pStyle w:val="31"/>
        <w:pageBreakBefore w:val="0"/>
        <w:wordWrap/>
        <w:topLinePunct w:val="0"/>
        <w:bidi w:val="0"/>
        <w:spacing w:line="360" w:lineRule="auto"/>
        <w:textAlignment w:val="auto"/>
        <w:rPr>
          <w:rFonts w:hint="eastAsia"/>
          <w:color w:val="auto"/>
          <w:sz w:val="21"/>
          <w:szCs w:val="21"/>
        </w:rPr>
      </w:pPr>
    </w:p>
    <w:p>
      <w:pPr>
        <w:pStyle w:val="10"/>
        <w:ind w:left="0" w:leftChars="0" w:firstLine="0" w:firstLineChars="0"/>
        <w:rPr>
          <w:rFonts w:hint="eastAsia"/>
          <w:color w:val="auto"/>
          <w:sz w:val="21"/>
          <w:szCs w:val="21"/>
        </w:rPr>
      </w:pPr>
    </w:p>
    <w:p>
      <w:pPr>
        <w:pStyle w:val="10"/>
        <w:rPr>
          <w:rFonts w:hint="eastAsia"/>
          <w:color w:val="auto"/>
          <w:sz w:val="21"/>
          <w:szCs w:val="21"/>
        </w:rPr>
      </w:pPr>
    </w:p>
    <w:p>
      <w:pPr>
        <w:pStyle w:val="10"/>
        <w:rPr>
          <w:rFonts w:hint="eastAsia"/>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Style w:val="11"/>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 xml:space="preserve"> 4 </w:t>
      </w:r>
      <w:r>
        <w:rPr>
          <w:rFonts w:hint="eastAsia" w:asciiTheme="minorEastAsia" w:hAnsiTheme="minorEastAsia" w:eastAsiaTheme="minorEastAsia" w:cstheme="minorEastAsia"/>
          <w:b/>
          <w:color w:val="auto"/>
          <w:spacing w:val="40"/>
          <w:sz w:val="28"/>
          <w:szCs w:val="28"/>
        </w:rPr>
        <w:t xml:space="preserve">月  </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TOC \o "1-3" \h \z \u </w:instrText>
      </w:r>
      <w:r>
        <w:rPr>
          <w:rFonts w:hint="eastAsia" w:ascii="宋体" w:hAnsi="宋体" w:cs="宋体"/>
          <w:b/>
          <w:bCs w:val="0"/>
          <w:color w:val="auto"/>
          <w:kern w:val="2"/>
          <w:sz w:val="24"/>
          <w:szCs w:val="24"/>
          <w:u w:val="none"/>
          <w:lang w:val="en-US" w:eastAsia="zh-CN" w:bidi="ar-SA"/>
        </w:rPr>
        <w:fldChar w:fldCharType="separat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第一章  比选公告……………………………………………………</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第二章  采购需求……………………………………………………</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……5-7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第三章  供应商须知………………………………………</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color w:val="auto"/>
          <w:sz w:val="24"/>
          <w:u w:val="none"/>
          <w:lang w:val="en-US" w:eastAsia="zh-CN"/>
        </w:rPr>
        <w:t>8</w:t>
      </w:r>
      <w:r>
        <w:rPr>
          <w:rFonts w:hint="eastAsia" w:ascii="宋体" w:hAnsi="宋体" w:cs="宋体"/>
          <w:b/>
          <w:bCs w:val="0"/>
          <w:color w:val="auto"/>
          <w:kern w:val="2"/>
          <w:sz w:val="24"/>
          <w:szCs w:val="24"/>
          <w:u w:val="none"/>
          <w:lang w:val="en-US" w:eastAsia="zh-CN" w:bidi="ar-SA"/>
        </w:rPr>
        <w:t>-21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第四章  评审标准……………………………………</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……………………22-24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第五章  采购合同格式……………………………………………··…</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25-31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第六章  响应文件格式及附件……………………………………………</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32-40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val="en-US" w:eastAsia="zh-CN"/>
        </w:rPr>
        <w:t>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Cs/>
          <w:color w:val="0000FF"/>
          <w:szCs w:val="21"/>
          <w:lang w:eastAsia="zh-CN"/>
        </w:rPr>
        <w:t>zfcg-fw-202</w:t>
      </w:r>
      <w:r>
        <w:rPr>
          <w:rFonts w:hint="eastAsia" w:asciiTheme="minorEastAsia" w:hAnsiTheme="minorEastAsia" w:eastAsiaTheme="minorEastAsia" w:cstheme="minorEastAsia"/>
          <w:bCs/>
          <w:color w:val="0000FF"/>
          <w:szCs w:val="21"/>
          <w:lang w:val="en-US" w:eastAsia="zh-CN"/>
        </w:rPr>
        <w:t>40411</w:t>
      </w:r>
      <w:r>
        <w:rPr>
          <w:rFonts w:hint="eastAsia" w:asciiTheme="minorEastAsia" w:hAnsiTheme="minorEastAsia" w:eastAsiaTheme="minorEastAsia" w:cstheme="minorEastAsia"/>
          <w:bCs/>
          <w:color w:val="0000FF"/>
          <w:szCs w:val="21"/>
          <w:lang w:eastAsia="zh-CN"/>
        </w:rPr>
        <w:t xml:space="preserve">-001 </w:t>
      </w:r>
      <w:r>
        <w:rPr>
          <w:rFonts w:hint="eastAsia" w:asciiTheme="minorEastAsia" w:hAnsiTheme="minorEastAsia" w:eastAsiaTheme="minorEastAsia" w:cstheme="minorEastAsia"/>
          <w:b w:val="0"/>
          <w:bCs/>
          <w:color w:val="0000FF"/>
          <w:sz w:val="21"/>
          <w:szCs w:val="21"/>
        </w:rPr>
        <w:t xml:space="preserve"> </w:t>
      </w:r>
      <w:r>
        <w:rPr>
          <w:rFonts w:hint="eastAsia" w:asciiTheme="minorEastAsia" w:hAnsiTheme="minorEastAsia" w:eastAsiaTheme="minorEastAsia" w:cstheme="minorEastAsia"/>
          <w:b w:val="0"/>
          <w:bCs/>
          <w:color w:val="auto"/>
          <w:sz w:val="21"/>
          <w:szCs w:val="21"/>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Cs w:val="21"/>
          <w:lang w:eastAsia="zh-CN"/>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Cs w:val="21"/>
          <w:lang w:eastAsia="zh-CN"/>
        </w:rPr>
        <w:t>江东新区全球消费精品展示中心区建设占用耕地耕作层剥离再利用实施方案编制</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3、预算金额：</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color w:val="auto"/>
          <w:sz w:val="21"/>
          <w:szCs w:val="21"/>
          <w:lang w:eastAsia="zh-CN"/>
        </w:rPr>
      </w:pPr>
      <w:r>
        <w:rPr>
          <w:rFonts w:hint="eastAsia" w:hAnsi="宋体" w:cs="宋体"/>
          <w:color w:val="auto"/>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Cs/>
          <w:color w:val="auto"/>
          <w:szCs w:val="21"/>
        </w:rPr>
        <w:t>人民币</w:t>
      </w:r>
      <w:r>
        <w:rPr>
          <w:rFonts w:hint="eastAsia" w:asciiTheme="minorEastAsia" w:hAnsiTheme="minorEastAsia" w:eastAsiaTheme="minorEastAsia" w:cstheme="minorEastAsia"/>
          <w:bCs/>
          <w:color w:val="auto"/>
          <w:szCs w:val="21"/>
          <w:lang w:val="en-US" w:eastAsia="zh-CN"/>
        </w:rPr>
        <w:t>59.26</w:t>
      </w:r>
      <w:r>
        <w:rPr>
          <w:rFonts w:hint="eastAsia" w:asciiTheme="minorEastAsia" w:hAnsiTheme="minorEastAsia" w:eastAsiaTheme="minorEastAsia" w:cstheme="minorEastAsia"/>
          <w:bCs/>
          <w:color w:val="auto"/>
          <w:szCs w:val="21"/>
        </w:rPr>
        <w:t>万元</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yellow"/>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w:t>
      </w:r>
      <w:r>
        <w:rPr>
          <w:rFonts w:hint="eastAsia" w:ascii="宋体" w:hAnsi="宋体" w:eastAsia="宋体" w:cs="宋体"/>
          <w:b w:val="0"/>
          <w:bCs/>
          <w:color w:val="auto"/>
          <w:sz w:val="21"/>
          <w:szCs w:val="21"/>
        </w:rPr>
        <w:t>详细需求详见第二章《采购需求》</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35393622"/>
      <w:bookmarkStart w:id="13" w:name="_Toc35393791"/>
      <w:bookmarkStart w:id="14" w:name="_Toc28359003"/>
      <w:bookmarkStart w:id="15" w:name="_Toc28359080"/>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自合同签订起15个工作日</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28359081"/>
      <w:bookmarkStart w:id="17" w:name="_Toc35393623"/>
      <w:bookmarkStart w:id="18" w:name="_Toc28359004"/>
      <w:bookmarkStart w:id="19" w:name="_Toc35393792"/>
      <w:r>
        <w:rPr>
          <w:rFonts w:hint="eastAsia" w:ascii="宋体" w:hAnsi="宋体" w:eastAsia="宋体" w:cs="宋体"/>
          <w:b w:val="0"/>
          <w:bCs/>
          <w:color w:val="auto"/>
          <w:sz w:val="21"/>
          <w:szCs w:val="21"/>
        </w:rPr>
        <w:t>1、满足《中华人民共和国政府采购法》第二十二条规定；</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2、落实政府采购政策需满足的资格要求：无</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hAnsi="宋体" w:cs="宋体"/>
          <w:b w:val="0"/>
          <w:bCs/>
          <w:color w:val="auto"/>
          <w:sz w:val="21"/>
          <w:szCs w:val="21"/>
          <w:lang w:val="en-US" w:eastAsia="zh-CN"/>
        </w:rPr>
        <w:t>3.2、</w:t>
      </w:r>
      <w:r>
        <w:rPr>
          <w:rFonts w:hint="eastAsia" w:ascii="宋体" w:hAnsi="宋体" w:eastAsia="宋体" w:cs="宋体"/>
          <w:b w:val="0"/>
          <w:bCs/>
          <w:color w:val="auto"/>
          <w:sz w:val="21"/>
          <w:szCs w:val="21"/>
        </w:rPr>
        <w:t>本项目不接受联合体</w:t>
      </w:r>
      <w:r>
        <w:rPr>
          <w:rFonts w:hint="eastAsia" w:hAnsi="宋体" w:cs="宋体"/>
          <w:b w:val="0"/>
          <w:bCs/>
          <w:color w:val="auto"/>
          <w:sz w:val="21"/>
          <w:szCs w:val="21"/>
          <w:lang w:val="en-US" w:eastAsia="zh-CN"/>
        </w:rPr>
        <w:t>响应</w:t>
      </w:r>
      <w:r>
        <w:rPr>
          <w:rFonts w:hint="eastAsia" w:ascii="宋体" w:hAnsi="宋体" w:eastAsia="宋体" w:cs="宋体"/>
          <w:b w:val="0"/>
          <w:bCs/>
          <w:color w:val="auto"/>
          <w:sz w:val="21"/>
          <w:szCs w:val="21"/>
        </w:rPr>
        <w:t>。</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采购文件获取办法</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Cs/>
          <w:color w:val="0000FF"/>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 xml:space="preserve">采购比选文件获取时间： </w:t>
      </w:r>
      <w:r>
        <w:rPr>
          <w:rFonts w:hint="eastAsia" w:asciiTheme="minorEastAsia" w:hAnsiTheme="minorEastAsia" w:eastAsiaTheme="minorEastAsia" w:cstheme="minorEastAsia"/>
          <w:b w:val="0"/>
          <w:bCs/>
          <w:color w:val="0000FF"/>
          <w:sz w:val="21"/>
          <w:szCs w:val="21"/>
          <w:lang w:val="en-US" w:eastAsia="zh-CN"/>
        </w:rPr>
        <w:t>2024年4月26日00时00分至2024年4月29日23点59分（北京时间）</w:t>
      </w:r>
      <w:r>
        <w:rPr>
          <w:rFonts w:hint="eastAsia" w:asciiTheme="minorEastAsia" w:hAnsiTheme="minorEastAsia" w:eastAsiaTheme="minorEastAsia" w:cstheme="minorEastAsia"/>
          <w:bCs/>
          <w:color w:val="0000FF"/>
          <w:szCs w:val="21"/>
        </w:rPr>
        <w:t>；</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val="en-US" w:eastAsia="zh-CN"/>
        </w:rPr>
        <w:t>采购</w:t>
      </w:r>
      <w:r>
        <w:rPr>
          <w:rFonts w:hint="eastAsia" w:asciiTheme="minorEastAsia" w:hAnsiTheme="minorEastAsia" w:eastAsiaTheme="minorEastAsia" w:cstheme="minorEastAsia"/>
          <w:b w:val="0"/>
          <w:bCs/>
          <w:color w:val="auto"/>
          <w:sz w:val="21"/>
          <w:szCs w:val="21"/>
        </w:rPr>
        <w:t>比选文件获取方式：请有意向参与本项目采购活动的单位在比选公告界面自行下载比选文件。</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bookmarkStart w:id="20" w:name="_Toc28359008"/>
      <w:bookmarkStart w:id="21" w:name="_Toc28359085"/>
      <w:bookmarkStart w:id="22" w:name="_Toc35393796"/>
      <w:bookmarkStart w:id="23" w:name="_Toc35393627"/>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val="en-US" w:eastAsia="zh-CN"/>
        </w:rPr>
        <w:t>响应文件递交</w:t>
      </w:r>
      <w:r>
        <w:rPr>
          <w:rFonts w:hint="eastAsia" w:asciiTheme="minorEastAsia" w:hAnsiTheme="minorEastAsia" w:eastAsiaTheme="minorEastAsia" w:cstheme="minorEastAsia"/>
          <w:b/>
          <w:bCs w:val="0"/>
          <w:color w:val="auto"/>
          <w:sz w:val="21"/>
          <w:szCs w:val="21"/>
        </w:rPr>
        <w:t>截止时间、开标时间及地点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szCs w:val="21"/>
        </w:rPr>
      </w:pPr>
      <w:bookmarkStart w:id="24" w:name="_Toc35393625"/>
      <w:bookmarkStart w:id="25" w:name="_Toc28359084"/>
      <w:bookmarkStart w:id="26" w:name="_Toc28359007"/>
      <w:bookmarkStart w:id="27" w:name="_Toc35393794"/>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szCs w:val="21"/>
        </w:rPr>
        <w:t>响应文件递交截止时间:</w:t>
      </w:r>
      <w:r>
        <w:rPr>
          <w:rFonts w:hint="eastAsia" w:asciiTheme="minorEastAsia" w:hAnsiTheme="minorEastAsia" w:eastAsiaTheme="minorEastAsia" w:cstheme="minorEastAsia"/>
          <w:bCs/>
          <w:color w:val="0000FF"/>
          <w:szCs w:val="21"/>
        </w:rPr>
        <w:t>202</w:t>
      </w:r>
      <w:r>
        <w:rPr>
          <w:rFonts w:hint="eastAsia" w:asciiTheme="minorEastAsia" w:hAnsiTheme="minorEastAsia" w:eastAsiaTheme="minorEastAsia" w:cstheme="minorEastAsia"/>
          <w:bCs/>
          <w:color w:val="0000FF"/>
          <w:szCs w:val="21"/>
          <w:lang w:val="en-US" w:eastAsia="zh-CN"/>
        </w:rPr>
        <w:t>4</w:t>
      </w:r>
      <w:r>
        <w:rPr>
          <w:rFonts w:hint="eastAsia" w:asciiTheme="minorEastAsia" w:hAnsiTheme="minorEastAsia" w:eastAsiaTheme="minorEastAsia" w:cstheme="minorEastAsia"/>
          <w:bCs/>
          <w:color w:val="0000FF"/>
          <w:szCs w:val="21"/>
        </w:rPr>
        <w:t>年</w:t>
      </w:r>
      <w:r>
        <w:rPr>
          <w:rFonts w:hint="eastAsia" w:asciiTheme="minorEastAsia" w:hAnsiTheme="minorEastAsia" w:eastAsiaTheme="minorEastAsia" w:cstheme="minorEastAsia"/>
          <w:bCs/>
          <w:color w:val="0000FF"/>
          <w:szCs w:val="21"/>
          <w:lang w:val="en-US" w:eastAsia="zh-CN"/>
        </w:rPr>
        <w:t>4</w:t>
      </w:r>
      <w:r>
        <w:rPr>
          <w:rFonts w:hint="eastAsia" w:asciiTheme="minorEastAsia" w:hAnsiTheme="minorEastAsia" w:eastAsiaTheme="minorEastAsia" w:cstheme="minorEastAsia"/>
          <w:bCs/>
          <w:color w:val="0000FF"/>
          <w:szCs w:val="21"/>
        </w:rPr>
        <w:t>月</w:t>
      </w:r>
      <w:r>
        <w:rPr>
          <w:rFonts w:hint="eastAsia" w:asciiTheme="minorEastAsia" w:hAnsiTheme="minorEastAsia" w:eastAsiaTheme="minorEastAsia" w:cstheme="minorEastAsia"/>
          <w:bCs/>
          <w:color w:val="0000FF"/>
          <w:szCs w:val="21"/>
          <w:lang w:val="en-US" w:eastAsia="zh-CN"/>
        </w:rPr>
        <w:t>30</w:t>
      </w:r>
      <w:r>
        <w:rPr>
          <w:rFonts w:hint="eastAsia" w:asciiTheme="minorEastAsia" w:hAnsiTheme="minorEastAsia" w:eastAsiaTheme="minorEastAsia" w:cstheme="minorEastAsia"/>
          <w:bCs/>
          <w:color w:val="0000FF"/>
          <w:szCs w:val="21"/>
        </w:rPr>
        <w:t xml:space="preserve"> 日</w:t>
      </w:r>
      <w:r>
        <w:rPr>
          <w:rFonts w:hint="eastAsia" w:asciiTheme="minorEastAsia" w:hAnsiTheme="minorEastAsia" w:eastAsiaTheme="minorEastAsia" w:cstheme="minorEastAsia"/>
          <w:bCs/>
          <w:color w:val="0000FF"/>
          <w:szCs w:val="21"/>
          <w:lang w:val="en-US" w:eastAsia="zh-CN"/>
        </w:rPr>
        <w:t>上午10</w:t>
      </w:r>
      <w:r>
        <w:rPr>
          <w:rFonts w:hint="eastAsia" w:asciiTheme="minorEastAsia" w:hAnsiTheme="minorEastAsia" w:eastAsiaTheme="minorEastAsia" w:cstheme="minorEastAsia"/>
          <w:bCs/>
          <w:color w:val="0000FF"/>
          <w:szCs w:val="21"/>
        </w:rPr>
        <w:t>:00（北京时间）</w:t>
      </w:r>
      <w:r>
        <w:rPr>
          <w:rFonts w:hint="eastAsia" w:asciiTheme="minorEastAsia" w:hAnsiTheme="minorEastAsia" w:eastAsiaTheme="minorEastAsia" w:cstheme="minorEastAsia"/>
          <w:bCs/>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2、开标时间:与响应文件递交截止时间为同一时间；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3、响应文件递交及开标地点:海口江东新区管理局；</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Cs/>
          <w:color w:val="auto"/>
          <w:szCs w:val="21"/>
        </w:rPr>
        <w:t>4、逾期提交/送达或者未送达指定地点的响应文件，视为无效响应文件不予接收。</w:t>
      </w:r>
      <w:r>
        <w:rPr>
          <w:rFonts w:hint="eastAsia" w:asciiTheme="minorEastAsia" w:hAnsiTheme="minorEastAsia" w:eastAsiaTheme="minorEastAsia" w:cstheme="minorEastAsia"/>
          <w:b/>
          <w:bCs w:val="0"/>
          <w:color w:val="auto"/>
          <w:sz w:val="21"/>
          <w:szCs w:val="21"/>
          <w:lang w:val="en-US" w:eastAsia="zh-CN"/>
        </w:rPr>
        <w:tab/>
      </w:r>
      <w:r>
        <w:rPr>
          <w:rFonts w:hint="eastAsia" w:asciiTheme="minorEastAsia" w:hAnsiTheme="minorEastAsia" w:eastAsiaTheme="minorEastAsia" w:cstheme="minorEastAsia"/>
          <w:b/>
          <w:bCs w:val="0"/>
          <w:color w:val="auto"/>
          <w:sz w:val="21"/>
          <w:szCs w:val="21"/>
          <w:lang w:val="en-US" w:eastAsia="zh-CN"/>
        </w:rPr>
        <w:t>五、</w:t>
      </w:r>
      <w:r>
        <w:rPr>
          <w:rFonts w:hint="eastAsia" w:asciiTheme="minorEastAsia" w:hAnsiTheme="minorEastAsia" w:eastAsiaTheme="minorEastAsia" w:cstheme="minorEastAsia"/>
          <w:b/>
          <w:bCs w:val="0"/>
          <w:color w:val="auto"/>
          <w:sz w:val="21"/>
          <w:szCs w:val="21"/>
        </w:rPr>
        <w:t>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1、本项目采购信息指定发布媒体为海口江东新区管理局官网；</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2、有关本项目采购比选文件的补遗、澄清及变更信息以上述网站公告与下载为准，采购比选文件与更正公告的内容相互矛盾时，以最后发出的更正公告内容为准。</w:t>
      </w:r>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bookmarkStart w:id="28" w:name="_Toc35393795"/>
      <w:bookmarkStart w:id="29" w:name="_Toc35393626"/>
      <w:r>
        <w:rPr>
          <w:rFonts w:hint="eastAsia" w:asciiTheme="minorEastAsia" w:hAnsiTheme="minorEastAsia" w:eastAsiaTheme="minorEastAsia" w:cstheme="minorEastAsia"/>
          <w:bCs/>
          <w:color w:val="0000FF"/>
          <w:szCs w:val="21"/>
        </w:rPr>
        <w:t>本项目比选公告、采购比选文件公告自本公告发布之日起不少于3个工作日，自202</w:t>
      </w:r>
      <w:r>
        <w:rPr>
          <w:rFonts w:hint="eastAsia" w:asciiTheme="minorEastAsia" w:hAnsiTheme="minorEastAsia" w:eastAsiaTheme="minorEastAsia" w:cstheme="minorEastAsia"/>
          <w:bCs/>
          <w:color w:val="0000FF"/>
          <w:szCs w:val="21"/>
          <w:lang w:val="en-US" w:eastAsia="zh-CN"/>
        </w:rPr>
        <w:t>4</w:t>
      </w:r>
      <w:r>
        <w:rPr>
          <w:rFonts w:hint="eastAsia" w:asciiTheme="minorEastAsia" w:hAnsiTheme="minorEastAsia" w:eastAsiaTheme="minorEastAsia" w:cstheme="minorEastAsia"/>
          <w:bCs/>
          <w:color w:val="0000FF"/>
          <w:szCs w:val="21"/>
        </w:rPr>
        <w:t>年</w:t>
      </w:r>
      <w:r>
        <w:rPr>
          <w:rFonts w:hint="eastAsia" w:asciiTheme="minorEastAsia" w:hAnsiTheme="minorEastAsia" w:eastAsiaTheme="minorEastAsia" w:cstheme="minorEastAsia"/>
          <w:bCs/>
          <w:color w:val="0000FF"/>
          <w:szCs w:val="21"/>
          <w:lang w:val="en-US" w:eastAsia="zh-CN"/>
        </w:rPr>
        <w:t>4</w:t>
      </w:r>
      <w:r>
        <w:rPr>
          <w:rFonts w:hint="eastAsia" w:asciiTheme="minorEastAsia" w:hAnsiTheme="minorEastAsia" w:eastAsiaTheme="minorEastAsia" w:cstheme="minorEastAsia"/>
          <w:bCs/>
          <w:color w:val="0000FF"/>
          <w:szCs w:val="21"/>
        </w:rPr>
        <w:t>月</w:t>
      </w:r>
      <w:r>
        <w:rPr>
          <w:rFonts w:hint="eastAsia" w:asciiTheme="minorEastAsia" w:hAnsiTheme="minorEastAsia" w:eastAsiaTheme="minorEastAsia" w:cstheme="minorEastAsia"/>
          <w:bCs/>
          <w:color w:val="0000FF"/>
          <w:szCs w:val="21"/>
          <w:lang w:val="en-US" w:eastAsia="zh-CN"/>
        </w:rPr>
        <w:t>26</w:t>
      </w:r>
      <w:r>
        <w:rPr>
          <w:rFonts w:hint="eastAsia" w:asciiTheme="minorEastAsia" w:hAnsiTheme="minorEastAsia" w:eastAsiaTheme="minorEastAsia" w:cstheme="minorEastAsia"/>
          <w:bCs/>
          <w:color w:val="0000FF"/>
          <w:szCs w:val="21"/>
        </w:rPr>
        <w:t>日零时起至202</w:t>
      </w:r>
      <w:r>
        <w:rPr>
          <w:rFonts w:hint="eastAsia" w:asciiTheme="minorEastAsia" w:hAnsiTheme="minorEastAsia" w:eastAsiaTheme="minorEastAsia" w:cstheme="minorEastAsia"/>
          <w:bCs/>
          <w:color w:val="0000FF"/>
          <w:szCs w:val="21"/>
          <w:lang w:val="en-US" w:eastAsia="zh-CN"/>
        </w:rPr>
        <w:t>4</w:t>
      </w:r>
      <w:r>
        <w:rPr>
          <w:rFonts w:hint="eastAsia" w:asciiTheme="minorEastAsia" w:hAnsiTheme="minorEastAsia" w:eastAsiaTheme="minorEastAsia" w:cstheme="minorEastAsia"/>
          <w:bCs/>
          <w:color w:val="0000FF"/>
          <w:szCs w:val="21"/>
        </w:rPr>
        <w:t>年</w:t>
      </w:r>
      <w:r>
        <w:rPr>
          <w:rFonts w:hint="eastAsia" w:asciiTheme="minorEastAsia" w:hAnsiTheme="minorEastAsia" w:eastAsiaTheme="minorEastAsia" w:cstheme="minorEastAsia"/>
          <w:bCs/>
          <w:color w:val="0000FF"/>
          <w:szCs w:val="21"/>
          <w:lang w:val="en-US" w:eastAsia="zh-CN"/>
        </w:rPr>
        <w:t>4</w:t>
      </w:r>
      <w:r>
        <w:rPr>
          <w:rFonts w:hint="eastAsia" w:asciiTheme="minorEastAsia" w:hAnsiTheme="minorEastAsia" w:eastAsiaTheme="minorEastAsia" w:cstheme="minorEastAsia"/>
          <w:bCs/>
          <w:color w:val="0000FF"/>
          <w:szCs w:val="21"/>
        </w:rPr>
        <w:t>月</w:t>
      </w:r>
      <w:r>
        <w:rPr>
          <w:rFonts w:hint="eastAsia" w:asciiTheme="minorEastAsia" w:hAnsiTheme="minorEastAsia" w:eastAsiaTheme="minorEastAsia" w:cstheme="minorEastAsia"/>
          <w:bCs/>
          <w:color w:val="0000FF"/>
          <w:szCs w:val="21"/>
          <w:lang w:val="en-US" w:eastAsia="zh-CN"/>
        </w:rPr>
        <w:t>29</w:t>
      </w:r>
      <w:r>
        <w:rPr>
          <w:rFonts w:hint="eastAsia" w:asciiTheme="minorEastAsia" w:hAnsiTheme="minorEastAsia" w:eastAsiaTheme="minorEastAsia" w:cstheme="minorEastAsia"/>
          <w:bCs/>
          <w:color w:val="0000FF"/>
          <w:szCs w:val="21"/>
        </w:rPr>
        <w:t>日24时止。</w:t>
      </w:r>
      <w:bookmarkEnd w:id="28"/>
      <w:bookmarkEnd w:id="29"/>
    </w:p>
    <w:p>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名称： 海口江东新区管理局</w:t>
      </w:r>
    </w:p>
    <w:p>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地址： 海口市美兰区</w:t>
      </w:r>
      <w:r>
        <w:rPr>
          <w:rFonts w:hint="eastAsia" w:asciiTheme="minorEastAsia" w:hAnsiTheme="minorEastAsia" w:eastAsiaTheme="minorEastAsia" w:cstheme="minorEastAsia"/>
          <w:bCs/>
          <w:color w:val="auto"/>
          <w:szCs w:val="21"/>
          <w:lang w:val="en-US" w:eastAsia="zh-CN"/>
        </w:rPr>
        <w:t>江东</w:t>
      </w:r>
      <w:r>
        <w:rPr>
          <w:rFonts w:hint="eastAsia" w:asciiTheme="minorEastAsia" w:hAnsiTheme="minorEastAsia" w:eastAsiaTheme="minorEastAsia" w:cstheme="minorEastAsia"/>
          <w:bCs/>
          <w:color w:val="auto"/>
          <w:szCs w:val="21"/>
        </w:rPr>
        <w:t>大道</w:t>
      </w:r>
      <w:r>
        <w:rPr>
          <w:rFonts w:hint="eastAsia" w:asciiTheme="minorEastAsia" w:hAnsiTheme="minorEastAsia" w:eastAsiaTheme="minorEastAsia" w:cstheme="minorEastAsia"/>
          <w:bCs/>
          <w:color w:val="auto"/>
          <w:szCs w:val="21"/>
          <w:lang w:val="en-US" w:eastAsia="zh-CN"/>
        </w:rPr>
        <w:t>202</w:t>
      </w:r>
      <w:r>
        <w:rPr>
          <w:rFonts w:hint="eastAsia" w:asciiTheme="minorEastAsia" w:hAnsiTheme="minorEastAsia" w:eastAsiaTheme="minorEastAsia" w:cstheme="minorEastAsia"/>
          <w:bCs/>
          <w:color w:val="auto"/>
          <w:szCs w:val="21"/>
        </w:rPr>
        <w:t>号海口江东新区管理局</w:t>
      </w:r>
    </w:p>
    <w:p>
      <w:pPr>
        <w:snapToGrid w:val="0"/>
        <w:spacing w:line="400" w:lineRule="exact"/>
        <w:ind w:firstLine="420" w:firstLineChars="200"/>
        <w:rPr>
          <w:rFonts w:hint="eastAsia" w:asciiTheme="minorEastAsia" w:hAnsiTheme="minorEastAsia" w:eastAsiaTheme="minorEastAsia" w:cstheme="minorEastAsia"/>
          <w:bCs/>
          <w:color w:val="0000FF"/>
          <w:szCs w:val="21"/>
          <w:lang w:val="en-US" w:eastAsia="zh-CN"/>
        </w:rPr>
      </w:pPr>
      <w:r>
        <w:rPr>
          <w:rFonts w:hint="eastAsia" w:asciiTheme="minorEastAsia" w:hAnsiTheme="minorEastAsia" w:eastAsiaTheme="minorEastAsia" w:cstheme="minorEastAsia"/>
          <w:bCs/>
          <w:color w:val="0000FF"/>
          <w:szCs w:val="21"/>
        </w:rPr>
        <w:t>联系人：</w:t>
      </w:r>
      <w:r>
        <w:rPr>
          <w:rFonts w:hint="eastAsia" w:asciiTheme="minorEastAsia" w:hAnsiTheme="minorEastAsia" w:eastAsiaTheme="minorEastAsia" w:cstheme="minorEastAsia"/>
          <w:bCs/>
          <w:color w:val="0000FF"/>
          <w:szCs w:val="21"/>
          <w:lang w:val="en-US" w:eastAsia="zh-CN"/>
        </w:rPr>
        <w:t>张工</w:t>
      </w:r>
    </w:p>
    <w:p>
      <w:pPr>
        <w:snapToGrid w:val="0"/>
        <w:spacing w:line="400" w:lineRule="exact"/>
        <w:ind w:firstLine="420" w:firstLineChars="200"/>
        <w:rPr>
          <w:rFonts w:hint="default" w:asciiTheme="minorEastAsia" w:hAnsiTheme="minorEastAsia" w:eastAsiaTheme="minorEastAsia" w:cstheme="minorEastAsia"/>
          <w:bCs/>
          <w:color w:val="0000FF"/>
          <w:szCs w:val="21"/>
          <w:lang w:val="en-US" w:eastAsia="zh-CN"/>
        </w:rPr>
      </w:pPr>
      <w:r>
        <w:rPr>
          <w:rFonts w:hint="eastAsia" w:asciiTheme="minorEastAsia" w:hAnsiTheme="minorEastAsia" w:eastAsiaTheme="minorEastAsia" w:cstheme="minorEastAsia"/>
          <w:bCs/>
          <w:color w:val="0000FF"/>
          <w:szCs w:val="21"/>
        </w:rPr>
        <w:t>联系方式：</w:t>
      </w:r>
      <w:r>
        <w:rPr>
          <w:rFonts w:hint="eastAsia" w:asciiTheme="minorEastAsia" w:hAnsiTheme="minorEastAsia" w:eastAsiaTheme="minorEastAsia" w:cstheme="minorEastAsia"/>
          <w:bCs/>
          <w:color w:val="0000FF"/>
          <w:szCs w:val="21"/>
          <w:lang w:val="en-US" w:eastAsia="zh-CN"/>
        </w:rPr>
        <w:t>65686615</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bookmarkStart w:id="30" w:name="_Toc28359086"/>
      <w:bookmarkStart w:id="31" w:name="_Toc28359009"/>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en-US" w:eastAsia="zh-CN"/>
        </w:rPr>
        <w:t xml:space="preserve"> </w:t>
      </w: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一、服务内容及要求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 通过空间分析及实地勘察，按照《耕作层土壤剥离利用技术规范（TD/T 1048-2016）》要求编制建设占用耕地范围内涉及的耕地耕作层土壤剥离再利用实施方案。方案具体内容包括方案背景及编制的原则依据、项目概况、土壤调查评价、表土剥离设计、表土存储及再利用、土壤运输路线设计、工程量及投资估算、效益分析及保障措施等。</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 根据耕地实际情况设置耕地样点并进行现场抽样调查，包括样点的土壤剖面调查、地表勘察以及委托专业机构对样点取土样本进行土壤理化分析，包括土壤理化性质、土壤养分情况以及重金属含量情况等。</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3.针对编制的《方案》开展专家评审，并根据专家提出的意见进行修改完善。</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二、技术成果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1.文本</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江东新区全球消费精品展示中心区建设占用耕地耕作层土壤剥离再利用实施方案。</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2.土壤样本检测报告。</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 取样点地表现场照片。</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文本打印A4装订成册3套，以及全套电子文档。</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三、有关要求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1.完成时间：合同约定的时间。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2.交付地点：用户指定地点。</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3.付款条件：合同约定的条件。</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kern w:val="0"/>
          <w:sz w:val="21"/>
          <w:szCs w:val="21"/>
          <w:lang w:val="en-US" w:eastAsia="zh-CN"/>
        </w:rPr>
        <w:sectPr>
          <w:footerReference r:id="rId11"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kern w:val="0"/>
          <w:sz w:val="21"/>
          <w:szCs w:val="21"/>
          <w:lang w:val="en-US" w:eastAsia="zh-CN"/>
        </w:rPr>
        <w:t>4.验收要求：方案符合相关技术规范并通过专家评审。</w:t>
      </w:r>
    </w:p>
    <w:p>
      <w:pPr>
        <w:pStyle w:val="10"/>
        <w:rPr>
          <w:color w:val="auto"/>
        </w:rPr>
      </w:pPr>
    </w:p>
    <w:p>
      <w:pPr>
        <w:rPr>
          <w:color w:val="auto"/>
        </w:rPr>
      </w:pPr>
    </w:p>
    <w:p>
      <w:pPr>
        <w:pStyle w:val="30"/>
        <w:rPr>
          <w:color w:val="auto"/>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0"/>
                <w:sz w:val="21"/>
                <w:szCs w:val="21"/>
                <w:lang w:val="zh-CN" w:eastAsia="zh-CN"/>
              </w:rPr>
            </w:pPr>
            <w:r>
              <w:rPr>
                <w:rFonts w:hint="eastAsia" w:asciiTheme="minorEastAsia" w:hAnsiTheme="minorEastAsia" w:eastAsiaTheme="minorEastAsia" w:cstheme="minorEastAsia"/>
                <w:bCs/>
                <w:color w:val="auto"/>
                <w:sz w:val="21"/>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 w:val="0"/>
                <w:bCs/>
                <w:color w:val="auto"/>
                <w:kern w:val="0"/>
                <w:sz w:val="21"/>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响应</w:t>
            </w:r>
            <w:r>
              <w:rPr>
                <w:rFonts w:hint="eastAsia" w:ascii="宋体" w:hAnsi="宋体" w:eastAsia="宋体" w:cs="宋体"/>
                <w:b w:val="0"/>
                <w:bCs/>
                <w:color w:val="auto"/>
                <w:kern w:val="0"/>
                <w:sz w:val="21"/>
                <w:szCs w:val="21"/>
                <w:lang w:val="zh-CN"/>
              </w:rPr>
              <w:t>声明函；</w:t>
            </w:r>
          </w:p>
          <w:p>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评审标准</w:t>
            </w:r>
            <w:r>
              <w:rPr>
                <w:rFonts w:hint="eastAsia" w:ascii="宋体" w:hAnsi="宋体" w:eastAsia="宋体" w:cs="宋体"/>
                <w:bCs/>
                <w:color w:val="auto"/>
                <w:kern w:val="0"/>
                <w:sz w:val="21"/>
                <w:szCs w:val="21"/>
                <w:lang w:val="zh-CN"/>
              </w:rPr>
              <w:t>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sz w:val="21"/>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2、响应</w:t>
            </w:r>
            <w:r>
              <w:rPr>
                <w:rFonts w:hint="eastAsia" w:asciiTheme="minorEastAsia" w:hAnsiTheme="minorEastAsia" w:eastAsiaTheme="minorEastAsia" w:cstheme="minorEastAsia"/>
                <w:bCs/>
                <w:color w:val="auto"/>
                <w:kern w:val="0"/>
                <w:sz w:val="21"/>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截止之日起</w:t>
            </w:r>
            <w:r>
              <w:rPr>
                <w:rFonts w:hint="eastAsia" w:asciiTheme="minorEastAsia" w:hAnsiTheme="minorEastAsia" w:eastAsiaTheme="minorEastAsia" w:cstheme="minorEastAsia"/>
                <w:bCs/>
                <w:color w:val="auto"/>
                <w:sz w:val="21"/>
                <w:szCs w:val="21"/>
                <w:highlight w:val="none"/>
                <w:lang w:val="en-US" w:eastAsia="zh-CN"/>
              </w:rPr>
              <w:t>90</w:t>
            </w:r>
            <w:r>
              <w:rPr>
                <w:rFonts w:hint="eastAsia" w:asciiTheme="minorEastAsia" w:hAnsiTheme="minorEastAsia" w:eastAsiaTheme="minorEastAsia" w:cstheme="minorEastAsia"/>
                <w:bCs/>
                <w:color w:val="auto"/>
                <w:sz w:val="21"/>
                <w:szCs w:val="21"/>
                <w:highlight w:val="none"/>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宋体" w:hAnsi="宋体" w:eastAsia="宋体" w:cs="宋体"/>
                <w:bCs/>
                <w:color w:val="auto"/>
                <w:kern w:val="2"/>
                <w:sz w:val="21"/>
                <w:szCs w:val="21"/>
                <w:lang w:val="en-US" w:eastAsia="zh-CN" w:bidi="ar-SA"/>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6"/>
              <w:keepNext w:val="0"/>
              <w:keepLines w:val="0"/>
              <w:pageBreakBefore w:val="0"/>
              <w:kinsoku/>
              <w:wordWrap/>
              <w:overflowPunct/>
              <w:topLinePunct w:val="0"/>
              <w:bidi w:val="0"/>
              <w:adjustRightInd w:val="0"/>
              <w:snapToGrid w:val="0"/>
              <w:spacing w:line="400" w:lineRule="exact"/>
              <w:ind w:left="0" w:leftChars="0" w:firstLine="0" w:firstLineChars="0"/>
              <w:textAlignment w:val="auto"/>
              <w:rPr>
                <w:rFonts w:hint="default" w:eastAsia="宋体" w:asciiTheme="minorEastAsia" w:hAnsiTheme="minorEastAsia" w:cstheme="minorEastAsia"/>
                <w:bCs/>
                <w:color w:val="auto"/>
                <w:sz w:val="21"/>
                <w:szCs w:val="21"/>
                <w:lang w:val="en-US" w:eastAsia="zh-CN"/>
              </w:rPr>
            </w:pPr>
            <w:r>
              <w:rPr>
                <w:rFonts w:hint="eastAsia" w:ascii="宋体" w:hAnsi="宋体" w:cs="宋体"/>
                <w:bCs/>
                <w:color w:val="auto"/>
                <w:sz w:val="21"/>
                <w:szCs w:val="21"/>
                <w:lang w:val="en-US" w:eastAsia="zh-CN"/>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供应商授权</w:t>
            </w:r>
            <w:r>
              <w:rPr>
                <w:rFonts w:hint="eastAsia" w:asciiTheme="minorEastAsia" w:hAnsiTheme="minorEastAsia" w:eastAsiaTheme="minorEastAsia" w:cstheme="minorEastAsia"/>
                <w:bCs/>
                <w:color w:val="auto"/>
                <w:sz w:val="21"/>
                <w:szCs w:val="21"/>
                <w:highlight w:val="none"/>
              </w:rPr>
              <w:t>代表签名；</w:t>
            </w:r>
          </w:p>
          <w:p>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项目编号（分包号，如果有）：</w:t>
            </w:r>
          </w:p>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0000FF"/>
                <w:sz w:val="21"/>
                <w:szCs w:val="21"/>
                <w:highlight w:val="none"/>
              </w:rPr>
              <w:t>于</w:t>
            </w:r>
            <w:r>
              <w:rPr>
                <w:rFonts w:hint="eastAsia" w:asciiTheme="minorEastAsia" w:hAnsiTheme="minorEastAsia" w:eastAsiaTheme="minorEastAsia" w:cstheme="minorEastAsia"/>
                <w:bCs/>
                <w:color w:val="0000FF"/>
                <w:kern w:val="0"/>
                <w:sz w:val="21"/>
                <w:szCs w:val="21"/>
                <w:highlight w:val="none"/>
                <w:lang w:val="en-US" w:eastAsia="zh-CN" w:bidi="ar-SA"/>
              </w:rPr>
              <w:t>在2024</w:t>
            </w:r>
            <w:r>
              <w:rPr>
                <w:rFonts w:hint="eastAsia" w:asciiTheme="minorEastAsia" w:hAnsiTheme="minorEastAsia" w:eastAsiaTheme="minorEastAsia" w:cstheme="minorEastAsia"/>
                <w:bCs/>
                <w:color w:val="0000FF"/>
                <w:kern w:val="0"/>
                <w:sz w:val="21"/>
                <w:szCs w:val="21"/>
                <w:highlight w:val="none"/>
                <w:lang w:val="zh-CN" w:eastAsia="zh-CN" w:bidi="ar-SA"/>
              </w:rPr>
              <w:t>年</w:t>
            </w:r>
            <w:r>
              <w:rPr>
                <w:rFonts w:hint="eastAsia" w:asciiTheme="minorEastAsia" w:hAnsiTheme="minorEastAsia" w:eastAsiaTheme="minorEastAsia" w:cstheme="minorEastAsia"/>
                <w:bCs/>
                <w:color w:val="0000FF"/>
                <w:kern w:val="0"/>
                <w:sz w:val="21"/>
                <w:szCs w:val="21"/>
                <w:highlight w:val="none"/>
                <w:lang w:val="en-US" w:eastAsia="zh-CN" w:bidi="ar-SA"/>
              </w:rPr>
              <w:t>4</w:t>
            </w:r>
            <w:r>
              <w:rPr>
                <w:rFonts w:hint="eastAsia" w:asciiTheme="minorEastAsia" w:hAnsiTheme="minorEastAsia" w:eastAsiaTheme="minorEastAsia" w:cstheme="minorEastAsia"/>
                <w:bCs/>
                <w:color w:val="0000FF"/>
                <w:kern w:val="0"/>
                <w:sz w:val="21"/>
                <w:szCs w:val="21"/>
                <w:highlight w:val="none"/>
                <w:lang w:val="zh-CN" w:eastAsia="zh-CN" w:bidi="ar-SA"/>
              </w:rPr>
              <w:t>月</w:t>
            </w:r>
            <w:r>
              <w:rPr>
                <w:rFonts w:hint="eastAsia" w:asciiTheme="minorEastAsia" w:hAnsiTheme="minorEastAsia" w:eastAsiaTheme="minorEastAsia" w:cstheme="minorEastAsia"/>
                <w:bCs/>
                <w:color w:val="0000FF"/>
                <w:kern w:val="0"/>
                <w:sz w:val="21"/>
                <w:szCs w:val="21"/>
                <w:highlight w:val="none"/>
                <w:lang w:val="en-US" w:eastAsia="zh-CN" w:bidi="ar-SA"/>
              </w:rPr>
              <w:t>30</w:t>
            </w:r>
            <w:bookmarkStart w:id="98" w:name="_GoBack"/>
            <w:bookmarkEnd w:id="98"/>
            <w:r>
              <w:rPr>
                <w:rFonts w:hint="eastAsia" w:asciiTheme="minorEastAsia" w:hAnsiTheme="minorEastAsia" w:eastAsiaTheme="minorEastAsia" w:cstheme="minorEastAsia"/>
                <w:bCs/>
                <w:color w:val="0000FF"/>
                <w:kern w:val="0"/>
                <w:sz w:val="21"/>
                <w:szCs w:val="21"/>
                <w:highlight w:val="none"/>
                <w:lang w:val="zh-CN" w:eastAsia="zh-CN" w:bidi="ar-SA"/>
              </w:rPr>
              <w:t>日</w:t>
            </w:r>
            <w:r>
              <w:rPr>
                <w:rFonts w:hint="eastAsia" w:asciiTheme="minorEastAsia" w:hAnsiTheme="minorEastAsia" w:eastAsiaTheme="minorEastAsia" w:cstheme="minorEastAsia"/>
                <w:bCs/>
                <w:color w:val="0000FF"/>
                <w:kern w:val="0"/>
                <w:sz w:val="21"/>
                <w:szCs w:val="21"/>
                <w:highlight w:val="none"/>
                <w:lang w:val="en-US" w:eastAsia="zh-CN" w:bidi="ar-SA"/>
              </w:rPr>
              <w:t>10</w:t>
            </w:r>
            <w:r>
              <w:rPr>
                <w:rFonts w:hint="eastAsia" w:asciiTheme="minorEastAsia" w:hAnsiTheme="minorEastAsia" w:eastAsiaTheme="minorEastAsia" w:cstheme="minorEastAsia"/>
                <w:bCs/>
                <w:color w:val="0000FF"/>
                <w:kern w:val="0"/>
                <w:sz w:val="21"/>
                <w:szCs w:val="21"/>
                <w:highlight w:val="none"/>
                <w:lang w:val="zh-CN" w:eastAsia="zh-CN" w:bidi="ar-SA"/>
              </w:rPr>
              <w:t>时</w:t>
            </w:r>
            <w:r>
              <w:rPr>
                <w:rFonts w:hint="eastAsia" w:asciiTheme="minorEastAsia" w:hAnsiTheme="minorEastAsia" w:eastAsiaTheme="minorEastAsia" w:cstheme="minorEastAsia"/>
                <w:bCs/>
                <w:color w:val="0000FF"/>
                <w:kern w:val="0"/>
                <w:sz w:val="21"/>
                <w:szCs w:val="21"/>
                <w:highlight w:val="none"/>
                <w:lang w:val="en-US" w:eastAsia="zh-CN" w:bidi="ar-SA"/>
              </w:rPr>
              <w:t>00</w:t>
            </w:r>
            <w:r>
              <w:rPr>
                <w:rFonts w:hint="eastAsia" w:asciiTheme="minorEastAsia" w:hAnsiTheme="minorEastAsia" w:eastAsiaTheme="minorEastAsia" w:cstheme="minorEastAsia"/>
                <w:bCs/>
                <w:color w:val="0000FF"/>
                <w:kern w:val="0"/>
                <w:sz w:val="21"/>
                <w:szCs w:val="21"/>
                <w:highlight w:val="none"/>
                <w:lang w:val="zh-CN" w:eastAsia="zh-CN" w:bidi="ar-SA"/>
              </w:rPr>
              <w:t>分前</w:t>
            </w:r>
            <w:r>
              <w:rPr>
                <w:rFonts w:hint="eastAsia" w:asciiTheme="minorEastAsia" w:hAnsiTheme="minorEastAsia" w:eastAsiaTheme="minorEastAsia" w:cstheme="minorEastAsia"/>
                <w:bCs/>
                <w:color w:val="0000FF"/>
                <w:kern w:val="0"/>
                <w:sz w:val="21"/>
                <w:szCs w:val="21"/>
                <w:highlight w:val="none"/>
                <w:lang w:val="en-US" w:eastAsia="zh-CN" w:bidi="ar-SA"/>
              </w:rPr>
              <w:t>（开标时间</w:t>
            </w:r>
            <w:r>
              <w:rPr>
                <w:rFonts w:hint="eastAsia" w:asciiTheme="minorEastAsia" w:hAnsiTheme="minorEastAsia" w:eastAsiaTheme="minorEastAsia" w:cstheme="minorEastAsia"/>
                <w:bCs/>
                <w:color w:val="0000FF"/>
                <w:sz w:val="21"/>
                <w:szCs w:val="21"/>
                <w:highlight w:val="none"/>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p>
        </w:tc>
        <w:tc>
          <w:tcPr>
            <w:tcW w:w="2435" w:type="dxa"/>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代表身份证明文件</w:t>
            </w:r>
          </w:p>
        </w:tc>
        <w:tc>
          <w:tcPr>
            <w:tcW w:w="5220" w:type="dxa"/>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w:t>
            </w:r>
          </w:p>
        </w:tc>
        <w:tc>
          <w:tcPr>
            <w:tcW w:w="2435" w:type="dxa"/>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开标程序</w:t>
            </w:r>
          </w:p>
        </w:tc>
        <w:tc>
          <w:tcPr>
            <w:tcW w:w="5220" w:type="dxa"/>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1、主持人宣布开标会议开始；</w:t>
            </w:r>
          </w:p>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2、介绍参加开标会议的人员；</w:t>
            </w:r>
          </w:p>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3、宣读开标纪律；</w:t>
            </w:r>
          </w:p>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4、查验各</w:t>
            </w:r>
            <w:r>
              <w:rPr>
                <w:rFonts w:hint="eastAsia"/>
                <w:color w:val="auto"/>
                <w:lang w:eastAsia="zh-CN"/>
              </w:rPr>
              <w:t>响应文件</w:t>
            </w:r>
            <w:r>
              <w:rPr>
                <w:rFonts w:hint="eastAsia"/>
                <w:color w:val="auto"/>
              </w:rPr>
              <w:t>的密封性并予以确认；</w:t>
            </w:r>
          </w:p>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5、拆封</w:t>
            </w:r>
            <w:r>
              <w:rPr>
                <w:rFonts w:hint="eastAsia"/>
                <w:color w:val="auto"/>
                <w:lang w:eastAsia="zh-CN"/>
              </w:rPr>
              <w:t>响应文件</w:t>
            </w:r>
            <w:r>
              <w:rPr>
                <w:rFonts w:hint="eastAsia"/>
                <w:color w:val="auto"/>
              </w:rPr>
              <w:t>；</w:t>
            </w:r>
          </w:p>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6、唱标，唱标内容为“开标一览表”所载明的内容；</w:t>
            </w:r>
          </w:p>
          <w:p>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7、记录唱标结果及开标过程；</w:t>
            </w:r>
          </w:p>
          <w:p>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color w:val="auto"/>
              </w:rPr>
            </w:pPr>
            <w:r>
              <w:rPr>
                <w:rFonts w:hint="eastAsia"/>
                <w:color w:val="auto"/>
              </w:rPr>
              <w:t>8、主持人宣布开标会议结束。</w:t>
            </w:r>
          </w:p>
          <w:p>
            <w:pPr>
              <w:pStyle w:val="10"/>
              <w:spacing w:line="400" w:lineRule="exact"/>
              <w:ind w:left="0" w:leftChars="0" w:firstLine="0" w:firstLineChars="0"/>
              <w:rPr>
                <w:color w:val="auto"/>
              </w:rPr>
            </w:pPr>
            <w:r>
              <w:rPr>
                <w:rFonts w:hint="eastAsia"/>
                <w:color w:val="auto"/>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w:t>
            </w:r>
          </w:p>
        </w:tc>
        <w:tc>
          <w:tcPr>
            <w:tcW w:w="2435" w:type="dxa"/>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6</w:t>
            </w:r>
          </w:p>
        </w:tc>
        <w:tc>
          <w:tcPr>
            <w:tcW w:w="2435" w:type="dxa"/>
            <w:vAlign w:val="center"/>
          </w:tcPr>
          <w:p>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7</w:t>
            </w:r>
          </w:p>
        </w:tc>
        <w:tc>
          <w:tcPr>
            <w:tcW w:w="2435" w:type="dxa"/>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18</w:t>
            </w:r>
          </w:p>
        </w:tc>
        <w:tc>
          <w:tcPr>
            <w:tcW w:w="7655" w:type="dxa"/>
            <w:gridSpan w:val="2"/>
            <w:vAlign w:val="center"/>
          </w:tcPr>
          <w:p>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XXXXX</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val="en-US" w:eastAsia="zh-CN"/>
        </w:rPr>
        <w:t>比选公告</w:t>
      </w:r>
      <w:r>
        <w:rPr>
          <w:rFonts w:hint="eastAsia" w:asciiTheme="minorEastAsia" w:hAnsiTheme="minorEastAsia" w:eastAsiaTheme="minorEastAsia" w:cstheme="minorEastAsia"/>
          <w:bCs/>
          <w:color w:val="auto"/>
          <w:kern w:val="0"/>
          <w:sz w:val="21"/>
          <w:szCs w:val="21"/>
        </w:rPr>
        <w:t>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bookmarkStart w:id="34" w:name="_Toc267320062"/>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第二十二条规定的条件：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参与采购活动</w:t>
      </w:r>
      <w:r>
        <w:rPr>
          <w:rFonts w:hint="eastAsia" w:asciiTheme="minorEastAsia" w:hAnsiTheme="minorEastAsia" w:eastAsiaTheme="minorEastAsia" w:cstheme="minorEastAsia"/>
          <w:bCs/>
          <w:color w:val="auto"/>
          <w:sz w:val="21"/>
          <w:szCs w:val="21"/>
        </w:rPr>
        <w:t>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过程中的做法和结果如何，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活动有关的全部费用；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val="en-US" w:eastAsia="zh-CN"/>
        </w:rPr>
        <w:t>响应</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i/>
          <w:iCs/>
          <w:color w:val="auto"/>
          <w:sz w:val="21"/>
          <w:szCs w:val="21"/>
          <w:u w:val="single"/>
          <w:lang w:eastAsia="zh-CN"/>
        </w:rPr>
        <w:t>（</w:t>
      </w:r>
      <w:r>
        <w:rPr>
          <w:rFonts w:hint="eastAsia" w:asciiTheme="minorEastAsia" w:hAnsiTheme="minorEastAsia" w:eastAsiaTheme="minorEastAsia" w:cstheme="minorEastAsia"/>
          <w:bCs/>
          <w:color w:val="auto"/>
          <w:sz w:val="21"/>
          <w:szCs w:val="21"/>
        </w:rPr>
        <w:t>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和签订合同等有关规定。采购文件以电子版形式下载，采购文件由下述章节组成：</w:t>
      </w:r>
    </w:p>
    <w:p>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评审标准</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（5）政府采购合同格式</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582211"/>
      <w:bookmarkStart w:id="37" w:name="_Toc183682348"/>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89120"/>
      <w:bookmarkStart w:id="40" w:name="_Toc430488645"/>
      <w:bookmarkStart w:id="41" w:name="_Toc430492127"/>
      <w:bookmarkStart w:id="42" w:name="_Toc430488852"/>
      <w:bookmarkStart w:id="43" w:name="_Toc415567498"/>
      <w:bookmarkStart w:id="44" w:name="_Toc430422414"/>
      <w:bookmarkStart w:id="45" w:name="_Toc430490613"/>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5888275"/>
      <w:bookmarkStart w:id="47" w:name="_Toc246825804"/>
      <w:bookmarkStart w:id="48" w:name="_Toc246826109"/>
      <w:bookmarkStart w:id="49" w:name="_Toc245887536"/>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截止期制约的所有权利和义务均应延长至新的截止日期；</w:t>
      </w:r>
    </w:p>
    <w:p>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方案，否则将被视为无效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10.5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根据采购文件载明的采购项目实际情况，拟在</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后将</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项目的非主体、非关键性工作交由他人完成的，应当在</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中载明。</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rPr>
        <w:t>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有效期期限内保持有效。有效期不足将导致其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有效期延长期内继续有效。同意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不同意延长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有效期一致。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保证金将不予退还：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pPr>
        <w:pStyle w:val="10"/>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正本一份，副本若干份，电子版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16.6 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bookmarkStart w:id="55" w:name="_Toc183582228"/>
      <w:bookmarkStart w:id="56" w:name="_Toc183682365"/>
      <w:bookmarkStart w:id="57" w:name="_Toc21744605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所规定的开标时间和地点开标。</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val="en-US" w:eastAsia="zh-CN"/>
        </w:rPr>
        <w:t>或采购人内部监督部门，</w:t>
      </w:r>
      <w:r>
        <w:rPr>
          <w:rFonts w:hint="eastAsia" w:asciiTheme="minorEastAsia" w:hAnsiTheme="minorEastAsia" w:eastAsiaTheme="minorEastAsia" w:cstheme="minorEastAsia"/>
          <w:bCs/>
          <w:color w:val="auto"/>
          <w:sz w:val="21"/>
          <w:szCs w:val="21"/>
        </w:rPr>
        <w:t>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响应文件存在密封有瑕疵情形的，现场应如实记录，由评审委员会对响应文件实质性有效与否作出判断，由此产生的风险由供应商自行承担。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由采购人代表和评审专家组成，成员人数应当为</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人以上单数，其中评审专家不得少于成员总数的三分之二。</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w:t>
      </w:r>
      <w:r>
        <w:rPr>
          <w:rFonts w:hint="eastAsia" w:ascii="宋体" w:hAnsi="宋体" w:eastAsia="宋体" w:cs="宋体"/>
          <w:bCs/>
          <w:color w:val="auto"/>
          <w:sz w:val="21"/>
          <w:szCs w:val="21"/>
          <w:lang w:val="en-US" w:eastAsia="zh-CN"/>
        </w:rPr>
        <w:t>委员会成员与其</w:t>
      </w:r>
      <w:r>
        <w:rPr>
          <w:rFonts w:hint="eastAsia" w:ascii="宋体" w:hAnsi="宋体" w:eastAsia="宋体" w:cs="宋体"/>
          <w:bCs/>
          <w:color w:val="auto"/>
          <w:sz w:val="21"/>
          <w:szCs w:val="21"/>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pPr>
        <w:pStyle w:val="6"/>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w:t>
      </w:r>
      <w:r>
        <w:rPr>
          <w:rFonts w:hint="eastAsia" w:ascii="宋体" w:hAnsi="宋体" w:eastAsia="宋体" w:cs="宋体"/>
          <w:bCs/>
          <w:color w:val="auto"/>
          <w:kern w:val="2"/>
          <w:sz w:val="21"/>
          <w:szCs w:val="21"/>
          <w:lang w:val="en-US" w:eastAsia="zh-CN" w:bidi="ar-SA"/>
        </w:rPr>
        <w:t>委员会将严格遵守评审工作纪律，按照客观、公正、审慎的原则，根据采购文件规定的评审程序、评审方法和评审标准进行独立评审。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w:t>
      </w:r>
      <w:r>
        <w:rPr>
          <w:rFonts w:hint="eastAsia" w:asciiTheme="minorEastAsia" w:hAnsiTheme="minorEastAsia" w:eastAsiaTheme="minorEastAsia" w:cstheme="minorEastAsia"/>
          <w:bCs/>
          <w:color w:val="auto"/>
          <w:sz w:val="21"/>
          <w:szCs w:val="21"/>
          <w:lang w:val="en-US" w:eastAsia="zh-CN"/>
        </w:rPr>
        <w:t>响应文件是否</w:t>
      </w:r>
      <w:r>
        <w:rPr>
          <w:rFonts w:hint="eastAsia" w:asciiTheme="minorEastAsia" w:hAnsiTheme="minorEastAsia" w:eastAsiaTheme="minorEastAsia" w:cstheme="minorEastAsia"/>
          <w:bCs/>
          <w:color w:val="auto"/>
          <w:sz w:val="21"/>
          <w:szCs w:val="21"/>
        </w:rPr>
        <w:t>实质性响应只根据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委员会投票认定，超过半数将以无效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val="en-US" w:eastAsia="zh-CN"/>
        </w:rPr>
        <w:t>项目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相关</w:t>
      </w:r>
      <w:r>
        <w:rPr>
          <w:rFonts w:hint="eastAsia" w:asciiTheme="minorEastAsia" w:hAnsiTheme="minorEastAsia" w:eastAsiaTheme="minorEastAsia" w:cstheme="minorEastAsia"/>
          <w:bCs/>
          <w:color w:val="auto"/>
          <w:sz w:val="21"/>
          <w:szCs w:val="21"/>
        </w:rPr>
        <w:t>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96602462"/>
      <w:bookmarkStart w:id="61" w:name="_Toc152045575"/>
      <w:bookmarkStart w:id="62" w:name="_Toc152042351"/>
      <w:bookmarkStart w:id="63" w:name="_Toc246996962"/>
      <w:bookmarkStart w:id="64" w:name="_Toc144974543"/>
      <w:bookmarkStart w:id="65" w:name="_Toc179632593"/>
      <w:bookmarkStart w:id="66" w:name="_Toc247085733"/>
      <w:bookmarkStart w:id="67" w:name="_Toc246996219"/>
      <w:bookmarkStart w:id="68" w:name="_Toc29659098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46996220"/>
      <w:bookmarkStart w:id="70" w:name="_Toc152045576"/>
      <w:bookmarkStart w:id="71" w:name="_Toc152042352"/>
      <w:bookmarkStart w:id="72" w:name="_Toc296602463"/>
      <w:bookmarkStart w:id="73" w:name="_Toc179632594"/>
      <w:bookmarkStart w:id="74" w:name="_Toc246996963"/>
      <w:bookmarkStart w:id="75" w:name="_Toc247085734"/>
      <w:bookmarkStart w:id="76" w:name="_Toc144974544"/>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144974545"/>
      <w:bookmarkStart w:id="78" w:name="_Toc247085735"/>
      <w:bookmarkStart w:id="79" w:name="_Toc296602464"/>
      <w:bookmarkStart w:id="80" w:name="_Toc152045577"/>
      <w:bookmarkStart w:id="81" w:name="_Toc246996964"/>
      <w:bookmarkStart w:id="82" w:name="_Toc152042353"/>
      <w:bookmarkStart w:id="83" w:name="_Toc246996221"/>
      <w:bookmarkStart w:id="84" w:name="_Toc179632595"/>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委员会成员的纪律要求</w:t>
      </w:r>
      <w:bookmarkEnd w:id="77"/>
      <w:bookmarkEnd w:id="78"/>
      <w:bookmarkEnd w:id="79"/>
      <w:bookmarkEnd w:id="80"/>
      <w:bookmarkEnd w:id="81"/>
      <w:bookmarkEnd w:id="82"/>
      <w:bookmarkEnd w:id="83"/>
      <w:bookmarkEnd w:id="84"/>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247085736"/>
      <w:bookmarkStart w:id="86" w:name="_Toc246996222"/>
      <w:bookmarkStart w:id="87" w:name="_Toc296602465"/>
      <w:bookmarkStart w:id="88" w:name="_Toc246996965"/>
      <w:bookmarkStart w:id="89" w:name="_Toc152042354"/>
      <w:bookmarkStart w:id="90" w:name="_Toc179632596"/>
      <w:bookmarkStart w:id="91" w:name="_Toc152045578"/>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采购人在</w:t>
      </w:r>
      <w:r>
        <w:rPr>
          <w:rFonts w:hint="eastAsia" w:asciiTheme="minorEastAsia" w:hAnsiTheme="minorEastAsia" w:eastAsiaTheme="minorEastAsia" w:cstheme="minorEastAsia"/>
          <w:bCs/>
          <w:color w:val="auto"/>
          <w:sz w:val="21"/>
          <w:szCs w:val="21"/>
          <w:lang w:val="en-US" w:eastAsia="zh-CN"/>
        </w:rPr>
        <w:t>比选公告发布</w:t>
      </w:r>
      <w:r>
        <w:rPr>
          <w:rFonts w:hint="eastAsia" w:asciiTheme="minorEastAsia" w:hAnsiTheme="minorEastAsia" w:eastAsiaTheme="minorEastAsia" w:cstheme="minorEastAsia"/>
          <w:bCs/>
          <w:color w:val="auto"/>
          <w:sz w:val="21"/>
          <w:szCs w:val="21"/>
        </w:rPr>
        <w:t>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方法分为:综合评分法。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成交或者成交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个工作日内；采购过程的质疑有效期为各采购程序环节结束之日起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个工作日内；采购结果的质疑有效期为采购结果公告期限届满之日起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规定外，如果发现下列情况之一者，同样作无效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val="en-US" w:eastAsia="zh-CN"/>
        </w:rPr>
        <w:t>响应</w:t>
      </w:r>
      <w:r>
        <w:rPr>
          <w:rFonts w:hint="default" w:asciiTheme="minorEastAsia" w:hAnsiTheme="minorEastAsia" w:eastAsiaTheme="minorEastAsia" w:cstheme="minorEastAsia"/>
          <w:bCs/>
          <w:color w:val="auto"/>
          <w:sz w:val="21"/>
          <w:szCs w:val="21"/>
        </w:rPr>
        <w:t>保证金的；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十、适用法律</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32、采购人、</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的一切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活动均适用</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、《政府采购法实施条例》及其配套的法规、规章、政策。</w:t>
      </w:r>
    </w:p>
    <w:p>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bookmarkStart w:id="95" w:name="_Toc246826116"/>
      <w:r>
        <w:rPr>
          <w:rFonts w:hint="eastAsia" w:asciiTheme="minorEastAsia" w:hAnsiTheme="minorEastAsia" w:eastAsiaTheme="minorEastAsia" w:cstheme="minorEastAsia"/>
          <w:b/>
          <w:color w:val="auto"/>
          <w:sz w:val="21"/>
          <w:szCs w:val="21"/>
          <w:lang w:eastAsia="zh-CN"/>
        </w:rPr>
        <w:t>评审标准</w:t>
      </w:r>
    </w:p>
    <w:bookmarkEnd w:id="95"/>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中凡涉及到提供针对本项目授权书、承诺书的，均须以原件为准，否则不予认可</w:t>
      </w:r>
      <w:r>
        <w:rPr>
          <w:rFonts w:hint="eastAsia" w:ascii="宋体" w:hAnsi="宋体" w:cs="宋体"/>
          <w:bCs/>
          <w:color w:val="auto"/>
          <w:sz w:val="21"/>
          <w:szCs w:val="21"/>
          <w:lang w:val="en-US" w:eastAsia="zh-CN"/>
        </w:rPr>
        <w:t>。</w:t>
      </w:r>
    </w:p>
    <w:p>
      <w:pPr>
        <w:pStyle w:val="5"/>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后，其</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将以无效</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rPr>
      </w:pPr>
      <w:r>
        <w:rPr>
          <w:rFonts w:hint="eastAsia" w:ascii="宋体" w:hAnsi="宋体" w:eastAsia="宋体" w:cs="宋体"/>
          <w:bCs/>
          <w:color w:val="auto"/>
          <w:sz w:val="21"/>
          <w:szCs w:val="21"/>
        </w:rPr>
        <w:t>（三）凡小微型企业或视同小微企业参与</w:t>
      </w:r>
      <w:r>
        <w:rPr>
          <w:rFonts w:hint="eastAsia" w:ascii="宋体" w:hAnsi="宋体" w:cs="宋体"/>
          <w:bCs/>
          <w:color w:val="auto"/>
          <w:sz w:val="21"/>
          <w:szCs w:val="21"/>
          <w:lang w:val="en-US" w:eastAsia="zh-CN"/>
        </w:rPr>
        <w:t>采购活动</w:t>
      </w:r>
      <w:r>
        <w:rPr>
          <w:rFonts w:hint="eastAsia" w:ascii="宋体" w:hAnsi="宋体" w:eastAsia="宋体" w:cs="宋体"/>
          <w:bCs/>
          <w:color w:val="auto"/>
          <w:sz w:val="21"/>
          <w:szCs w:val="21"/>
        </w:rPr>
        <w:t>的，依照第三章5.1款规定执行。</w:t>
      </w:r>
    </w:p>
    <w:p>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pPr>
        <w:pStyle w:val="30"/>
        <w:ind w:firstLine="0" w:firstLineChars="0"/>
        <w:rPr>
          <w:rFonts w:hint="eastAsia" w:asciiTheme="minorEastAsia" w:hAnsiTheme="minorEastAsia" w:eastAsiaTheme="minorEastAsia" w:cstheme="minorEastAsia"/>
          <w:b/>
          <w:color w:val="auto"/>
          <w:sz w:val="21"/>
          <w:szCs w:val="21"/>
          <w:lang w:eastAsia="zh-CN"/>
        </w:rPr>
      </w:pPr>
    </w:p>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default"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pPr>
        <w:pStyle w:val="10"/>
        <w:ind w:left="0" w:leftChars="0" w:firstLine="0" w:firstLineChars="0"/>
        <w:rPr>
          <w:rFonts w:hint="eastAsia"/>
          <w:color w:val="auto"/>
        </w:rPr>
      </w:pPr>
    </w:p>
    <w:p>
      <w:pPr>
        <w:pageBreakBefore w:val="0"/>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pPr>
        <w:pStyle w:val="6"/>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w:t>
      </w:r>
      <w:r>
        <w:rPr>
          <w:rFonts w:hint="eastAsia" w:asciiTheme="minorEastAsia" w:hAnsiTheme="minorEastAsia" w:eastAsiaTheme="minorEastAsia" w:cstheme="minorEastAsia"/>
          <w:bCs/>
          <w:color w:val="auto"/>
          <w:sz w:val="21"/>
          <w:szCs w:val="21"/>
        </w:rPr>
        <w:t>委员会根据</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分</w:t>
            </w:r>
          </w:p>
        </w:tc>
      </w:tr>
      <w:bookmarkEnd w:id="96"/>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20</w:t>
            </w:r>
            <w:r>
              <w:rPr>
                <w:rFonts w:hint="eastAsia" w:asciiTheme="minorEastAsia" w:hAnsiTheme="minorEastAsia" w:eastAsiaTheme="minorEastAsia" w:cstheme="minorEastAsia"/>
                <w:color w:val="auto"/>
                <w:sz w:val="18"/>
                <w:szCs w:val="18"/>
              </w:rPr>
              <w:t>分</w:t>
            </w:r>
          </w:p>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65</w:t>
            </w:r>
            <w:r>
              <w:rPr>
                <w:rFonts w:hint="eastAsia" w:asciiTheme="minorEastAsia" w:hAnsiTheme="minorEastAsia" w:eastAsiaTheme="minorEastAsia" w:cstheme="minorEastAsia"/>
                <w:color w:val="auto"/>
                <w:sz w:val="18"/>
                <w:szCs w:val="18"/>
              </w:rPr>
              <w:t>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lang w:val="en-US" w:eastAsia="zh-CN"/>
              </w:rPr>
              <w:t>15</w:t>
            </w:r>
            <w:r>
              <w:rPr>
                <w:rFonts w:hint="eastAsia" w:asciiTheme="minorEastAsia" w:hAnsiTheme="minorEastAsia" w:eastAsiaTheme="minorEastAsia" w:cstheme="minorEastAsia"/>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20</w:t>
            </w:r>
            <w:r>
              <w:rPr>
                <w:rFonts w:hint="eastAsia" w:asciiTheme="minorEastAsia" w:hAnsiTheme="minorEastAsia" w:eastAsiaTheme="minorEastAsia" w:cstheme="minorEastAsia"/>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得分以满分</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u w:val="single"/>
                <w:lang w:val="en-US" w:eastAsia="zh-CN"/>
              </w:rPr>
              <w:t>0</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rPr>
              <w:t>计算。满足</w:t>
            </w:r>
            <w:r>
              <w:rPr>
                <w:rFonts w:hint="eastAsia" w:asciiTheme="minorEastAsia" w:hAnsiTheme="minorEastAsia" w:eastAsiaTheme="minorEastAsia" w:cstheme="minorEastAsia"/>
                <w:color w:val="auto"/>
                <w:sz w:val="18"/>
                <w:szCs w:val="18"/>
                <w:lang w:val="en-US" w:eastAsia="zh-CN"/>
              </w:rPr>
              <w:t>采购比选</w:t>
            </w:r>
            <w:r>
              <w:rPr>
                <w:rFonts w:hint="eastAsia" w:asciiTheme="minorEastAsia" w:hAnsiTheme="minorEastAsia" w:eastAsiaTheme="minorEastAsia" w:cstheme="minorEastAsia"/>
                <w:color w:val="auto"/>
                <w:sz w:val="18"/>
                <w:szCs w:val="18"/>
              </w:rPr>
              <w:t>文件要求且</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最低的</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为</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基准价，其价格分为满分。其他</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的价格分统一按照下列公式计算：</w:t>
            </w:r>
          </w:p>
          <w:p>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财政部印发财政部令87号《政府采购货物和服务招标</w:t>
            </w:r>
            <w:r>
              <w:rPr>
                <w:rFonts w:hint="eastAsia" w:asciiTheme="minorEastAsia" w:hAnsiTheme="minorEastAsia" w:eastAsiaTheme="minorEastAsia" w:cstheme="minorEastAsia"/>
                <w:color w:val="auto"/>
                <w:sz w:val="18"/>
                <w:szCs w:val="18"/>
                <w:lang w:eastAsia="zh-CN"/>
              </w:rPr>
              <w:t>响应</w:t>
            </w:r>
            <w:r>
              <w:rPr>
                <w:rFonts w:hint="eastAsia" w:asciiTheme="minorEastAsia" w:hAnsiTheme="minorEastAsia" w:eastAsiaTheme="minorEastAsia" w:cstheme="minorEastAsia"/>
                <w:color w:val="auto"/>
                <w:sz w:val="18"/>
                <w:szCs w:val="18"/>
              </w:rPr>
              <w:t>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委员会应当将其作为无效</w:t>
            </w:r>
            <w:r>
              <w:rPr>
                <w:rFonts w:hint="eastAsia" w:asciiTheme="minorEastAsia" w:hAnsiTheme="minorEastAsia" w:eastAsiaTheme="minorEastAsia" w:cstheme="minorEastAsia"/>
                <w:color w:val="auto"/>
                <w:sz w:val="18"/>
                <w:szCs w:val="18"/>
                <w:lang w:val="en-US" w:eastAsia="zh-CN"/>
              </w:rPr>
              <w:t>响应</w:t>
            </w:r>
            <w:r>
              <w:rPr>
                <w:rFonts w:hint="eastAsia" w:asciiTheme="minorEastAsia" w:hAnsiTheme="minorEastAsia" w:eastAsiaTheme="minorEastAsia" w:cstheme="minorEastAsia"/>
                <w:color w:val="auto"/>
                <w:sz w:val="18"/>
                <w:szCs w:val="18"/>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65</w:t>
            </w:r>
            <w:r>
              <w:rPr>
                <w:rFonts w:hint="eastAsia" w:ascii="宋体" w:hAnsi="宋体" w:cs="宋体"/>
                <w:color w:val="auto"/>
                <w:sz w:val="20"/>
                <w:szCs w:val="20"/>
              </w:rPr>
              <w:t>分）</w:t>
            </w:r>
          </w:p>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kern w:val="2"/>
                <w:sz w:val="20"/>
                <w:szCs w:val="20"/>
                <w:lang w:val="en-US" w:eastAsia="zh-CN" w:bidi="ar-SA"/>
              </w:rPr>
            </w:pPr>
            <w:r>
              <w:rPr>
                <w:rFonts w:asciiTheme="minorEastAsia" w:hAnsiTheme="minorEastAsia" w:eastAsiaTheme="minorEastAsia" w:cstheme="minorEastAsia"/>
                <w:sz w:val="18"/>
                <w:szCs w:val="18"/>
              </w:rPr>
              <w:t>对项目背景及需求的解读与理解程度、针对性及准确性</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15</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对江东新区全球消费精品展示中心区成片开发方案</w:t>
            </w:r>
            <w:r>
              <w:rPr>
                <w:rFonts w:asciiTheme="minorEastAsia" w:hAnsiTheme="minorEastAsia" w:eastAsiaTheme="minorEastAsia" w:cstheme="minorEastAsia"/>
                <w:sz w:val="18"/>
                <w:szCs w:val="18"/>
              </w:rPr>
              <w:t>及</w:t>
            </w:r>
            <w:r>
              <w:rPr>
                <w:rFonts w:hint="eastAsia" w:asciiTheme="minorEastAsia" w:hAnsiTheme="minorEastAsia" w:eastAsiaTheme="minorEastAsia" w:cstheme="minorEastAsia"/>
                <w:sz w:val="18"/>
                <w:szCs w:val="18"/>
                <w:lang w:val="en-US" w:eastAsia="zh-CN"/>
              </w:rPr>
              <w:t>片区情况背景了解全面的、片区内耕地面积有明确数据的</w:t>
            </w:r>
            <w:r>
              <w:rPr>
                <w:rFonts w:asciiTheme="minorEastAsia" w:hAnsiTheme="minorEastAsia" w:eastAsiaTheme="minorEastAsia" w:cstheme="minorEastAsia"/>
                <w:sz w:val="18"/>
                <w:szCs w:val="18"/>
              </w:rPr>
              <w:t>，针对性强</w:t>
            </w: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得</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5</w:t>
            </w:r>
            <w:r>
              <w:rPr>
                <w:rFonts w:asciiTheme="minorEastAsia" w:hAnsiTheme="minorEastAsia" w:eastAsiaTheme="minorEastAsia" w:cstheme="minorEastAsia"/>
                <w:sz w:val="18"/>
                <w:szCs w:val="18"/>
              </w:rPr>
              <w:t>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对江东新区全球消费精品展示中心区成片开发方案</w:t>
            </w:r>
            <w:r>
              <w:rPr>
                <w:rFonts w:asciiTheme="minorEastAsia" w:hAnsiTheme="minorEastAsia" w:eastAsiaTheme="minorEastAsia" w:cstheme="minorEastAsia"/>
                <w:sz w:val="18"/>
                <w:szCs w:val="18"/>
              </w:rPr>
              <w:t>及</w:t>
            </w:r>
            <w:r>
              <w:rPr>
                <w:rFonts w:hint="eastAsia" w:asciiTheme="minorEastAsia" w:hAnsiTheme="minorEastAsia" w:eastAsiaTheme="minorEastAsia" w:cstheme="minorEastAsia"/>
                <w:sz w:val="18"/>
                <w:szCs w:val="18"/>
                <w:lang w:val="en-US" w:eastAsia="zh-CN"/>
              </w:rPr>
              <w:t>片区情况背景了解</w:t>
            </w:r>
            <w:r>
              <w:rPr>
                <w:rFonts w:asciiTheme="minorEastAsia" w:hAnsiTheme="minorEastAsia" w:eastAsiaTheme="minorEastAsia" w:cstheme="minorEastAsia"/>
                <w:sz w:val="18"/>
                <w:szCs w:val="18"/>
              </w:rPr>
              <w:t>准确，得</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r>
              <w:rPr>
                <w:rFonts w:asciiTheme="minorEastAsia" w:hAnsiTheme="minorEastAsia" w:eastAsiaTheme="minorEastAsia" w:cstheme="minorEastAsia"/>
                <w:sz w:val="18"/>
                <w:szCs w:val="18"/>
              </w:rPr>
              <w:t>；</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对江东新区全球消费精品展示中心区成片开发方案</w:t>
            </w:r>
            <w:r>
              <w:rPr>
                <w:rFonts w:asciiTheme="minorEastAsia" w:hAnsiTheme="minorEastAsia" w:eastAsiaTheme="minorEastAsia" w:cstheme="minorEastAsia"/>
                <w:sz w:val="18"/>
                <w:szCs w:val="18"/>
              </w:rPr>
              <w:t>及</w:t>
            </w:r>
            <w:r>
              <w:rPr>
                <w:rFonts w:hint="eastAsia" w:asciiTheme="minorEastAsia" w:hAnsiTheme="minorEastAsia" w:eastAsiaTheme="minorEastAsia" w:cstheme="minorEastAsia"/>
                <w:sz w:val="18"/>
                <w:szCs w:val="18"/>
                <w:lang w:val="en-US" w:eastAsia="zh-CN"/>
              </w:rPr>
              <w:t>片区情况背景了解</w:t>
            </w:r>
            <w:r>
              <w:rPr>
                <w:rFonts w:asciiTheme="minorEastAsia" w:hAnsiTheme="minorEastAsia" w:eastAsiaTheme="minorEastAsia" w:cstheme="minorEastAsia"/>
                <w:sz w:val="18"/>
                <w:szCs w:val="18"/>
              </w:rPr>
              <w:t>不准确，得</w:t>
            </w:r>
            <w:r>
              <w:rPr>
                <w:rFonts w:hint="eastAsia" w:asciiTheme="minorEastAsia" w:hAnsiTheme="minorEastAsia" w:eastAsiaTheme="minorEastAsia" w:cstheme="minorEastAsia"/>
                <w:sz w:val="18"/>
                <w:szCs w:val="18"/>
                <w:lang w:val="en-US" w:eastAsia="zh-CN"/>
              </w:rPr>
              <w:t>7</w:t>
            </w:r>
            <w:r>
              <w:rPr>
                <w:rFonts w:asciiTheme="minorEastAsia" w:hAnsiTheme="minorEastAsia" w:eastAsiaTheme="minorEastAsia" w:cstheme="minorEastAsia"/>
                <w:sz w:val="18"/>
                <w:szCs w:val="18"/>
              </w:rPr>
              <w:t>分</w:t>
            </w:r>
            <w:r>
              <w:rPr>
                <w:rFonts w:hint="eastAsia" w:asciiTheme="minorEastAsia" w:hAnsiTheme="minorEastAsia" w:eastAsiaTheme="minorEastAsia" w:cstheme="minorEastAsia"/>
                <w:sz w:val="18"/>
                <w:szCs w:val="18"/>
              </w:rPr>
              <w:t>；</w:t>
            </w:r>
          </w:p>
          <w:p>
            <w:p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sz w:val="18"/>
                <w:szCs w:val="18"/>
                <w:lang w:val="en-US" w:eastAsia="zh-CN"/>
              </w:rPr>
              <w:t>对江东新区全球消费精品展示中心区成片开发方案</w:t>
            </w:r>
            <w:r>
              <w:rPr>
                <w:rFonts w:asciiTheme="minorEastAsia" w:hAnsiTheme="minorEastAsia" w:eastAsiaTheme="minorEastAsia" w:cstheme="minorEastAsia"/>
                <w:sz w:val="18"/>
                <w:szCs w:val="18"/>
              </w:rPr>
              <w:t>及</w:t>
            </w:r>
            <w:r>
              <w:rPr>
                <w:rFonts w:hint="eastAsia" w:asciiTheme="minorEastAsia" w:hAnsiTheme="minorEastAsia" w:eastAsiaTheme="minorEastAsia" w:cstheme="minorEastAsia"/>
                <w:sz w:val="18"/>
                <w:szCs w:val="18"/>
                <w:lang w:val="en-US" w:eastAsia="zh-CN"/>
              </w:rPr>
              <w:t>片区情况背景不了解的</w:t>
            </w:r>
            <w:r>
              <w:rPr>
                <w:rFonts w:hint="eastAsia" w:asciiTheme="minorEastAsia" w:hAnsiTheme="minorEastAsia" w:eastAsiaTheme="minorEastAsia" w:cstheme="minorEastAsia"/>
                <w:sz w:val="18"/>
                <w:szCs w:val="18"/>
              </w:rPr>
              <w:t>，得0分</w:t>
            </w:r>
            <w:r>
              <w:rPr>
                <w:rFonts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kern w:val="2"/>
                <w:sz w:val="20"/>
                <w:szCs w:val="20"/>
                <w:lang w:val="en-US" w:eastAsia="zh-CN" w:bidi="ar-SA"/>
              </w:rPr>
            </w:pPr>
            <w:r>
              <w:rPr>
                <w:rFonts w:asciiTheme="minorEastAsia" w:hAnsiTheme="minorEastAsia" w:eastAsiaTheme="minorEastAsia" w:cstheme="minorEastAsia"/>
                <w:sz w:val="18"/>
                <w:szCs w:val="18"/>
              </w:rPr>
              <w:t>对</w:t>
            </w:r>
            <w:r>
              <w:rPr>
                <w:rFonts w:hint="eastAsia" w:asciiTheme="minorEastAsia" w:hAnsiTheme="minorEastAsia" w:eastAsiaTheme="minorEastAsia" w:cstheme="minorEastAsia"/>
                <w:sz w:val="18"/>
                <w:szCs w:val="18"/>
              </w:rPr>
              <w:t>工作区域</w:t>
            </w:r>
            <w:r>
              <w:rPr>
                <w:rFonts w:asciiTheme="minorEastAsia" w:hAnsiTheme="minorEastAsia" w:eastAsiaTheme="minorEastAsia" w:cstheme="minorEastAsia"/>
                <w:sz w:val="18"/>
                <w:szCs w:val="18"/>
              </w:rPr>
              <w:t>内现状情况的认识与</w:t>
            </w:r>
            <w:r>
              <w:rPr>
                <w:rFonts w:hint="eastAsia" w:asciiTheme="minorEastAsia" w:hAnsiTheme="minorEastAsia" w:eastAsiaTheme="minorEastAsia" w:cstheme="minorEastAsia"/>
                <w:sz w:val="18"/>
                <w:szCs w:val="18"/>
              </w:rPr>
              <w:t>了</w:t>
            </w:r>
            <w:r>
              <w:rPr>
                <w:rFonts w:asciiTheme="minorEastAsia" w:hAnsiTheme="minorEastAsia" w:eastAsiaTheme="minorEastAsia" w:cstheme="minorEastAsia"/>
                <w:sz w:val="18"/>
                <w:szCs w:val="18"/>
              </w:rPr>
              <w:t>解</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w:t>
            </w:r>
            <w:r>
              <w:rPr>
                <w:rFonts w:hint="eastAsia" w:asciiTheme="minorEastAsia" w:hAnsiTheme="minorEastAsia" w:eastAsiaTheme="minorEastAsia" w:cstheme="minorEastAsia"/>
                <w:sz w:val="18"/>
                <w:szCs w:val="18"/>
                <w:lang w:val="en-US" w:eastAsia="zh-CN"/>
              </w:rPr>
              <w:t>江东新区全球消费精品展示中心区</w:t>
            </w:r>
            <w:r>
              <w:rPr>
                <w:rFonts w:hint="eastAsia" w:asciiTheme="minorEastAsia" w:hAnsiTheme="minorEastAsia" w:eastAsiaTheme="minorEastAsia" w:cstheme="minorEastAsia"/>
                <w:kern w:val="0"/>
                <w:sz w:val="18"/>
                <w:szCs w:val="18"/>
              </w:rPr>
              <w:t>内</w:t>
            </w:r>
            <w:r>
              <w:rPr>
                <w:rFonts w:hint="eastAsia" w:asciiTheme="minorEastAsia" w:hAnsiTheme="minorEastAsia" w:eastAsiaTheme="minorEastAsia" w:cstheme="minorEastAsia"/>
                <w:kern w:val="0"/>
                <w:sz w:val="18"/>
                <w:szCs w:val="18"/>
                <w:lang w:val="en-US" w:eastAsia="zh-CN"/>
              </w:rPr>
              <w:t>耕地</w:t>
            </w:r>
            <w:r>
              <w:rPr>
                <w:rFonts w:hint="eastAsia" w:asciiTheme="minorEastAsia" w:hAnsiTheme="minorEastAsia" w:eastAsiaTheme="minorEastAsia" w:cstheme="minorEastAsia"/>
                <w:kern w:val="0"/>
                <w:sz w:val="18"/>
                <w:szCs w:val="18"/>
              </w:rPr>
              <w:t>现状情况</w:t>
            </w:r>
            <w:r>
              <w:rPr>
                <w:rFonts w:hint="eastAsia" w:asciiTheme="minorEastAsia" w:hAnsiTheme="minorEastAsia" w:eastAsiaTheme="minorEastAsia" w:cstheme="minorEastAsia"/>
                <w:kern w:val="0"/>
                <w:sz w:val="18"/>
                <w:szCs w:val="18"/>
                <w:lang w:val="en-US" w:eastAsia="zh-CN"/>
              </w:rPr>
              <w:t>有具体数据、文件内有片区内耕地现状图，得16分</w:t>
            </w:r>
            <w:r>
              <w:rPr>
                <w:rFonts w:hint="eastAsia" w:asciiTheme="minorEastAsia" w:hAnsiTheme="minorEastAsia" w:eastAsiaTheme="minorEastAsia" w:cstheme="minorEastAsia"/>
                <w:kern w:val="0"/>
                <w:sz w:val="18"/>
                <w:szCs w:val="18"/>
              </w:rPr>
              <w:t>；</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w:t>
            </w:r>
            <w:r>
              <w:rPr>
                <w:rFonts w:hint="eastAsia" w:asciiTheme="minorEastAsia" w:hAnsiTheme="minorEastAsia" w:eastAsiaTheme="minorEastAsia" w:cstheme="minorEastAsia"/>
                <w:sz w:val="18"/>
                <w:szCs w:val="18"/>
                <w:lang w:val="en-US" w:eastAsia="zh-CN"/>
              </w:rPr>
              <w:t>江东新区全球消费精品展示中心区</w:t>
            </w:r>
            <w:r>
              <w:rPr>
                <w:rFonts w:hint="eastAsia" w:asciiTheme="minorEastAsia" w:hAnsiTheme="minorEastAsia" w:eastAsiaTheme="minorEastAsia" w:cstheme="minorEastAsia"/>
                <w:kern w:val="0"/>
                <w:sz w:val="18"/>
                <w:szCs w:val="18"/>
              </w:rPr>
              <w:t>内</w:t>
            </w:r>
            <w:r>
              <w:rPr>
                <w:rFonts w:hint="eastAsia" w:asciiTheme="minorEastAsia" w:hAnsiTheme="minorEastAsia" w:eastAsiaTheme="minorEastAsia" w:cstheme="minorEastAsia"/>
                <w:kern w:val="0"/>
                <w:sz w:val="18"/>
                <w:szCs w:val="18"/>
                <w:lang w:val="en-US" w:eastAsia="zh-CN"/>
              </w:rPr>
              <w:t>耕地</w:t>
            </w:r>
            <w:r>
              <w:rPr>
                <w:rFonts w:hint="eastAsia" w:asciiTheme="minorEastAsia" w:hAnsiTheme="minorEastAsia" w:eastAsiaTheme="minorEastAsia" w:cstheme="minorEastAsia"/>
                <w:kern w:val="0"/>
                <w:sz w:val="18"/>
                <w:szCs w:val="18"/>
              </w:rPr>
              <w:t>现状情况</w:t>
            </w:r>
            <w:r>
              <w:rPr>
                <w:rFonts w:hint="eastAsia" w:asciiTheme="minorEastAsia" w:hAnsiTheme="minorEastAsia" w:eastAsiaTheme="minorEastAsia" w:cstheme="minorEastAsia"/>
                <w:kern w:val="0"/>
                <w:sz w:val="18"/>
                <w:szCs w:val="18"/>
                <w:lang w:val="en-US" w:eastAsia="zh-CN"/>
              </w:rPr>
              <w:t>有具体数据、文件内无片区内耕地现状图</w:t>
            </w:r>
            <w:r>
              <w:rPr>
                <w:rFonts w:hint="eastAsia" w:asciiTheme="minorEastAsia" w:hAnsiTheme="minorEastAsia" w:eastAsiaTheme="minorEastAsia" w:cstheme="minorEastAsia"/>
                <w:kern w:val="0"/>
                <w:sz w:val="18"/>
                <w:szCs w:val="18"/>
              </w:rPr>
              <w:t>，得</w:t>
            </w: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分；</w:t>
            </w:r>
          </w:p>
          <w:p>
            <w:pPr>
              <w:pStyle w:val="30"/>
              <w:numPr>
                <w:ilvl w:val="0"/>
                <w:numId w:val="0"/>
              </w:num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kern w:val="0"/>
                <w:sz w:val="18"/>
                <w:szCs w:val="18"/>
              </w:rPr>
              <w:t>对</w:t>
            </w:r>
            <w:r>
              <w:rPr>
                <w:rFonts w:hint="eastAsia" w:asciiTheme="minorEastAsia" w:hAnsiTheme="minorEastAsia" w:eastAsiaTheme="minorEastAsia" w:cstheme="minorEastAsia"/>
                <w:sz w:val="18"/>
                <w:szCs w:val="18"/>
                <w:lang w:val="en-US" w:eastAsia="zh-CN"/>
              </w:rPr>
              <w:t>江东新区全球消费精品展示中心区</w:t>
            </w:r>
            <w:r>
              <w:rPr>
                <w:rFonts w:hint="eastAsia" w:asciiTheme="minorEastAsia" w:hAnsiTheme="minorEastAsia" w:eastAsiaTheme="minorEastAsia" w:cstheme="minorEastAsia"/>
                <w:kern w:val="0"/>
                <w:sz w:val="18"/>
                <w:szCs w:val="18"/>
              </w:rPr>
              <w:t>内</w:t>
            </w:r>
            <w:r>
              <w:rPr>
                <w:rFonts w:hint="eastAsia" w:asciiTheme="minorEastAsia" w:hAnsiTheme="minorEastAsia" w:eastAsiaTheme="minorEastAsia" w:cstheme="minorEastAsia"/>
                <w:kern w:val="0"/>
                <w:sz w:val="18"/>
                <w:szCs w:val="18"/>
                <w:lang w:val="en-US" w:eastAsia="zh-CN"/>
              </w:rPr>
              <w:t>耕地</w:t>
            </w:r>
            <w:r>
              <w:rPr>
                <w:rFonts w:hint="eastAsia" w:asciiTheme="minorEastAsia" w:hAnsiTheme="minorEastAsia" w:eastAsiaTheme="minorEastAsia" w:cstheme="minorEastAsia"/>
                <w:kern w:val="0"/>
                <w:sz w:val="18"/>
                <w:szCs w:val="18"/>
              </w:rPr>
              <w:t>现状情况</w:t>
            </w:r>
            <w:r>
              <w:rPr>
                <w:rFonts w:hint="eastAsia" w:asciiTheme="minorEastAsia" w:hAnsiTheme="minorEastAsia" w:eastAsiaTheme="minorEastAsia" w:cstheme="minorEastAsia"/>
                <w:kern w:val="0"/>
                <w:sz w:val="18"/>
                <w:szCs w:val="18"/>
                <w:lang w:val="en-US" w:eastAsia="zh-CN"/>
              </w:rPr>
              <w:t>无具体数据、文件内无片区内耕地现状图</w:t>
            </w:r>
            <w:r>
              <w:rPr>
                <w:rFonts w:hint="eastAsia" w:asciiTheme="minorEastAsia" w:hAnsiTheme="minorEastAsia" w:eastAsiaTheme="minorEastAsia" w:cstheme="minorEastAsia"/>
                <w:kern w:val="0"/>
                <w:sz w:val="18"/>
                <w:szCs w:val="18"/>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技术方案工作思路、方法、技术路线</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15</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整体工作思路清晰，工作方法可行性、技术路线合理性高，得1</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分；</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整体工作思路较清晰，工作方法可行性、技术路线合理性一般，得</w:t>
            </w:r>
            <w:r>
              <w:rPr>
                <w:rFonts w:hint="eastAsia" w:asciiTheme="minorEastAsia" w:hAnsiTheme="minorEastAsia" w:eastAsiaTheme="minorEastAsia" w:cstheme="minorEastAsia"/>
                <w:kern w:val="0"/>
                <w:sz w:val="18"/>
                <w:szCs w:val="18"/>
                <w:lang w:val="en-US" w:eastAsia="zh-CN"/>
              </w:rPr>
              <w:t>10</w:t>
            </w:r>
            <w:r>
              <w:rPr>
                <w:rFonts w:hint="eastAsia" w:asciiTheme="minorEastAsia" w:hAnsiTheme="minorEastAsia" w:eastAsiaTheme="minorEastAsia" w:cstheme="minorEastAsia"/>
                <w:kern w:val="0"/>
                <w:sz w:val="18"/>
                <w:szCs w:val="18"/>
              </w:rPr>
              <w:t>分；</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整体工作思路不清晰，工作方法可行性、技术路线合理性差，得</w:t>
            </w: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分；</w:t>
            </w:r>
          </w:p>
          <w:p>
            <w:pPr>
              <w:pStyle w:val="30"/>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无内容此项不得分。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工作进度计划</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工作时间与进度计划合理，得</w:t>
            </w:r>
            <w:r>
              <w:rPr>
                <w:rFonts w:hint="eastAsia" w:asciiTheme="minorEastAsia" w:hAnsiTheme="minorEastAsia" w:eastAsiaTheme="minorEastAsia" w:cstheme="minorEastAsia"/>
                <w:kern w:val="0"/>
                <w:sz w:val="18"/>
                <w:szCs w:val="18"/>
                <w:lang w:val="en-US" w:eastAsia="zh-CN"/>
              </w:rPr>
              <w:t>10</w:t>
            </w:r>
            <w:r>
              <w:rPr>
                <w:rFonts w:hint="eastAsia" w:asciiTheme="minorEastAsia" w:hAnsiTheme="minorEastAsia" w:eastAsiaTheme="minorEastAsia" w:cstheme="minorEastAsia"/>
                <w:kern w:val="0"/>
                <w:sz w:val="18"/>
                <w:szCs w:val="18"/>
              </w:rPr>
              <w:t>分；</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工作时间与进度计划比较合理，得6分；</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工作时间与进度计划不合理，得</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 xml:space="preserve">分； </w:t>
            </w:r>
          </w:p>
          <w:p>
            <w:pPr>
              <w:pStyle w:val="30"/>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无内容此项不得分。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服务承诺（</w:t>
            </w:r>
            <w:r>
              <w:rPr>
                <w:rFonts w:asciiTheme="minorEastAsia" w:hAnsiTheme="minorEastAsia" w:eastAsiaTheme="minorEastAsia" w:cstheme="minorEastAsia"/>
                <w:kern w:val="0"/>
                <w:sz w:val="18"/>
                <w:szCs w:val="18"/>
              </w:rPr>
              <w:t>9</w:t>
            </w:r>
            <w:r>
              <w:rPr>
                <w:rFonts w:hint="eastAsia" w:asciiTheme="minorEastAsia" w:hAnsiTheme="minorEastAsia" w:eastAsiaTheme="minorEastAsia" w:cstheme="minorEastAsia"/>
                <w:kern w:val="0"/>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服务承诺具体详细、完善，得9分；</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服务承诺比较完善，得6分；</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服务承诺较差，得3分。</w:t>
            </w:r>
          </w:p>
          <w:p>
            <w:pPr>
              <w:pStyle w:val="30"/>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无内容此项不得分。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r>
              <w:rPr>
                <w:rFonts w:hint="eastAsia" w:ascii="宋体" w:hAnsi="宋体" w:cs="宋体"/>
                <w:color w:val="auto"/>
                <w:sz w:val="20"/>
                <w:szCs w:val="20"/>
              </w:rPr>
              <w:t>商务部分</w:t>
            </w:r>
          </w:p>
          <w:p>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15</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pPr>
              <w:pStyle w:val="10"/>
              <w:ind w:left="0" w:leftChars="0" w:firstLine="0" w:firstLineChars="0"/>
              <w:jc w:val="center"/>
              <w:rPr>
                <w:rFonts w:ascii="仿宋_GB2312" w:hAnsi="Times New Roman" w:eastAsia="仿宋_GB2312" w:cs="Times New Roman"/>
                <w:bCs/>
                <w:color w:val="auto"/>
                <w:kern w:val="2"/>
                <w:sz w:val="20"/>
                <w:szCs w:val="20"/>
                <w:lang w:val="en-US" w:eastAsia="zh-CN" w:bidi="ar-SA"/>
              </w:rPr>
            </w:pPr>
            <w:r>
              <w:rPr>
                <w:rFonts w:hint="eastAsia" w:asciiTheme="minorEastAsia" w:hAnsiTheme="minorEastAsia" w:eastAsiaTheme="minorEastAsia" w:cstheme="minorEastAsia"/>
                <w:sz w:val="18"/>
                <w:szCs w:val="18"/>
              </w:rPr>
              <w:t>供应商实力（4分）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具有土地规划资质的得4分，其他不得分。</w:t>
            </w:r>
          </w:p>
          <w:p>
            <w:pP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证明材料：提供资质证书复印件，加盖公章。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sz w:val="18"/>
                <w:szCs w:val="18"/>
              </w:rPr>
              <w:t>类似项目业绩</w:t>
            </w:r>
            <w:r>
              <w:rPr>
                <w:rFonts w:hint="eastAsia" w:asciiTheme="minorEastAsia" w:hAnsiTheme="minorEastAsia" w:eastAsiaTheme="minorEastAsia" w:cstheme="minorEastAsia"/>
                <w:kern w:val="0"/>
                <w:sz w:val="18"/>
                <w:szCs w:val="18"/>
              </w:rPr>
              <w:t>（</w:t>
            </w:r>
            <w:r>
              <w:rPr>
                <w:rFonts w:asciiTheme="minorEastAsia" w:hAnsiTheme="minorEastAsia" w:eastAsiaTheme="minorEastAsia" w:cstheme="minorEastAsia"/>
                <w:kern w:val="0"/>
                <w:sz w:val="18"/>
                <w:szCs w:val="18"/>
              </w:rPr>
              <w:t>6</w:t>
            </w:r>
            <w:r>
              <w:rPr>
                <w:rFonts w:hint="eastAsia" w:asciiTheme="minorEastAsia" w:hAnsiTheme="minorEastAsia" w:eastAsiaTheme="minorEastAsia" w:cstheme="minorEastAsia"/>
                <w:kern w:val="0"/>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自2020年1月1日起</w:t>
            </w:r>
            <w:r>
              <w:rPr>
                <w:rFonts w:hint="eastAsia" w:asciiTheme="minorEastAsia" w:hAnsiTheme="minorEastAsia" w:eastAsiaTheme="minorEastAsia" w:cstheme="minorEastAsia"/>
                <w:kern w:val="0"/>
                <w:sz w:val="18"/>
                <w:szCs w:val="18"/>
              </w:rPr>
              <w:t>.承担过</w:t>
            </w:r>
            <w:r>
              <w:rPr>
                <w:rFonts w:hint="eastAsia" w:asciiTheme="minorEastAsia" w:hAnsiTheme="minorEastAsia" w:eastAsiaTheme="minorEastAsia" w:cstheme="minorEastAsia"/>
                <w:kern w:val="0"/>
                <w:sz w:val="18"/>
                <w:szCs w:val="18"/>
                <w:lang w:val="en-US" w:eastAsia="zh-CN"/>
              </w:rPr>
              <w:t>3个3个及以上</w:t>
            </w:r>
            <w:r>
              <w:rPr>
                <w:rFonts w:hint="eastAsia" w:asciiTheme="minorEastAsia" w:hAnsiTheme="minorEastAsia" w:eastAsiaTheme="minorEastAsia" w:cstheme="minorEastAsia"/>
                <w:kern w:val="0"/>
                <w:sz w:val="18"/>
                <w:szCs w:val="18"/>
              </w:rPr>
              <w:t>耕作层剥离利用方案编制的得</w:t>
            </w:r>
            <w:r>
              <w:rPr>
                <w:rFonts w:asciiTheme="minorEastAsia" w:hAnsiTheme="minorEastAsia" w:eastAsiaTheme="minorEastAsia" w:cstheme="minorEastAsia"/>
                <w:kern w:val="0"/>
                <w:sz w:val="18"/>
                <w:szCs w:val="18"/>
              </w:rPr>
              <w:t>6</w:t>
            </w:r>
            <w:r>
              <w:rPr>
                <w:rFonts w:hint="eastAsia" w:asciiTheme="minorEastAsia" w:hAnsiTheme="minorEastAsia" w:eastAsiaTheme="minorEastAsia" w:cstheme="minorEastAsia"/>
                <w:kern w:val="0"/>
                <w:sz w:val="18"/>
                <w:szCs w:val="18"/>
              </w:rPr>
              <w:t>分；</w:t>
            </w:r>
            <w:r>
              <w:rPr>
                <w:rFonts w:hint="eastAsia" w:asciiTheme="minorEastAsia" w:hAnsiTheme="minorEastAsia" w:eastAsiaTheme="minorEastAsia" w:cstheme="minorEastAsia"/>
                <w:kern w:val="0"/>
                <w:sz w:val="18"/>
                <w:szCs w:val="18"/>
                <w:lang w:val="en-US" w:eastAsia="zh-CN"/>
              </w:rPr>
              <w:t>承担过1-2个耕作层剥离利用方案的得3分；未承担过的不得分</w:t>
            </w:r>
            <w:r>
              <w:rPr>
                <w:rFonts w:hint="eastAsia" w:asciiTheme="minorEastAsia" w:hAnsiTheme="minorEastAsia" w:eastAsiaTheme="minorEastAsia" w:cstheme="minorEastAsia"/>
                <w:kern w:val="0"/>
                <w:sz w:val="18"/>
                <w:szCs w:val="18"/>
              </w:rPr>
              <w:t>。满分</w:t>
            </w:r>
            <w:r>
              <w:rPr>
                <w:rFonts w:asciiTheme="minorEastAsia" w:hAnsiTheme="minorEastAsia" w:eastAsiaTheme="minorEastAsia" w:cstheme="minorEastAsia"/>
                <w:kern w:val="0"/>
                <w:sz w:val="18"/>
                <w:szCs w:val="18"/>
              </w:rPr>
              <w:t>6</w:t>
            </w:r>
            <w:r>
              <w:rPr>
                <w:rFonts w:hint="eastAsia" w:asciiTheme="minorEastAsia" w:hAnsiTheme="minorEastAsia" w:eastAsiaTheme="minorEastAsia" w:cstheme="minorEastAsia"/>
                <w:kern w:val="0"/>
                <w:sz w:val="18"/>
                <w:szCs w:val="18"/>
              </w:rPr>
              <w:t>分。</w:t>
            </w:r>
          </w:p>
          <w:p>
            <w:p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kern w:val="0"/>
                <w:sz w:val="18"/>
                <w:szCs w:val="18"/>
              </w:rPr>
              <w:t>注：提供</w:t>
            </w:r>
            <w:r>
              <w:rPr>
                <w:rFonts w:hint="eastAsia" w:asciiTheme="minorEastAsia" w:hAnsiTheme="minorEastAsia" w:eastAsiaTheme="minorEastAsia" w:cstheme="minorEastAsia"/>
                <w:kern w:val="0"/>
                <w:sz w:val="18"/>
                <w:szCs w:val="18"/>
                <w:lang w:val="en-US" w:eastAsia="zh-CN"/>
              </w:rPr>
              <w:t>中标通知书或</w:t>
            </w:r>
            <w:r>
              <w:rPr>
                <w:rFonts w:hint="eastAsia" w:asciiTheme="minorEastAsia" w:hAnsiTheme="minorEastAsia" w:eastAsiaTheme="minorEastAsia" w:cstheme="minorEastAsia"/>
                <w:kern w:val="0"/>
                <w:sz w:val="18"/>
                <w:szCs w:val="18"/>
              </w:rPr>
              <w:t>合同关键，复印件加盖公章。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sz w:val="18"/>
                <w:szCs w:val="18"/>
              </w:rPr>
            </w:pPr>
            <w:r>
              <w:rPr>
                <w:rFonts w:hint="eastAsia" w:cs="仿宋"/>
                <w:sz w:val="18"/>
                <w:szCs w:val="18"/>
              </w:rPr>
              <w:t>人员配备（</w:t>
            </w:r>
            <w:r>
              <w:rPr>
                <w:rFonts w:hint="eastAsia" w:cs="仿宋"/>
                <w:sz w:val="18"/>
                <w:szCs w:val="18"/>
                <w:lang w:val="en-US" w:eastAsia="zh-CN"/>
              </w:rPr>
              <w:t>5</w:t>
            </w:r>
            <w:r>
              <w:rPr>
                <w:rFonts w:hint="eastAsia" w:cs="仿宋"/>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1.拟派项目负责人具备规划</w:t>
            </w:r>
            <w:r>
              <w:rPr>
                <w:rFonts w:hint="eastAsia" w:asciiTheme="minorEastAsia" w:hAnsiTheme="minorEastAsia" w:eastAsiaTheme="minorEastAsia" w:cstheme="minorEastAsia"/>
                <w:kern w:val="0"/>
                <w:sz w:val="18"/>
                <w:szCs w:val="18"/>
                <w:lang w:val="en-US" w:eastAsia="zh-CN"/>
              </w:rPr>
              <w:t>类</w:t>
            </w:r>
            <w:r>
              <w:rPr>
                <w:rFonts w:hint="eastAsia" w:asciiTheme="minorEastAsia" w:hAnsiTheme="minorEastAsia" w:eastAsiaTheme="minorEastAsia" w:cstheme="minorEastAsia"/>
                <w:kern w:val="0"/>
                <w:sz w:val="18"/>
                <w:szCs w:val="18"/>
              </w:rPr>
              <w:t>高级工程师职称的得</w:t>
            </w:r>
            <w:r>
              <w:rPr>
                <w:rFonts w:asciiTheme="minorEastAsia" w:hAnsiTheme="minorEastAsia" w:eastAsiaTheme="minorEastAsia" w:cstheme="minorEastAsia"/>
                <w:kern w:val="0"/>
                <w:sz w:val="18"/>
                <w:szCs w:val="18"/>
              </w:rPr>
              <w:t>5</w:t>
            </w:r>
            <w:r>
              <w:rPr>
                <w:rFonts w:hint="eastAsia" w:asciiTheme="minorEastAsia" w:hAnsiTheme="minorEastAsia" w:eastAsiaTheme="minorEastAsia" w:cstheme="minorEastAsia"/>
                <w:kern w:val="0"/>
                <w:sz w:val="18"/>
                <w:szCs w:val="18"/>
              </w:rPr>
              <w:t>分，具备规划</w:t>
            </w:r>
            <w:r>
              <w:rPr>
                <w:rFonts w:hint="eastAsia" w:asciiTheme="minorEastAsia" w:hAnsiTheme="minorEastAsia" w:eastAsiaTheme="minorEastAsia" w:cstheme="minorEastAsia"/>
                <w:kern w:val="0"/>
                <w:sz w:val="18"/>
                <w:szCs w:val="18"/>
                <w:lang w:val="en-US" w:eastAsia="zh-CN"/>
              </w:rPr>
              <w:t>类</w:t>
            </w:r>
            <w:r>
              <w:rPr>
                <w:rFonts w:hint="eastAsia" w:asciiTheme="minorEastAsia" w:hAnsiTheme="minorEastAsia" w:eastAsiaTheme="minorEastAsia" w:cstheme="minorEastAsia"/>
                <w:kern w:val="0"/>
                <w:sz w:val="18"/>
                <w:szCs w:val="18"/>
              </w:rPr>
              <w:t>中级工程师职称的得</w:t>
            </w:r>
            <w:r>
              <w:rPr>
                <w:rFonts w:asciiTheme="minorEastAsia" w:hAnsiTheme="minorEastAsia" w:eastAsiaTheme="minorEastAsia" w:cstheme="minorEastAsia"/>
                <w:kern w:val="0"/>
                <w:sz w:val="18"/>
                <w:szCs w:val="18"/>
              </w:rPr>
              <w:t>4</w:t>
            </w:r>
            <w:r>
              <w:rPr>
                <w:rFonts w:hint="eastAsia" w:asciiTheme="minorEastAsia" w:hAnsiTheme="minorEastAsia" w:eastAsiaTheme="minorEastAsia" w:cstheme="minorEastAsia"/>
                <w:kern w:val="0"/>
                <w:sz w:val="18"/>
                <w:szCs w:val="18"/>
              </w:rPr>
              <w:t>分，其他得0分。</w:t>
            </w:r>
          </w:p>
          <w:p>
            <w:pP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证明材料：提供</w:t>
            </w:r>
            <w:r>
              <w:rPr>
                <w:rFonts w:hint="eastAsia" w:asciiTheme="minorEastAsia" w:hAnsiTheme="minorEastAsia" w:eastAsiaTheme="minorEastAsia" w:cstheme="minorEastAsia"/>
                <w:kern w:val="0"/>
                <w:sz w:val="18"/>
                <w:szCs w:val="18"/>
                <w:lang w:val="en-US" w:eastAsia="zh-CN"/>
              </w:rPr>
              <w:t>人员证书以及在2023年任意一个月本单位缴纳社保证明，复印件加盖公章</w:t>
            </w:r>
          </w:p>
        </w:tc>
      </w:tr>
    </w:tbl>
    <w:p>
      <w:pPr>
        <w:pStyle w:val="10"/>
        <w:ind w:left="0" w:leftChars="0" w:firstLine="0" w:firstLineChars="0"/>
        <w:rPr>
          <w:rFonts w:hint="eastAsia" w:asciiTheme="minorEastAsia" w:hAnsiTheme="minorEastAsia" w:eastAsiaTheme="minorEastAsia" w:cstheme="minorEastAsia"/>
          <w:b/>
          <w:color w:val="auto"/>
          <w:sz w:val="21"/>
          <w:szCs w:val="21"/>
        </w:rPr>
      </w:pPr>
    </w:p>
    <w:p>
      <w:pPr>
        <w:rPr>
          <w:rFonts w:hint="eastAsia"/>
          <w:color w:val="auto"/>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color w:val="auto"/>
        </w:r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pPr>
        <w:adjustRightInd/>
        <w:snapToGrid/>
        <w:spacing w:line="240" w:lineRule="auto"/>
        <w:jc w:val="left"/>
        <w:outlineLvl w:val="9"/>
        <w:rPr>
          <w:rFonts w:hint="eastAsia" w:asciiTheme="minorEastAsia" w:hAnsiTheme="minorEastAsia" w:eastAsiaTheme="minorEastAsia" w:cstheme="minorEastAsia"/>
          <w:b/>
          <w:color w:val="auto"/>
          <w:szCs w:val="21"/>
        </w:rPr>
      </w:pPr>
    </w:p>
    <w:p>
      <w:pPr>
        <w:adjustRightInd w:val="0"/>
        <w:snapToGrid w:val="0"/>
        <w:spacing w:line="360" w:lineRule="auto"/>
        <w:jc w:val="center"/>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第五章  采购合同格式</w:t>
      </w:r>
    </w:p>
    <w:p>
      <w:pPr>
        <w:spacing w:line="360" w:lineRule="atLeast"/>
        <w:jc w:val="center"/>
        <w:rPr>
          <w:color w:val="auto"/>
          <w:szCs w:val="21"/>
        </w:rPr>
      </w:pPr>
      <w:r>
        <w:rPr>
          <w:rFonts w:hint="eastAsia"/>
          <w:color w:val="auto"/>
          <w:szCs w:val="21"/>
        </w:rPr>
        <w:t>（注：本合同格式为参考格式，具体内容按采购人及比选文件要求与中标单位签订）</w:t>
      </w:r>
    </w:p>
    <w:p>
      <w:pPr>
        <w:pStyle w:val="11"/>
        <w:spacing w:line="560" w:lineRule="exact"/>
        <w:ind w:left="0" w:firstLine="0" w:firstLineChars="0"/>
        <w:jc w:val="center"/>
        <w:rPr>
          <w:rFonts w:hint="eastAsia" w:ascii="黑体" w:hAnsi="黑体" w:eastAsia="黑体" w:cs="黑体"/>
          <w:bCs/>
          <w:color w:val="000000"/>
          <w:sz w:val="32"/>
          <w:szCs w:val="32"/>
          <w:highlight w:val="none"/>
          <w:lang w:val="en-US" w:eastAsia="zh-CN"/>
        </w:rPr>
      </w:pPr>
    </w:p>
    <w:p>
      <w:pPr>
        <w:pStyle w:val="11"/>
        <w:spacing w:afterLines="0" w:line="560" w:lineRule="exact"/>
        <w:ind w:left="0" w:firstLine="0" w:firstLineChars="0"/>
        <w:jc w:val="center"/>
        <w:rPr>
          <w:rFonts w:hint="eastAsia" w:ascii="黑体" w:hAnsi="黑体" w:eastAsia="黑体" w:cs="黑体"/>
          <w:bCs/>
          <w:color w:val="000000"/>
          <w:sz w:val="32"/>
          <w:szCs w:val="32"/>
          <w:highlight w:val="none"/>
          <w:lang w:val="en-US" w:eastAsia="zh-CN"/>
        </w:rPr>
      </w:pPr>
    </w:p>
    <w:p>
      <w:pPr>
        <w:pStyle w:val="11"/>
        <w:adjustRightInd w:val="0"/>
        <w:snapToGrid w:val="0"/>
        <w:jc w:val="center"/>
        <w:rPr>
          <w:rFonts w:hAnsi="宋体" w:cs="宋体"/>
          <w:b/>
          <w:bCs/>
          <w:color w:val="auto"/>
          <w:szCs w:val="21"/>
        </w:rPr>
      </w:pPr>
      <w:r>
        <w:rPr>
          <w:rFonts w:hint="eastAsia" w:hAnsi="宋体" w:cs="宋体"/>
          <w:b/>
          <w:bCs/>
          <w:color w:val="auto"/>
          <w:szCs w:val="21"/>
        </w:rPr>
        <w:t>江东新区</w:t>
      </w:r>
      <w:r>
        <w:rPr>
          <w:rFonts w:hint="eastAsia" w:hAnsi="宋体" w:cs="宋体"/>
          <w:b/>
          <w:bCs/>
          <w:color w:val="auto"/>
          <w:szCs w:val="21"/>
          <w:lang w:val="en-US" w:eastAsia="zh-CN"/>
        </w:rPr>
        <w:t>全球消费精品展示中心区</w:t>
      </w:r>
      <w:r>
        <w:rPr>
          <w:rFonts w:hint="eastAsia" w:hAnsi="宋体" w:cs="宋体"/>
          <w:b/>
          <w:bCs/>
          <w:color w:val="auto"/>
          <w:szCs w:val="21"/>
        </w:rPr>
        <w:t>建设占用耕地耕作层剥离再利用实施方案编制</w:t>
      </w:r>
    </w:p>
    <w:p>
      <w:pPr>
        <w:pStyle w:val="11"/>
        <w:adjustRightInd w:val="0"/>
        <w:snapToGrid w:val="0"/>
        <w:jc w:val="center"/>
        <w:rPr>
          <w:rFonts w:hAnsi="宋体" w:cs="宋体"/>
          <w:b/>
          <w:bCs/>
          <w:color w:val="auto"/>
          <w:szCs w:val="21"/>
        </w:rPr>
      </w:pPr>
      <w:r>
        <w:rPr>
          <w:rFonts w:hint="eastAsia" w:hAnsi="宋体" w:cs="宋体"/>
          <w:b/>
          <w:bCs/>
          <w:color w:val="auto"/>
          <w:szCs w:val="21"/>
        </w:rPr>
        <w:t>技术服务合同</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甲方：海口江东新区管理局</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住所地：</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法定代表人：</w:t>
      </w:r>
    </w:p>
    <w:p>
      <w:pPr>
        <w:pStyle w:val="11"/>
        <w:adjustRightInd w:val="0"/>
        <w:snapToGrid w:val="0"/>
        <w:spacing w:line="400" w:lineRule="exact"/>
        <w:ind w:firstLine="420" w:firstLineChars="200"/>
        <w:jc w:val="left"/>
        <w:rPr>
          <w:rFonts w:hAnsi="宋体" w:cs="宋体"/>
          <w:bCs/>
          <w:color w:val="auto"/>
          <w:szCs w:val="21"/>
        </w:rPr>
      </w:pP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住所地：</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法定代表人：</w:t>
      </w:r>
    </w:p>
    <w:p>
      <w:pPr>
        <w:pStyle w:val="11"/>
        <w:adjustRightInd w:val="0"/>
        <w:snapToGrid w:val="0"/>
        <w:spacing w:line="400" w:lineRule="exact"/>
        <w:ind w:firstLine="420" w:firstLineChars="200"/>
        <w:jc w:val="left"/>
        <w:rPr>
          <w:rFonts w:hAnsi="宋体" w:cs="宋体"/>
          <w:bCs/>
          <w:color w:val="auto"/>
          <w:szCs w:val="21"/>
        </w:rPr>
      </w:pP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本技术服务合同由海口江东新区管理局（甲方）与                  （乙方）在海口江东新区签订，合同履行地为海口市美兰区。</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根据《中华人民共和国民法典》有关规定，甲乙双方本着平等、自愿、互惠、合法和诚实信用原则，经充分友好协商，签订本合同作为双方共同遵守之依据。</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一、委托事项</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乙方接受甲方委托，有偿提供江东新区全球消费精品展示中心区建设占用耕地耕作层剥离再利用实施方案编制服务。</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二、服务内容</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（一）主要工作内容</w:t>
      </w:r>
    </w:p>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hint="eastAsia"/>
          <w:color w:val="auto"/>
        </w:rPr>
        <w:t xml:space="preserve"> </w:t>
      </w:r>
      <w:r>
        <w:rPr>
          <w:rFonts w:hint="eastAsia" w:ascii="宋体" w:hAnsi="宋体" w:cs="宋体"/>
          <w:color w:val="auto"/>
          <w:kern w:val="0"/>
          <w:szCs w:val="21"/>
        </w:rPr>
        <w:t>通过空间分析及实地勘察，按照《耕作层土壤剥离利用技术规范（TD/T 1048-2016）》要求编制江东新区全球消费精品展示中心区建设占用耕地范围内涉及的耕地耕作层土壤剥离再利用实施方案。方案具体内容包括方案背景及编制的原则依据、项目概况、土壤调查评价、表土剥离设计、表土存储及再利用、土壤运输路线设计、工程量及投资估算、效益分析及保障措施等。</w:t>
      </w:r>
    </w:p>
    <w:p>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w:t>
      </w:r>
      <w:r>
        <w:rPr>
          <w:rFonts w:hint="eastAsia"/>
          <w:color w:val="auto"/>
        </w:rPr>
        <w:t xml:space="preserve"> </w:t>
      </w:r>
      <w:r>
        <w:rPr>
          <w:rFonts w:hint="eastAsia" w:ascii="宋体" w:hAnsi="宋体" w:cs="宋体"/>
          <w:color w:val="auto"/>
          <w:kern w:val="0"/>
          <w:szCs w:val="21"/>
        </w:rPr>
        <w:t>根据耕地实际情况设置耕地样点并进行现场抽样调查，包括样点的土壤剖面调查、地表勘察以及委托专业机构对样点取土样本进行土壤理化分析，包括土壤理化性质、土壤养分情况以及重金属含量情况等。</w:t>
      </w:r>
    </w:p>
    <w:p>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.针对编制的《方案》开展专家评审，并根据专家提出的意见进行修改完善。</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（二）成果要求</w:t>
      </w:r>
    </w:p>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乙方编制的《方案》应符合《耕作层土壤剥离利用技术规范（TD/T 1048-2016）》要求。</w:t>
      </w:r>
    </w:p>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《方案》应包含文字报告、现场照片以及土壤样本检测报告等。</w:t>
      </w:r>
    </w:p>
    <w:p>
      <w:pPr>
        <w:adjustRightInd w:val="0"/>
        <w:snapToGrid w:val="0"/>
        <w:spacing w:line="400" w:lineRule="exact"/>
        <w:ind w:firstLine="420" w:firstLineChars="200"/>
        <w:rPr>
          <w:rFonts w:hAnsi="宋体" w:cs="宋体"/>
          <w:bCs/>
          <w:color w:val="auto"/>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 xml:space="preserve"> 《方案》应通过专家评审，并针对专家提出的意见进行修改及完善，乙方应</w:t>
      </w:r>
      <w:r>
        <w:rPr>
          <w:rFonts w:hint="eastAsia" w:hAnsi="宋体" w:cs="宋体"/>
          <w:bCs/>
          <w:color w:val="auto"/>
          <w:szCs w:val="21"/>
        </w:rPr>
        <w:t>在甲方指定的时间内完成修改工作并提交成果。</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（三）技术成果</w:t>
      </w:r>
    </w:p>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1．文本：江东新区全球消费精品展示中心区建设占用耕地耕作层剥离再利用实施方案。</w:t>
      </w:r>
    </w:p>
    <w:p>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．土壤样本检测报告。</w:t>
      </w:r>
    </w:p>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3．取样点地表现场照片。</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color w:val="auto"/>
          <w:kern w:val="0"/>
          <w:szCs w:val="21"/>
        </w:rPr>
        <w:t>文本打印A4装订成册3套，以及全套电子文档。</w:t>
      </w:r>
    </w:p>
    <w:p>
      <w:pPr>
        <w:pStyle w:val="11"/>
        <w:numPr>
          <w:ilvl w:val="255"/>
          <w:numId w:val="0"/>
        </w:numPr>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（四）验收</w:t>
      </w:r>
    </w:p>
    <w:p>
      <w:pPr>
        <w:pStyle w:val="11"/>
        <w:numPr>
          <w:ilvl w:val="255"/>
          <w:numId w:val="0"/>
        </w:numPr>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乙方提供的技术成果应通过市自然资源主管部门组织的专家评审。</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三、双方责任</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甲方应向乙方提供经双方商定、乙方为完成本合同约定委托任务所必需的有关资料和文件。乙方同意按甲方要求，对甲方提供的有关资料和文件承担保密义务。同时甲方对乙方提供的可能涉密资料承担保密义务。</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（二）甲方应按照本合同第四条确定的费用和支付条件，向乙方支付费用。</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（三）乙方应完成本合同委托事项，承担技术责任以及其间所发生的一切费用。</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（四）乙方应承担因提交成果质量不符合技术要求或错误引起的返工或未按期提交成果拖延工期造成的损失，并自费对成果修改或补充。但属于甲方委托任务变更造成修改或补充的损失，应由甲方负担额外费用。</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（五）本合同技术服务所产生的最终技术成果所有权属于甲方，乙方未经甲方允许不得转让给第三方，并保证提交的成果符合法律、法规及现行国家、地区及行业有关规范和标准，不侵犯任何第三方的权利。</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四、费用和支付方式</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甲乙双方确定合同金额为人民币         （¥       元）（含税价）。</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首笔款为合同金额的5</w:t>
      </w:r>
      <w:r>
        <w:rPr>
          <w:rFonts w:hAnsi="宋体" w:cs="宋体"/>
          <w:bCs/>
          <w:color w:val="auto"/>
          <w:szCs w:val="21"/>
        </w:rPr>
        <w:t>0%</w:t>
      </w:r>
      <w:r>
        <w:rPr>
          <w:rFonts w:hint="eastAsia" w:hAnsi="宋体" w:cs="宋体"/>
          <w:bCs/>
          <w:color w:val="auto"/>
          <w:szCs w:val="21"/>
        </w:rPr>
        <w:t>，即人民币         （¥       元），甲方在乙方提交方案初步成果</w:t>
      </w:r>
      <w:r>
        <w:rPr>
          <w:rFonts w:hint="eastAsia" w:hAnsi="宋体" w:cs="宋体"/>
          <w:bCs/>
          <w:color w:val="auto"/>
          <w:szCs w:val="21"/>
          <w:lang w:val="en-US" w:eastAsia="zh-CN"/>
        </w:rPr>
        <w:t>及等额有效发票</w:t>
      </w:r>
      <w:r>
        <w:rPr>
          <w:rFonts w:hint="eastAsia" w:hAnsi="宋体" w:cs="宋体"/>
          <w:bCs/>
          <w:color w:val="auto"/>
          <w:szCs w:val="21"/>
        </w:rPr>
        <w:t>后</w:t>
      </w:r>
      <w:r>
        <w:rPr>
          <w:rFonts w:hAnsi="宋体" w:cs="宋体"/>
          <w:bCs/>
          <w:color w:val="auto"/>
          <w:szCs w:val="21"/>
        </w:rPr>
        <w:t>10</w:t>
      </w:r>
      <w:r>
        <w:rPr>
          <w:rFonts w:hint="eastAsia" w:hAnsi="宋体" w:cs="宋体"/>
          <w:bCs/>
          <w:color w:val="auto"/>
          <w:szCs w:val="21"/>
        </w:rPr>
        <w:t>日内支付给乙方。</w:t>
      </w:r>
    </w:p>
    <w:p>
      <w:pPr>
        <w:pStyle w:val="11"/>
        <w:adjustRightInd w:val="0"/>
        <w:snapToGrid w:val="0"/>
        <w:spacing w:line="400" w:lineRule="exact"/>
        <w:ind w:firstLine="420" w:firstLineChars="200"/>
        <w:jc w:val="left"/>
        <w:rPr>
          <w:rFonts w:hint="eastAsia" w:hAnsi="宋体" w:cs="宋体"/>
          <w:bCs/>
          <w:color w:val="auto"/>
          <w:szCs w:val="21"/>
        </w:rPr>
      </w:pPr>
      <w:r>
        <w:rPr>
          <w:rFonts w:hint="eastAsia" w:hAnsi="宋体" w:cs="宋体"/>
          <w:bCs/>
          <w:color w:val="auto"/>
          <w:szCs w:val="21"/>
        </w:rPr>
        <w:t>尾款为合同金额的</w:t>
      </w:r>
      <w:r>
        <w:rPr>
          <w:rFonts w:hAnsi="宋体" w:cs="宋体"/>
          <w:bCs/>
          <w:color w:val="auto"/>
          <w:szCs w:val="21"/>
        </w:rPr>
        <w:t>5</w:t>
      </w:r>
      <w:r>
        <w:rPr>
          <w:rFonts w:hint="eastAsia" w:hAnsi="宋体" w:cs="宋体"/>
          <w:bCs/>
          <w:color w:val="auto"/>
          <w:szCs w:val="21"/>
        </w:rPr>
        <w:t>0%，即人民币         （¥       元），甲方在乙方提供通过专家评审的技术成果及等额有效发票后20日内付清。</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财政部门审批拨款时间不计入甲方支付时限内</w:t>
      </w:r>
      <w:r>
        <w:rPr>
          <w:rFonts w:hint="eastAsia" w:hAnsi="宋体" w:cs="宋体"/>
          <w:bCs/>
          <w:color w:val="auto"/>
          <w:szCs w:val="21"/>
          <w:lang w:eastAsia="zh-CN"/>
        </w:rPr>
        <w:t>，</w:t>
      </w:r>
      <w:r>
        <w:rPr>
          <w:rFonts w:hint="eastAsia" w:ascii="宋体" w:hAnsi="宋体" w:eastAsia="宋体" w:cs="宋体"/>
          <w:bCs/>
          <w:color w:val="auto"/>
          <w:sz w:val="21"/>
          <w:szCs w:val="21"/>
        </w:rPr>
        <w:t>乙方不得因此向甲方主张</w:t>
      </w:r>
      <w:r>
        <w:rPr>
          <w:rFonts w:hint="eastAsia" w:ascii="宋体" w:hAnsi="宋体" w:eastAsia="宋体" w:cs="宋体"/>
          <w:bCs/>
          <w:color w:val="auto"/>
          <w:sz w:val="21"/>
          <w:szCs w:val="21"/>
          <w:lang w:val="en-US" w:eastAsia="zh-CN"/>
        </w:rPr>
        <w:t>违约金、赔偿金等</w:t>
      </w:r>
      <w:r>
        <w:rPr>
          <w:rFonts w:hint="eastAsia" w:ascii="宋体" w:hAnsi="宋体" w:eastAsia="宋体" w:cs="宋体"/>
          <w:bCs/>
          <w:color w:val="auto"/>
          <w:sz w:val="21"/>
          <w:szCs w:val="21"/>
        </w:rPr>
        <w:t>相关权利</w:t>
      </w:r>
      <w:r>
        <w:rPr>
          <w:rFonts w:hint="eastAsia" w:hAnsi="宋体" w:cs="宋体"/>
          <w:bCs/>
          <w:color w:val="auto"/>
          <w:szCs w:val="21"/>
        </w:rPr>
        <w:t>。</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五、服务期限</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乙方应在合同签订之日起</w:t>
      </w:r>
      <w:r>
        <w:rPr>
          <w:rFonts w:hAnsi="宋体" w:cs="宋体"/>
          <w:bCs/>
          <w:color w:val="auto"/>
          <w:szCs w:val="21"/>
        </w:rPr>
        <w:t>15</w:t>
      </w:r>
      <w:r>
        <w:rPr>
          <w:rFonts w:hint="eastAsia" w:hAnsi="宋体" w:cs="宋体"/>
          <w:bCs/>
          <w:color w:val="auto"/>
          <w:szCs w:val="21"/>
        </w:rPr>
        <w:t>日内提交方案初步成果，在合同签订之日起</w:t>
      </w:r>
      <w:r>
        <w:rPr>
          <w:rFonts w:hAnsi="宋体" w:cs="宋体"/>
          <w:bCs/>
          <w:color w:val="auto"/>
          <w:szCs w:val="21"/>
        </w:rPr>
        <w:t>30</w:t>
      </w:r>
      <w:r>
        <w:rPr>
          <w:rFonts w:hint="eastAsia" w:hAnsi="宋体" w:cs="宋体"/>
          <w:bCs/>
          <w:color w:val="auto"/>
          <w:szCs w:val="21"/>
        </w:rPr>
        <w:t>日内通过专家评审，并向甲方移交全部技术成果。</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甲方联系人：        ，电话：         。</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乙方联系人：        ，电话：         。</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六、违约责任</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（一）无正当理由，因甲方原因未按时付款的，每延迟一天按应</w:t>
      </w:r>
      <w:r>
        <w:rPr>
          <w:rFonts w:hAnsi="宋体" w:cs="宋体"/>
          <w:bCs/>
          <w:color w:val="auto"/>
          <w:szCs w:val="21"/>
        </w:rPr>
        <w:t>付款的</w:t>
      </w:r>
      <w:r>
        <w:rPr>
          <w:rFonts w:hint="eastAsia" w:hAnsi="宋体" w:cs="宋体"/>
          <w:bCs/>
          <w:color w:val="auto"/>
          <w:szCs w:val="21"/>
        </w:rPr>
        <w:t xml:space="preserve"> 0.1‰ 支付违约金，违约金以未付款的10%为上限。</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（二）如乙方未能在约定时间内向甲方提供初步成果或通过市自然资源主管部门组织的专家评审的技术成果的，则每延迟一天，乙方应向甲方支付合同总价 1‰ 的违约金；乙方逾期提供初步成果超过30日的，甲方有权解除合同，并要求乙方退还甲方已支付费用。乙方在合同签订之日起</w:t>
      </w:r>
      <w:r>
        <w:rPr>
          <w:rFonts w:hint="eastAsia" w:hAnsi="宋体" w:cs="宋体"/>
          <w:bCs/>
          <w:color w:val="auto"/>
          <w:szCs w:val="21"/>
          <w:lang w:val="en-US" w:eastAsia="zh-CN"/>
        </w:rPr>
        <w:t>6</w:t>
      </w:r>
      <w:r>
        <w:rPr>
          <w:rFonts w:hint="eastAsia" w:hAnsi="宋体" w:cs="宋体"/>
          <w:bCs/>
          <w:color w:val="auto"/>
          <w:szCs w:val="21"/>
        </w:rPr>
        <w:t>0日内未向甲方提供通过市自然资源主管部门验收的技术成果，除支付违约金外，还应退还甲方已支付费用。</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乙方提交的技术成果应符合国家及地方的相关规定、规范要求，对于甲方及评审专家提出的意见，乙方应在规定时限内修改、补充与完善,如乙方拒绝修改或贰次修改未满足要求或未通过验收的，甲方有权解除合同，已支付费用乙方应予以返还,同时乙方应向甲方支付合同费用总额10%的违约金。</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（四）因乙方出现下列情形的，甲方有权解除本合同并要求乙方返还已支付费用，乙方应向甲方支付合同费用总额10%的违约金：</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A.未经甲方书面同意，转让本合同权利义务，或委托他方代为或参与履行本合同的(包括但不限于转包、分包行为)；</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B.</w:t>
      </w:r>
      <w:r>
        <w:rPr>
          <w:rFonts w:hint="eastAsia"/>
          <w:color w:val="auto"/>
        </w:rPr>
        <w:t>不得在向甲方交付技术服务成果之前</w:t>
      </w:r>
      <w:r>
        <w:rPr>
          <w:rFonts w:hint="eastAsia" w:hAnsi="宋体" w:cs="宋体"/>
          <w:bCs/>
          <w:color w:val="auto"/>
          <w:szCs w:val="21"/>
        </w:rPr>
        <w:t>，自行将技术成果转让第三人；</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C.与甲方或项目关联方等单位发生不正当利益输送的；</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D.乙方不具备提供本合同项下服务的资质或授权的；</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E.乙方提交的成果违反法律、法规及现行国家、地区及行业有关规范和标准或侵犯任何第三方权利的。</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（五）</w:t>
      </w:r>
      <w:r>
        <w:rPr>
          <w:rFonts w:hint="eastAsia"/>
          <w:color w:val="auto"/>
        </w:rPr>
        <w:t>如因一方违反保密义务给另一方造成损失，应按合同总价20%向守约方支付违约金，违约金不足以弥补损失的，违约方还应赔偿对方因此而受到的其他损失。</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七、争议解决办法</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本合同执行中产生争议，双方应通过友好协商解决。协商不成，双方均可向甲方所在地海口市辖区内有管辖权的人民法院起诉，涉及知识产权纠纷的，提交甲方所在地有管辖权的人民法院审理（若知识产权纠纷案件管辖法院发生变化的，相应调整）。</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八、其他事项</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（一）本合同未尽事宜，经双方协商后，签订补充协议。补充协议和本合同具同等法律效力。</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（二）本合同一式陆份，甲方执叁份，乙方执叁份，具有同等法律效力。</w:t>
      </w:r>
    </w:p>
    <w:p>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（三）本合同自甲乙双方签字盖章之日起生效。</w:t>
      </w:r>
    </w:p>
    <w:p>
      <w:pPr>
        <w:pStyle w:val="11"/>
        <w:spacing w:line="560" w:lineRule="exact"/>
        <w:ind w:firstLine="420" w:firstLineChars="200"/>
        <w:jc w:val="left"/>
        <w:rPr>
          <w:rFonts w:hAnsi="宋体" w:cs="宋体"/>
          <w:bCs/>
          <w:color w:val="auto"/>
          <w:szCs w:val="21"/>
        </w:rPr>
      </w:pP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甲方（公章）：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地址：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法定（授权）代表人（签章）：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日期：               年         月         日</w:t>
      </w:r>
    </w:p>
    <w:p>
      <w:pPr>
        <w:pStyle w:val="11"/>
        <w:spacing w:line="560" w:lineRule="exact"/>
        <w:ind w:firstLine="420" w:firstLineChars="200"/>
        <w:jc w:val="left"/>
        <w:rPr>
          <w:rFonts w:hAnsi="宋体" w:cs="宋体"/>
          <w:bCs/>
          <w:color w:val="auto"/>
          <w:szCs w:val="21"/>
        </w:rPr>
      </w:pPr>
    </w:p>
    <w:p>
      <w:pPr>
        <w:pStyle w:val="11"/>
        <w:spacing w:line="560" w:lineRule="exact"/>
        <w:ind w:firstLine="420" w:firstLineChars="200"/>
        <w:jc w:val="left"/>
        <w:rPr>
          <w:rFonts w:hAnsi="宋体" w:cs="宋体"/>
          <w:bCs/>
          <w:color w:val="auto"/>
          <w:szCs w:val="21"/>
        </w:rPr>
      </w:pPr>
    </w:p>
    <w:p>
      <w:pPr>
        <w:pStyle w:val="11"/>
        <w:spacing w:line="560" w:lineRule="exact"/>
        <w:ind w:firstLine="420" w:firstLineChars="200"/>
        <w:jc w:val="left"/>
        <w:rPr>
          <w:rFonts w:hAnsi="宋体" w:cs="宋体"/>
          <w:bCs/>
          <w:color w:val="auto"/>
          <w:szCs w:val="21"/>
        </w:rPr>
      </w:pPr>
    </w:p>
    <w:p>
      <w:pPr>
        <w:pStyle w:val="11"/>
        <w:spacing w:line="560" w:lineRule="exact"/>
        <w:ind w:firstLine="420" w:firstLineChars="200"/>
        <w:jc w:val="left"/>
        <w:rPr>
          <w:rFonts w:hAnsi="宋体" w:cs="宋体"/>
          <w:bCs/>
          <w:color w:val="auto"/>
          <w:szCs w:val="21"/>
        </w:rPr>
      </w:pP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乙方（公章）：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地址：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法定（授权）代表人（签章）：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银行户名：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开户银行：                                   </w:t>
      </w:r>
    </w:p>
    <w:p>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银行账号：                                   </w:t>
      </w:r>
    </w:p>
    <w:p>
      <w:pPr>
        <w:pStyle w:val="11"/>
        <w:spacing w:before="93" w:beforeLines="30" w:after="93" w:afterLines="30" w:line="560" w:lineRule="exact"/>
        <w:ind w:firstLine="420" w:firstLineChars="200"/>
        <w:jc w:val="left"/>
        <w:rPr>
          <w:rFonts w:cs="仿宋"/>
          <w:color w:val="auto"/>
          <w:kern w:val="0"/>
          <w:sz w:val="22"/>
        </w:rPr>
        <w:sectPr>
          <w:headerReference r:id="rId12" w:type="default"/>
          <w:footerReference r:id="rId13" w:type="default"/>
          <w:pgSz w:w="11906" w:h="16838"/>
          <w:pgMar w:top="1440" w:right="1800" w:bottom="1440" w:left="1800" w:header="794" w:footer="992" w:gutter="0"/>
          <w:cols w:space="425" w:num="1"/>
          <w:docGrid w:type="lines" w:linePitch="312" w:charSpace="0"/>
        </w:sectPr>
      </w:pPr>
      <w:r>
        <w:rPr>
          <w:rFonts w:hint="eastAsia" w:hAnsi="宋体" w:cs="宋体"/>
          <w:bCs/>
          <w:color w:val="auto"/>
          <w:szCs w:val="21"/>
        </w:rPr>
        <w:t xml:space="preserve">日期：               年         月        </w:t>
      </w:r>
    </w:p>
    <w:p>
      <w:pPr>
        <w:spacing w:before="312" w:beforeLines="100" w:after="312" w:afterLines="100" w:line="560" w:lineRule="exact"/>
        <w:ind w:left="630" w:leftChars="3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       </w:t>
      </w:r>
    </w:p>
    <w:p>
      <w:pPr>
        <w:ind w:firstLine="0" w:firstLineChars="0"/>
        <w:rPr>
          <w:rFonts w:hint="default" w:ascii="仿宋_GB2312" w:hAnsi="仿宋_GB2312" w:eastAsia="仿宋_GB2312" w:cs="仿宋_GB2312"/>
          <w:color w:val="000000"/>
          <w:kern w:val="0"/>
          <w:sz w:val="24"/>
          <w:lang w:val="en-US" w:eastAsia="zh-CN" w:bidi="ar"/>
        </w:rPr>
      </w:pPr>
    </w:p>
    <w:p>
      <w:pPr>
        <w:widowControl/>
        <w:numPr>
          <w:ilvl w:val="0"/>
          <w:numId w:val="0"/>
        </w:numPr>
        <w:spacing w:line="560" w:lineRule="exact"/>
        <w:rPr>
          <w:rFonts w:hint="eastAsia" w:ascii="仿宋" w:hAnsi="仿宋" w:eastAsia="仿宋" w:cs="仿宋"/>
          <w:sz w:val="32"/>
          <w:szCs w:val="32"/>
          <w:highlight w:val="none"/>
        </w:rPr>
      </w:pPr>
    </w:p>
    <w:p>
      <w:pPr>
        <w:spacing w:before="93" w:beforeLines="30" w:after="93" w:afterLines="30" w:line="360" w:lineRule="exact"/>
        <w:ind w:firstLine="440"/>
        <w:rPr>
          <w:rFonts w:hint="eastAsia" w:cs="仿宋"/>
          <w:color w:val="auto"/>
          <w:kern w:val="0"/>
          <w:sz w:val="22"/>
        </w:rPr>
        <w:sectPr>
          <w:headerReference r:id="rId14" w:type="default"/>
          <w:footerReference r:id="rId15"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仿宋"/>
          <w:color w:val="auto"/>
          <w:kern w:val="0"/>
          <w:sz w:val="22"/>
        </w:rPr>
        <w:t xml:space="preserve">       </w:t>
      </w:r>
    </w:p>
    <w:bookmarkEnd w:id="97"/>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 应</w:t>
      </w:r>
      <w:r>
        <w:rPr>
          <w:rFonts w:hint="eastAsia" w:asciiTheme="minorEastAsia" w:hAnsiTheme="minorEastAsia" w:eastAsiaTheme="minorEastAsia" w:cstheme="minorEastAsia"/>
          <w:b/>
          <w:color w:val="auto"/>
          <w:sz w:val="21"/>
          <w:szCs w:val="21"/>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i/>
          <w:iCs/>
          <w:color w:val="auto"/>
          <w:sz w:val="21"/>
          <w:szCs w:val="21"/>
          <w:u w:val="single"/>
          <w:lang w:val="en-US" w:eastAsia="zh-CN"/>
        </w:rPr>
        <w:t>采购人）</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rPr>
          <w:rFonts w:hint="eastAsia"/>
          <w:color w:val="auto"/>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Cs/>
          <w:i/>
          <w:iCs/>
          <w:color w:val="auto"/>
          <w:sz w:val="21"/>
          <w:szCs w:val="21"/>
          <w:u w:val="single"/>
          <w:lang w:val="en-US" w:eastAsia="zh-CN"/>
        </w:rPr>
      </w:pPr>
      <w:r>
        <w:rPr>
          <w:rFonts w:hint="eastAsia" w:asciiTheme="minorEastAsia" w:hAnsiTheme="minorEastAsia" w:eastAsiaTheme="minorEastAsia" w:cstheme="minorEastAsia"/>
          <w:bCs/>
          <w:i/>
          <w:iCs/>
          <w:color w:val="auto"/>
          <w:sz w:val="21"/>
          <w:szCs w:val="21"/>
          <w:u w:val="single"/>
          <w:lang w:val="en-US" w:eastAsia="zh-CN"/>
        </w:rPr>
        <w:t>1、常用报价格式：</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总价(小写)（元）</w:t>
            </w:r>
          </w:p>
        </w:tc>
        <w:tc>
          <w:tcPr>
            <w:tcW w:w="282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527"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6"/>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w:t>
            </w:r>
            <w:r>
              <w:rPr>
                <w:rFonts w:hint="eastAsia" w:asciiTheme="minorEastAsia" w:hAnsiTheme="minorEastAsia" w:eastAsiaTheme="minorEastAsia" w:cstheme="minorEastAsia"/>
                <w:bCs/>
                <w:color w:val="auto"/>
                <w:sz w:val="21"/>
                <w:szCs w:val="21"/>
              </w:rPr>
              <w:t>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6"/>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Style w:val="6"/>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pPr>
        <w:pStyle w:val="10"/>
        <w:rPr>
          <w:rFonts w:hint="eastAsia"/>
          <w:color w:val="auto"/>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pPr>
        <w:jc w:val="center"/>
        <w:rPr>
          <w:color w:val="auto"/>
        </w:rPr>
      </w:pPr>
      <w:r>
        <w:rPr>
          <w:rFonts w:hint="eastAsia"/>
          <w:color w:val="auto"/>
        </w:rPr>
        <w:t>法定代表人授权委托书</w:t>
      </w:r>
    </w:p>
    <w:p>
      <w:pPr>
        <w:rPr>
          <w:color w:val="auto"/>
        </w:rPr>
      </w:pPr>
    </w:p>
    <w:p>
      <w:pPr>
        <w:rPr>
          <w:color w:val="auto"/>
        </w:rPr>
      </w:pPr>
      <w:r>
        <w:rPr>
          <w:rFonts w:hint="eastAsia"/>
          <w:color w:val="auto"/>
          <w:u w:val="single"/>
        </w:rPr>
        <w:t xml:space="preserve">     （供应商名称）     </w:t>
      </w:r>
      <w:r>
        <w:rPr>
          <w:rFonts w:hint="eastAsia"/>
          <w:color w:val="auto"/>
        </w:rPr>
        <w:t>法定代表人授权我司员工</w:t>
      </w:r>
      <w:r>
        <w:rPr>
          <w:rFonts w:hint="eastAsia"/>
          <w:color w:val="auto"/>
          <w:lang w:val="en-US" w:eastAsia="zh-CN"/>
        </w:rPr>
        <w:t xml:space="preserve">      </w:t>
      </w:r>
      <w:r>
        <w:rPr>
          <w:rFonts w:hint="eastAsia"/>
          <w:color w:val="auto"/>
        </w:rPr>
        <w:t>全权负责项目的一切相关事宜。本授权书于_______年_____月_____日签字生效，特此声明。</w:t>
      </w:r>
    </w:p>
    <w:p>
      <w:pPr>
        <w:rPr>
          <w:color w:val="auto"/>
        </w:rPr>
      </w:pPr>
    </w:p>
    <w:p>
      <w:pPr>
        <w:rPr>
          <w:color w:val="auto"/>
        </w:rPr>
      </w:pPr>
    </w:p>
    <w:p>
      <w:pPr>
        <w:rPr>
          <w:color w:val="auto"/>
        </w:rPr>
      </w:pPr>
    </w:p>
    <w:p>
      <w:pPr>
        <w:rPr>
          <w:color w:val="auto"/>
        </w:rPr>
      </w:pPr>
      <w:r>
        <w:rPr>
          <w:rFonts w:hint="eastAsia"/>
          <w:color w:val="auto"/>
        </w:rPr>
        <w:t xml:space="preserve">供应商（公章）：                                                         </w:t>
      </w:r>
    </w:p>
    <w:p>
      <w:pPr>
        <w:rPr>
          <w:color w:val="auto"/>
        </w:rPr>
      </w:pPr>
      <w:r>
        <w:rPr>
          <w:rFonts w:hint="eastAsia"/>
          <w:color w:val="auto"/>
        </w:rPr>
        <w:t>法定代表人签字：（或法人章）</w:t>
      </w:r>
    </w:p>
    <w:p>
      <w:pPr>
        <w:rPr>
          <w:color w:val="auto"/>
        </w:rPr>
      </w:pPr>
      <w:r>
        <w:rPr>
          <w:rFonts w:hint="eastAsia"/>
          <w:color w:val="auto"/>
        </w:rPr>
        <w:t>被授权人签字：</w:t>
      </w:r>
    </w:p>
    <w:p>
      <w:pPr>
        <w:pStyle w:val="10"/>
        <w:ind w:left="0" w:leftChars="0" w:firstLine="0" w:firstLineChars="0"/>
        <w:rPr>
          <w:color w:val="auto"/>
        </w:rPr>
      </w:pPr>
    </w:p>
    <w:p>
      <w:pPr>
        <w:pStyle w:val="10"/>
        <w:ind w:left="0" w:leftChars="0" w:firstLine="0" w:firstLineChars="0"/>
        <w:rPr>
          <w:color w:val="auto"/>
        </w:rPr>
      </w:pPr>
    </w:p>
    <w:p>
      <w:pPr>
        <w:pStyle w:val="10"/>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pPr>
        <w:pStyle w:val="10"/>
        <w:ind w:left="0" w:leftChars="0" w:firstLine="0" w:firstLineChars="0"/>
        <w:rPr>
          <w:rFonts w:hint="eastAsia" w:ascii="Times New Roman" w:hAnsi="Times New Roman" w:eastAsia="宋体" w:cs="Times New Roman"/>
          <w:color w:val="auto"/>
          <w:szCs w:val="24"/>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宋体" w:cs="Times New Roman"/>
          <w:color w:val="auto"/>
          <w:szCs w:val="24"/>
        </w:rPr>
        <w:t>授权委托人身份证复印件</w:t>
      </w:r>
    </w:p>
    <w:p>
      <w:pPr>
        <w:pStyle w:val="33"/>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pPr>
        <w:adjustRightInd w:val="0"/>
        <w:snapToGrid w:val="0"/>
        <w:spacing w:line="360" w:lineRule="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rPr>
        <w:t xml:space="preserve">日期：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pacing w:val="0"/>
          <w:w w:val="100"/>
          <w:position w:val="0"/>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pPr>
        <w:pStyle w:val="6"/>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附件3：监狱企业证明文件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21"/>
        <w:szCs w:val="21"/>
      </w:rP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031C73"/>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774F35"/>
    <w:rsid w:val="05F21DE6"/>
    <w:rsid w:val="064E6865"/>
    <w:rsid w:val="06984B35"/>
    <w:rsid w:val="06EC4087"/>
    <w:rsid w:val="07050876"/>
    <w:rsid w:val="07105E67"/>
    <w:rsid w:val="071D0355"/>
    <w:rsid w:val="073851BD"/>
    <w:rsid w:val="07B81042"/>
    <w:rsid w:val="07D1641A"/>
    <w:rsid w:val="07F5271F"/>
    <w:rsid w:val="07F661BB"/>
    <w:rsid w:val="08007B78"/>
    <w:rsid w:val="08105A97"/>
    <w:rsid w:val="08145A20"/>
    <w:rsid w:val="082C4653"/>
    <w:rsid w:val="085A2AEA"/>
    <w:rsid w:val="085A4AFD"/>
    <w:rsid w:val="08755BC3"/>
    <w:rsid w:val="08A774AC"/>
    <w:rsid w:val="08DB2D17"/>
    <w:rsid w:val="08DC5BCE"/>
    <w:rsid w:val="08FD2989"/>
    <w:rsid w:val="090F409F"/>
    <w:rsid w:val="09601EFA"/>
    <w:rsid w:val="09856BC3"/>
    <w:rsid w:val="09A068B5"/>
    <w:rsid w:val="09B37E23"/>
    <w:rsid w:val="09FC5A6D"/>
    <w:rsid w:val="0A586351"/>
    <w:rsid w:val="0A7B7C6C"/>
    <w:rsid w:val="0A89454C"/>
    <w:rsid w:val="0AA52631"/>
    <w:rsid w:val="0AD87214"/>
    <w:rsid w:val="0AF21923"/>
    <w:rsid w:val="0AFD710E"/>
    <w:rsid w:val="0B464611"/>
    <w:rsid w:val="0BB7140A"/>
    <w:rsid w:val="0BBC0022"/>
    <w:rsid w:val="0BD819BC"/>
    <w:rsid w:val="0BD90EE9"/>
    <w:rsid w:val="0BF26973"/>
    <w:rsid w:val="0C0D599E"/>
    <w:rsid w:val="0C282C80"/>
    <w:rsid w:val="0C747BE1"/>
    <w:rsid w:val="0C796895"/>
    <w:rsid w:val="0C8D7232"/>
    <w:rsid w:val="0C956CDB"/>
    <w:rsid w:val="0C9E593E"/>
    <w:rsid w:val="0CA578F4"/>
    <w:rsid w:val="0CC95340"/>
    <w:rsid w:val="0CE06855"/>
    <w:rsid w:val="0CF271BF"/>
    <w:rsid w:val="0D337983"/>
    <w:rsid w:val="0D3A63F7"/>
    <w:rsid w:val="0D5F1E64"/>
    <w:rsid w:val="0DB27913"/>
    <w:rsid w:val="0DFD1228"/>
    <w:rsid w:val="0E2B535C"/>
    <w:rsid w:val="0E603E62"/>
    <w:rsid w:val="0F3B3D47"/>
    <w:rsid w:val="0F4814BC"/>
    <w:rsid w:val="100B407B"/>
    <w:rsid w:val="104E667B"/>
    <w:rsid w:val="10575E20"/>
    <w:rsid w:val="105A2DDD"/>
    <w:rsid w:val="106611CB"/>
    <w:rsid w:val="113722BE"/>
    <w:rsid w:val="113B0DD1"/>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50D5D06"/>
    <w:rsid w:val="157F1A78"/>
    <w:rsid w:val="15D078F9"/>
    <w:rsid w:val="15DA2C5A"/>
    <w:rsid w:val="1605187F"/>
    <w:rsid w:val="16154877"/>
    <w:rsid w:val="169762DB"/>
    <w:rsid w:val="16C0190D"/>
    <w:rsid w:val="170F0CDD"/>
    <w:rsid w:val="17137D16"/>
    <w:rsid w:val="173B3498"/>
    <w:rsid w:val="17B77DC6"/>
    <w:rsid w:val="18367B71"/>
    <w:rsid w:val="186A144F"/>
    <w:rsid w:val="187622AE"/>
    <w:rsid w:val="18812024"/>
    <w:rsid w:val="189D2F2A"/>
    <w:rsid w:val="18DA1062"/>
    <w:rsid w:val="18DF750D"/>
    <w:rsid w:val="19057B47"/>
    <w:rsid w:val="192E465C"/>
    <w:rsid w:val="195A634B"/>
    <w:rsid w:val="199C16E9"/>
    <w:rsid w:val="199D5F29"/>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877C1B"/>
    <w:rsid w:val="1DE2494A"/>
    <w:rsid w:val="1E1A6270"/>
    <w:rsid w:val="1E66393B"/>
    <w:rsid w:val="1EB83740"/>
    <w:rsid w:val="1EC56452"/>
    <w:rsid w:val="1EED5392"/>
    <w:rsid w:val="1F9D2223"/>
    <w:rsid w:val="1FC96AD8"/>
    <w:rsid w:val="1FE15F3B"/>
    <w:rsid w:val="1FF7A56F"/>
    <w:rsid w:val="203E5DA7"/>
    <w:rsid w:val="20660E66"/>
    <w:rsid w:val="21132956"/>
    <w:rsid w:val="211428BF"/>
    <w:rsid w:val="21202FCA"/>
    <w:rsid w:val="217C5962"/>
    <w:rsid w:val="21B3342C"/>
    <w:rsid w:val="224A1874"/>
    <w:rsid w:val="225D1EB1"/>
    <w:rsid w:val="226F2DD1"/>
    <w:rsid w:val="229B216B"/>
    <w:rsid w:val="22B13B13"/>
    <w:rsid w:val="22B66EF0"/>
    <w:rsid w:val="234271CB"/>
    <w:rsid w:val="237D267B"/>
    <w:rsid w:val="238B212F"/>
    <w:rsid w:val="23A0437A"/>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A1525B3"/>
    <w:rsid w:val="2A1F3C77"/>
    <w:rsid w:val="2A420242"/>
    <w:rsid w:val="2A770325"/>
    <w:rsid w:val="2B577739"/>
    <w:rsid w:val="2B82420A"/>
    <w:rsid w:val="2BC32FA6"/>
    <w:rsid w:val="2BDE0F2A"/>
    <w:rsid w:val="2C1005F7"/>
    <w:rsid w:val="2C1F0ECB"/>
    <w:rsid w:val="2C2F0132"/>
    <w:rsid w:val="2C5B48B1"/>
    <w:rsid w:val="2C635A6B"/>
    <w:rsid w:val="2C9C63F2"/>
    <w:rsid w:val="2CE95AE3"/>
    <w:rsid w:val="2D056A81"/>
    <w:rsid w:val="2D0B713B"/>
    <w:rsid w:val="2D0D1210"/>
    <w:rsid w:val="2D205DF5"/>
    <w:rsid w:val="2D6F2A08"/>
    <w:rsid w:val="2D7A708A"/>
    <w:rsid w:val="2D986A7C"/>
    <w:rsid w:val="2DD31C58"/>
    <w:rsid w:val="2E386100"/>
    <w:rsid w:val="2E3A4E93"/>
    <w:rsid w:val="2E921BC1"/>
    <w:rsid w:val="2E9D3756"/>
    <w:rsid w:val="2ED71151"/>
    <w:rsid w:val="2EFB0B3C"/>
    <w:rsid w:val="2F1300E5"/>
    <w:rsid w:val="2F3B21A6"/>
    <w:rsid w:val="2F5B4CE0"/>
    <w:rsid w:val="2F5C1340"/>
    <w:rsid w:val="2F6457B2"/>
    <w:rsid w:val="2F8D101C"/>
    <w:rsid w:val="2F9039F3"/>
    <w:rsid w:val="2FE85A3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3298D"/>
    <w:rsid w:val="33D41912"/>
    <w:rsid w:val="33F61B9F"/>
    <w:rsid w:val="3425351D"/>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533CA9"/>
    <w:rsid w:val="3869436C"/>
    <w:rsid w:val="38754CFF"/>
    <w:rsid w:val="388138D0"/>
    <w:rsid w:val="388B18D0"/>
    <w:rsid w:val="38CA6BA3"/>
    <w:rsid w:val="38EF3348"/>
    <w:rsid w:val="38F36F52"/>
    <w:rsid w:val="39027F6D"/>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DDC47DD"/>
    <w:rsid w:val="3E0C29CB"/>
    <w:rsid w:val="3E1438A5"/>
    <w:rsid w:val="3E467EA9"/>
    <w:rsid w:val="3E6977ED"/>
    <w:rsid w:val="3EB53979"/>
    <w:rsid w:val="3ED06C72"/>
    <w:rsid w:val="3EE85802"/>
    <w:rsid w:val="3F9179BC"/>
    <w:rsid w:val="3FAF7652"/>
    <w:rsid w:val="3FB91F06"/>
    <w:rsid w:val="3FE146CC"/>
    <w:rsid w:val="40143827"/>
    <w:rsid w:val="40172C0E"/>
    <w:rsid w:val="405A10B2"/>
    <w:rsid w:val="40930E3F"/>
    <w:rsid w:val="40DE32EB"/>
    <w:rsid w:val="412D71DE"/>
    <w:rsid w:val="416C485A"/>
    <w:rsid w:val="41721093"/>
    <w:rsid w:val="41A25A1E"/>
    <w:rsid w:val="41D5051C"/>
    <w:rsid w:val="41D93646"/>
    <w:rsid w:val="422B280E"/>
    <w:rsid w:val="42302AF1"/>
    <w:rsid w:val="42420B28"/>
    <w:rsid w:val="424C4B06"/>
    <w:rsid w:val="429E3832"/>
    <w:rsid w:val="43215097"/>
    <w:rsid w:val="43335793"/>
    <w:rsid w:val="43504A5C"/>
    <w:rsid w:val="437629AE"/>
    <w:rsid w:val="437D2606"/>
    <w:rsid w:val="43BB7080"/>
    <w:rsid w:val="43BE61A8"/>
    <w:rsid w:val="43D0692B"/>
    <w:rsid w:val="43DA56DD"/>
    <w:rsid w:val="43EE0B63"/>
    <w:rsid w:val="442D019F"/>
    <w:rsid w:val="44370871"/>
    <w:rsid w:val="449201EC"/>
    <w:rsid w:val="44AA1CB0"/>
    <w:rsid w:val="44CE24E4"/>
    <w:rsid w:val="44D16A09"/>
    <w:rsid w:val="44D33F5C"/>
    <w:rsid w:val="44D90521"/>
    <w:rsid w:val="44E52F1F"/>
    <w:rsid w:val="450E440F"/>
    <w:rsid w:val="45502007"/>
    <w:rsid w:val="457B0D80"/>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32E09"/>
    <w:rsid w:val="47E67EE1"/>
    <w:rsid w:val="47F05DF8"/>
    <w:rsid w:val="483C6C2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9936CA"/>
    <w:rsid w:val="4AC43147"/>
    <w:rsid w:val="4ACC2191"/>
    <w:rsid w:val="4B967555"/>
    <w:rsid w:val="4BA41081"/>
    <w:rsid w:val="4BAE7BD6"/>
    <w:rsid w:val="4C624E51"/>
    <w:rsid w:val="4C6F5D75"/>
    <w:rsid w:val="4C8614A0"/>
    <w:rsid w:val="4CB90B4A"/>
    <w:rsid w:val="4D011E35"/>
    <w:rsid w:val="4D1A70AD"/>
    <w:rsid w:val="4D4D66ED"/>
    <w:rsid w:val="4D53629A"/>
    <w:rsid w:val="4D896AAF"/>
    <w:rsid w:val="4D927727"/>
    <w:rsid w:val="4DBA3D68"/>
    <w:rsid w:val="4DC350E6"/>
    <w:rsid w:val="4DCE7CC5"/>
    <w:rsid w:val="4DDF58BD"/>
    <w:rsid w:val="4E295649"/>
    <w:rsid w:val="4E434405"/>
    <w:rsid w:val="4E6C5A7D"/>
    <w:rsid w:val="4E6D51A2"/>
    <w:rsid w:val="4F330037"/>
    <w:rsid w:val="4F3B7EBF"/>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244218"/>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652AF7"/>
    <w:rsid w:val="63805167"/>
    <w:rsid w:val="63832876"/>
    <w:rsid w:val="638442E1"/>
    <w:rsid w:val="63972DD1"/>
    <w:rsid w:val="640929F0"/>
    <w:rsid w:val="64B905C0"/>
    <w:rsid w:val="64CF7BEB"/>
    <w:rsid w:val="65187528"/>
    <w:rsid w:val="656C147B"/>
    <w:rsid w:val="65832223"/>
    <w:rsid w:val="664A7A0D"/>
    <w:rsid w:val="66901382"/>
    <w:rsid w:val="671A190B"/>
    <w:rsid w:val="6731767E"/>
    <w:rsid w:val="67335956"/>
    <w:rsid w:val="68016B77"/>
    <w:rsid w:val="68307014"/>
    <w:rsid w:val="687047EC"/>
    <w:rsid w:val="690C2F01"/>
    <w:rsid w:val="691438F8"/>
    <w:rsid w:val="692A3B68"/>
    <w:rsid w:val="693A4663"/>
    <w:rsid w:val="699B0FA7"/>
    <w:rsid w:val="699F0403"/>
    <w:rsid w:val="6A257C7E"/>
    <w:rsid w:val="6AED0C62"/>
    <w:rsid w:val="6AF66468"/>
    <w:rsid w:val="6AF86E22"/>
    <w:rsid w:val="6B276638"/>
    <w:rsid w:val="6B5F2CBB"/>
    <w:rsid w:val="6B850358"/>
    <w:rsid w:val="6BA23990"/>
    <w:rsid w:val="6BA92A8C"/>
    <w:rsid w:val="6BBF6B35"/>
    <w:rsid w:val="6BD40CFD"/>
    <w:rsid w:val="6C0F240A"/>
    <w:rsid w:val="6C2271E5"/>
    <w:rsid w:val="6C6139A2"/>
    <w:rsid w:val="6C6B059F"/>
    <w:rsid w:val="6C7259E8"/>
    <w:rsid w:val="6C8C5F63"/>
    <w:rsid w:val="6CFA34DB"/>
    <w:rsid w:val="6CFD6829"/>
    <w:rsid w:val="6D001A69"/>
    <w:rsid w:val="6D330230"/>
    <w:rsid w:val="6D332F6E"/>
    <w:rsid w:val="6D396B87"/>
    <w:rsid w:val="6DB265D8"/>
    <w:rsid w:val="6DB301A4"/>
    <w:rsid w:val="6DD84920"/>
    <w:rsid w:val="6DDB5D1F"/>
    <w:rsid w:val="6DE82115"/>
    <w:rsid w:val="6DF14E2F"/>
    <w:rsid w:val="6E1F4FB0"/>
    <w:rsid w:val="6E465867"/>
    <w:rsid w:val="6E5246F3"/>
    <w:rsid w:val="6F3326BD"/>
    <w:rsid w:val="6F3411C8"/>
    <w:rsid w:val="6F5B19D4"/>
    <w:rsid w:val="6FBD5643"/>
    <w:rsid w:val="6FC50CC6"/>
    <w:rsid w:val="6FDF215C"/>
    <w:rsid w:val="6FF979C2"/>
    <w:rsid w:val="703608FF"/>
    <w:rsid w:val="707123F1"/>
    <w:rsid w:val="70A709CF"/>
    <w:rsid w:val="70AA1BAA"/>
    <w:rsid w:val="70C21E33"/>
    <w:rsid w:val="71420EA7"/>
    <w:rsid w:val="7150639A"/>
    <w:rsid w:val="715504AF"/>
    <w:rsid w:val="719721EE"/>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3D46E02"/>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CEB43CC"/>
    <w:rsid w:val="7D524A37"/>
    <w:rsid w:val="7DA418C3"/>
    <w:rsid w:val="7DEA78A4"/>
    <w:rsid w:val="7E454CA6"/>
    <w:rsid w:val="7E8B0CEF"/>
    <w:rsid w:val="7EA93097"/>
    <w:rsid w:val="7EDF1D81"/>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spacing w:after="120"/>
    </w:pPr>
  </w:style>
  <w:style w:type="paragraph" w:styleId="8">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9">
    <w:name w:val="Body Text Indent"/>
    <w:basedOn w:val="1"/>
    <w:next w:val="10"/>
    <w:autoRedefine/>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autoRedefine/>
    <w:unhideWhenUsed/>
    <w:qFormat/>
    <w:uiPriority w:val="0"/>
    <w:pPr>
      <w:spacing w:after="120" w:line="240" w:lineRule="auto"/>
      <w:ind w:left="420" w:leftChars="200" w:firstLine="420" w:firstLineChars="200"/>
    </w:pPr>
    <w:rPr>
      <w:sz w:val="21"/>
      <w:szCs w:val="21"/>
    </w:rPr>
  </w:style>
  <w:style w:type="paragraph" w:styleId="11">
    <w:name w:val="Plain Text"/>
    <w:basedOn w:val="1"/>
    <w:autoRedefine/>
    <w:qFormat/>
    <w:uiPriority w:val="0"/>
    <w:rPr>
      <w:rFonts w:ascii="宋体" w:hAnsi="Courier New"/>
      <w:szCs w:val="20"/>
    </w:rPr>
  </w:style>
  <w:style w:type="paragraph" w:styleId="12">
    <w:name w:val="Balloon Text"/>
    <w:basedOn w:val="1"/>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tabs>
        <w:tab w:val="right" w:leader="dot" w:pos="8393"/>
      </w:tabs>
      <w:spacing w:line="500" w:lineRule="exact"/>
    </w:pPr>
    <w:rPr>
      <w:rFonts w:ascii="宋体" w:hAnsi="宋体"/>
      <w:b/>
      <w:bCs/>
      <w:color w:val="000000"/>
      <w:sz w:val="28"/>
      <w:szCs w:val="28"/>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7"/>
    <w:autoRedefine/>
    <w:unhideWhenUsed/>
    <w:qFormat/>
    <w:uiPriority w:val="99"/>
    <w:pPr>
      <w:spacing w:after="120"/>
      <w:ind w:firstLine="420" w:firstLineChars="100"/>
    </w:pPr>
    <w:rPr>
      <w:rFonts w:eastAsia="仿宋_GB2312"/>
      <w:sz w:val="32"/>
      <w:szCs w:val="22"/>
    </w:rPr>
  </w:style>
  <w:style w:type="table" w:styleId="19">
    <w:name w:val="Table Grid"/>
    <w:basedOn w:val="18"/>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page number"/>
    <w:basedOn w:val="20"/>
    <w:autoRedefine/>
    <w:qFormat/>
    <w:uiPriority w:val="0"/>
  </w:style>
  <w:style w:type="character" w:styleId="23">
    <w:name w:val="FollowedHyperlink"/>
    <w:basedOn w:val="20"/>
    <w:autoRedefine/>
    <w:semiHidden/>
    <w:unhideWhenUsed/>
    <w:qFormat/>
    <w:uiPriority w:val="0"/>
    <w:rPr>
      <w:color w:val="428BCA"/>
      <w:u w:val="none"/>
    </w:rPr>
  </w:style>
  <w:style w:type="character" w:styleId="24">
    <w:name w:val="HTML Definition"/>
    <w:basedOn w:val="20"/>
    <w:autoRedefine/>
    <w:semiHidden/>
    <w:unhideWhenUsed/>
    <w:qFormat/>
    <w:uiPriority w:val="0"/>
    <w:rPr>
      <w:i/>
      <w:iCs/>
    </w:rPr>
  </w:style>
  <w:style w:type="character" w:styleId="25">
    <w:name w:val="Hyperlink"/>
    <w:basedOn w:val="20"/>
    <w:autoRedefine/>
    <w:qFormat/>
    <w:uiPriority w:val="0"/>
    <w:rPr>
      <w:color w:val="013F7C"/>
      <w:u w:val="none"/>
    </w:rPr>
  </w:style>
  <w:style w:type="character" w:styleId="26">
    <w:name w:val="HTML Code"/>
    <w:basedOn w:val="20"/>
    <w:autoRedefine/>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autoRedefine/>
    <w:semiHidden/>
    <w:unhideWhenUsed/>
    <w:qFormat/>
    <w:uiPriority w:val="0"/>
  </w:style>
  <w:style w:type="character" w:styleId="28">
    <w:name w:val="HTML Keyboard"/>
    <w:basedOn w:val="20"/>
    <w:autoRedefine/>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autoRedefine/>
    <w:semiHidden/>
    <w:unhideWhenUsed/>
    <w:qFormat/>
    <w:uiPriority w:val="0"/>
    <w:rPr>
      <w:rFonts w:ascii="Consolas" w:hAnsi="Consolas" w:eastAsia="Consolas" w:cs="Consolas"/>
      <w:sz w:val="21"/>
      <w:szCs w:val="21"/>
    </w:rPr>
  </w:style>
  <w:style w:type="paragraph" w:customStyle="1" w:styleId="30">
    <w:name w:val="正文缩进1"/>
    <w:basedOn w:val="1"/>
    <w:autoRedefine/>
    <w:qFormat/>
    <w:uiPriority w:val="0"/>
    <w:pPr>
      <w:ind w:firstLine="420" w:firstLineChars="200"/>
    </w:pPr>
  </w:style>
  <w:style w:type="paragraph" w:customStyle="1" w:styleId="31">
    <w:name w:val="Quote"/>
    <w:basedOn w:val="1"/>
    <w:next w:val="1"/>
    <w:autoRedefine/>
    <w:qFormat/>
    <w:uiPriority w:val="99"/>
    <w:rPr>
      <w:rFonts w:ascii="Calibri" w:hAnsi="Calibri" w:cs="Calibri"/>
      <w:i/>
      <w:iCs/>
      <w:color w:val="000000"/>
      <w:sz w:val="22"/>
      <w:szCs w:val="22"/>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1"/>
    <w:autoRedefine/>
    <w:qFormat/>
    <w:uiPriority w:val="0"/>
    <w:pPr>
      <w:spacing w:line="0" w:lineRule="atLeast"/>
      <w:outlineLvl w:val="0"/>
    </w:pPr>
    <w:rPr>
      <w:sz w:val="28"/>
      <w:szCs w:val="24"/>
    </w:rPr>
  </w:style>
  <w:style w:type="paragraph" w:customStyle="1" w:styleId="34">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5">
    <w:name w:val="Normal_18"/>
    <w:autoRedefine/>
    <w:qFormat/>
    <w:uiPriority w:val="0"/>
    <w:rPr>
      <w:rFonts w:ascii="Times New Roman" w:hAnsi="Times New Roman" w:eastAsia="宋体" w:cs="Times New Roman"/>
      <w:sz w:val="21"/>
      <w:lang w:val="en-US" w:eastAsia="zh-CN" w:bidi="ar-SA"/>
    </w:rPr>
  </w:style>
  <w:style w:type="character" w:customStyle="1" w:styleId="36">
    <w:name w:val="ndata"/>
    <w:basedOn w:val="20"/>
    <w:autoRedefine/>
    <w:qFormat/>
    <w:uiPriority w:val="0"/>
    <w:rPr>
      <w:color w:val="AAAAAA"/>
    </w:rPr>
  </w:style>
  <w:style w:type="character" w:customStyle="1" w:styleId="37">
    <w:name w:val="NormalCharacter"/>
    <w:autoRedefine/>
    <w:qFormat/>
    <w:uiPriority w:val="0"/>
    <w:rPr>
      <w:sz w:val="21"/>
      <w:lang w:val="en-US" w:eastAsia="zh-CN" w:bidi="ar-SA"/>
    </w:rPr>
  </w:style>
  <w:style w:type="paragraph" w:customStyle="1" w:styleId="38">
    <w:name w:val="正文2"/>
    <w:basedOn w:val="1"/>
    <w:autoRedefine/>
    <w:qFormat/>
    <w:uiPriority w:val="0"/>
    <w:pPr>
      <w:spacing w:before="156" w:line="360" w:lineRule="auto"/>
      <w:ind w:firstLine="510" w:firstLineChars="200"/>
    </w:pPr>
    <w:rPr>
      <w:sz w:val="24"/>
    </w:rPr>
  </w:style>
  <w:style w:type="paragraph" w:customStyle="1" w:styleId="39">
    <w:name w:val="NormalIndent"/>
    <w:basedOn w:val="1"/>
    <w:autoRedefine/>
    <w:qFormat/>
    <w:uiPriority w:val="0"/>
    <w:pPr>
      <w:widowControl/>
      <w:ind w:firstLine="200" w:firstLineChars="200"/>
      <w:textAlignment w:val="baseline"/>
    </w:pPr>
    <w:rPr>
      <w:rFonts w:ascii="Calibri" w:hAnsi="Calibri"/>
    </w:rPr>
  </w:style>
  <w:style w:type="paragraph" w:styleId="40">
    <w:name w:val="List Paragraph"/>
    <w:basedOn w:val="1"/>
    <w:autoRedefine/>
    <w:qFormat/>
    <w:uiPriority w:val="34"/>
    <w:pPr>
      <w:ind w:firstLine="420" w:firstLineChars="200"/>
    </w:pPr>
  </w:style>
  <w:style w:type="paragraph" w:customStyle="1" w:styleId="41">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autoRedefine/>
    <w:qFormat/>
    <w:uiPriority w:val="0"/>
    <w:rPr>
      <w:color w:val="FFFFFF"/>
      <w:shd w:val="clear" w:fill="428BCA"/>
    </w:rPr>
  </w:style>
  <w:style w:type="character" w:customStyle="1" w:styleId="43">
    <w:name w:val="ui-jqgrid-resize"/>
    <w:basedOn w:val="20"/>
    <w:autoRedefine/>
    <w:qFormat/>
    <w:uiPriority w:val="0"/>
  </w:style>
  <w:style w:type="character" w:customStyle="1" w:styleId="44">
    <w:name w:val="ui-icon37"/>
    <w:basedOn w:val="20"/>
    <w:autoRedefine/>
    <w:qFormat/>
    <w:uiPriority w:val="0"/>
  </w:style>
  <w:style w:type="character" w:customStyle="1" w:styleId="45">
    <w:name w:val="ui-icon38"/>
    <w:basedOn w:val="20"/>
    <w:autoRedefine/>
    <w:qFormat/>
    <w:uiPriority w:val="0"/>
  </w:style>
  <w:style w:type="character" w:customStyle="1" w:styleId="46">
    <w:name w:val="ui-icon39"/>
    <w:basedOn w:val="20"/>
    <w:autoRedefine/>
    <w:qFormat/>
    <w:uiPriority w:val="0"/>
  </w:style>
  <w:style w:type="character" w:customStyle="1" w:styleId="47">
    <w:name w:val="input-icon2"/>
    <w:basedOn w:val="20"/>
    <w:autoRedefine/>
    <w:qFormat/>
    <w:uiPriority w:val="0"/>
  </w:style>
  <w:style w:type="character" w:customStyle="1" w:styleId="48">
    <w:name w:val="before"/>
    <w:basedOn w:val="20"/>
    <w:autoRedefine/>
    <w:qFormat/>
    <w:uiPriority w:val="0"/>
    <w:rPr>
      <w:rFonts w:hint="default" w:ascii="FontAwesome" w:hAnsi="FontAwesome" w:eastAsia="FontAwesome" w:cs="FontAwesome"/>
      <w:color w:val="888888"/>
    </w:rPr>
  </w:style>
  <w:style w:type="character" w:customStyle="1" w:styleId="49">
    <w:name w:val="before1"/>
    <w:basedOn w:val="20"/>
    <w:autoRedefine/>
    <w:qFormat/>
    <w:uiPriority w:val="0"/>
    <w:rPr>
      <w:rFonts w:hint="default" w:ascii="FontAwesome" w:hAnsi="FontAwesome" w:eastAsia="FontAwesome" w:cs="FontAwesome"/>
      <w:color w:val="888888"/>
    </w:rPr>
  </w:style>
  <w:style w:type="character" w:customStyle="1" w:styleId="50">
    <w:name w:val="hover6"/>
    <w:basedOn w:val="20"/>
    <w:autoRedefine/>
    <w:qFormat/>
    <w:uiPriority w:val="0"/>
    <w:rPr>
      <w:shd w:val="clear" w:fill="EEEEEE"/>
    </w:rPr>
  </w:style>
  <w:style w:type="character" w:customStyle="1" w:styleId="51">
    <w:name w:val="old"/>
    <w:basedOn w:val="20"/>
    <w:autoRedefine/>
    <w:qFormat/>
    <w:uiPriority w:val="0"/>
    <w:rPr>
      <w:color w:val="999999"/>
    </w:rPr>
  </w:style>
  <w:style w:type="character" w:customStyle="1" w:styleId="52">
    <w:name w:val="ui-icon40"/>
    <w:basedOn w:val="20"/>
    <w:autoRedefine/>
    <w:qFormat/>
    <w:uiPriority w:val="0"/>
  </w:style>
  <w:style w:type="paragraph" w:customStyle="1" w:styleId="5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autoRedefine/>
    <w:qFormat/>
    <w:uiPriority w:val="0"/>
    <w:rPr>
      <w:rFonts w:hint="default" w:ascii="Arial" w:hAnsi="Arial" w:cs="Arial"/>
      <w:b/>
      <w:color w:val="000000"/>
      <w:sz w:val="24"/>
      <w:szCs w:val="24"/>
      <w:u w:val="none"/>
    </w:rPr>
  </w:style>
  <w:style w:type="character" w:customStyle="1" w:styleId="55">
    <w:name w:val="font81"/>
    <w:basedOn w:val="20"/>
    <w:autoRedefine/>
    <w:qFormat/>
    <w:uiPriority w:val="0"/>
    <w:rPr>
      <w:rFonts w:ascii="新宋体" w:hAnsi="新宋体" w:eastAsia="新宋体" w:cs="新宋体"/>
      <w:color w:val="000000"/>
      <w:sz w:val="21"/>
      <w:szCs w:val="21"/>
      <w:u w:val="none"/>
    </w:rPr>
  </w:style>
  <w:style w:type="character" w:customStyle="1" w:styleId="56">
    <w:name w:val="font41"/>
    <w:basedOn w:val="20"/>
    <w:autoRedefine/>
    <w:qFormat/>
    <w:uiPriority w:val="0"/>
    <w:rPr>
      <w:rFonts w:hint="default" w:ascii="Times New Roman" w:hAnsi="Times New Roman" w:cs="Times New Roman"/>
      <w:color w:val="000000"/>
      <w:sz w:val="18"/>
      <w:szCs w:val="18"/>
      <w:u w:val="none"/>
    </w:rPr>
  </w:style>
  <w:style w:type="character" w:customStyle="1" w:styleId="57">
    <w:name w:val="font51"/>
    <w:basedOn w:val="20"/>
    <w:autoRedefine/>
    <w:qFormat/>
    <w:uiPriority w:val="0"/>
    <w:rPr>
      <w:rFonts w:hint="eastAsia" w:ascii="宋体" w:hAnsi="宋体" w:eastAsia="宋体" w:cs="宋体"/>
      <w:b/>
      <w:color w:val="000000"/>
      <w:sz w:val="32"/>
      <w:szCs w:val="32"/>
      <w:u w:val="none"/>
    </w:rPr>
  </w:style>
  <w:style w:type="character" w:customStyle="1" w:styleId="58">
    <w:name w:val="font01"/>
    <w:basedOn w:val="20"/>
    <w:autoRedefine/>
    <w:qFormat/>
    <w:uiPriority w:val="0"/>
    <w:rPr>
      <w:rFonts w:hint="eastAsia" w:ascii="宋体" w:hAnsi="宋体" w:eastAsia="宋体" w:cs="宋体"/>
      <w:color w:val="000000"/>
      <w:sz w:val="24"/>
      <w:szCs w:val="24"/>
      <w:u w:val="none"/>
    </w:rPr>
  </w:style>
  <w:style w:type="character" w:customStyle="1" w:styleId="59">
    <w:name w:val="font71"/>
    <w:basedOn w:val="20"/>
    <w:autoRedefine/>
    <w:qFormat/>
    <w:uiPriority w:val="0"/>
    <w:rPr>
      <w:rFonts w:hint="default" w:ascii="仿宋_GB2312" w:eastAsia="仿宋_GB2312" w:cs="仿宋_GB2312"/>
      <w:b/>
      <w:bCs/>
      <w:color w:val="000000"/>
      <w:sz w:val="32"/>
      <w:szCs w:val="32"/>
      <w:u w:val="none"/>
    </w:rPr>
  </w:style>
  <w:style w:type="character" w:customStyle="1" w:styleId="60">
    <w:name w:val="active1"/>
    <w:basedOn w:val="20"/>
    <w:autoRedefine/>
    <w:qFormat/>
    <w:uiPriority w:val="0"/>
    <w:rPr>
      <w:color w:val="FFFFFF"/>
      <w:shd w:val="clear" w:fill="428BCA"/>
    </w:rPr>
  </w:style>
  <w:style w:type="character" w:customStyle="1" w:styleId="61">
    <w:name w:val="hover5"/>
    <w:basedOn w:val="20"/>
    <w:autoRedefine/>
    <w:qFormat/>
    <w:uiPriority w:val="0"/>
    <w:rPr>
      <w:shd w:val="clear" w:fill="EEEEEE"/>
    </w:rPr>
  </w:style>
  <w:style w:type="character" w:customStyle="1" w:styleId="62">
    <w:name w:val="ui-jqgrid-resize2"/>
    <w:basedOn w:val="20"/>
    <w:autoRedefine/>
    <w:qFormat/>
    <w:uiPriority w:val="0"/>
  </w:style>
  <w:style w:type="paragraph" w:customStyle="1" w:styleId="6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37</Pages>
  <Words>19861</Words>
  <Characters>20744</Characters>
  <Lines>701</Lines>
  <Paragraphs>197</Paragraphs>
  <TotalTime>16</TotalTime>
  <ScaleCrop>false</ScaleCrop>
  <LinksUpToDate>false</LinksUpToDate>
  <CharactersWithSpaces>21908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2020-09-02T10:13:00Z</dcterms:created>
  <dc:creator>随风</dc:creator>
  <cp:lastModifiedBy>Mmmmmm.</cp:lastModifiedBy>
  <cp:lastPrinted>2024-04-25T01:15:00Z</cp:lastPrinted>
  <dcterms:modified xsi:type="dcterms:W3CDTF">2024-04-26T00:31:35Z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D3F076EDB7BD4421A09B7F46D37D3AA6_13</vt:lpwstr>
  </property>
</Properties>
</file>