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检测任务书</w:t>
      </w:r>
    </w:p>
    <w:tbl>
      <w:tblPr>
        <w:tblStyle w:val="5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86"/>
        <w:gridCol w:w="1865"/>
        <w:gridCol w:w="1471"/>
        <w:gridCol w:w="615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工程名称</w:t>
            </w:r>
          </w:p>
        </w:tc>
        <w:tc>
          <w:tcPr>
            <w:tcW w:w="2551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海口市江东新区园区配套基础设施配套项目（一期）</w:t>
            </w:r>
          </w:p>
        </w:tc>
        <w:tc>
          <w:tcPr>
            <w:tcW w:w="1471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涉及阶段</w:t>
            </w:r>
          </w:p>
        </w:tc>
        <w:tc>
          <w:tcPr>
            <w:tcW w:w="44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施工阶段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建设单位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海口市恒慧基础建设有限公司</w:t>
            </w:r>
          </w:p>
        </w:tc>
        <w:tc>
          <w:tcPr>
            <w:tcW w:w="1471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工程地址</w:t>
            </w:r>
          </w:p>
        </w:tc>
        <w:tc>
          <w:tcPr>
            <w:tcW w:w="4459" w:type="dxa"/>
            <w:gridSpan w:val="2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海口</w:t>
            </w:r>
            <w:r>
              <w:rPr>
                <w:rFonts w:hint="eastAsia"/>
                <w:highlight w:val="none"/>
                <w:lang w:val="en-US" w:eastAsia="zh-CN"/>
              </w:rPr>
              <w:t>美兰区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1" w:type="dxa"/>
            <w:gridSpan w:val="6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一、桩基检测目的及任务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6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二、检测范围：</w:t>
            </w:r>
          </w:p>
        </w:tc>
        <w:tc>
          <w:tcPr>
            <w:tcW w:w="7795" w:type="dxa"/>
            <w:gridSpan w:val="4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本次检测范围为海口市江东新区园区配套基础设施配套项目（一期）</w:t>
            </w:r>
            <w:r>
              <w:rPr>
                <w:rFonts w:hint="eastAsia"/>
                <w:highlight w:val="none"/>
                <w:lang w:val="en-US" w:eastAsia="zh-CN"/>
              </w:rPr>
              <w:t>工程</w:t>
            </w:r>
            <w:r>
              <w:rPr>
                <w:rFonts w:hint="eastAsia"/>
                <w:highlight w:val="none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1" w:type="dxa"/>
            <w:gridSpan w:val="6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详见下表：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检验项目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试验内容</w:t>
            </w:r>
          </w:p>
        </w:tc>
        <w:tc>
          <w:tcPr>
            <w:tcW w:w="3844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常规试验组数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给排水</w:t>
            </w:r>
          </w:p>
        </w:tc>
        <w:tc>
          <w:tcPr>
            <w:tcW w:w="1865" w:type="dxa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844" w:type="dxa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回填（土、砂）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击实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砂的相对密度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Style w:val="10"/>
                <w:highlight w:val="none"/>
                <w:lang w:val="en-US" w:eastAsia="zh-CN" w:bidi="ar"/>
              </w:rPr>
              <w:t>含水率、液限、塑限、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CBR </w:t>
            </w:r>
            <w:r>
              <w:rPr>
                <w:rStyle w:val="10"/>
                <w:highlight w:val="none"/>
                <w:lang w:val="en-US" w:eastAsia="zh-CN" w:bidi="ar"/>
              </w:rPr>
              <w:t>试验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压力管道水压试验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水压试验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球墨铸铁管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抗拉强度、屈服强度、断裂伸长率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外观、尺寸、承载能力、残余变形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防坠落网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污、雨水管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闭水试验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管道基础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地基承载力（轻型动力触探）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</w:rPr>
              <w:t>道路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水泥混凝土面层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胶砂强度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、安定性、凝结时间、比表面积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外加剂：减水率、凝结时间差、细度、含固量、1d抗压强度比；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粗集料：筛分析、含泥量、针、片状颗粒含量、泥块含量、压碎值指标、坚固性；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细集料：筛分析、含泥量、泥块含量；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粉煤灰：细度、需水量、烧失量、安定性、强度活性指数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拌合物配合比分析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弯拉强度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抗滑构造深度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平整度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级配砂砾及级配砾石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颗粒级配、压碎值、表观密度、堆积密度、含泥量、泥块含量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击实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屈服强度、抗拉强度、伸长率、弯曲性能、重量偏差、最大力总延伸率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路缘石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抗压强度、抗折强度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路基/路床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击实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含水率、液限、塑限、 CBR 试验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级配砂砾及级配砾石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颗粒级配、压碎值、表观密度、堆积密度、含泥量、泥块含量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击实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水泥稳定碎石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击实、无侧限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沥青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针入度、延度、软化点、粘度、密度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粘层、透层、封层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破乳速度、黏度、蒸发残留物、与粗集料的粘附性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沥青混合料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混合料配料试验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粗集料＞2.36mm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水洗法筛分、针片状、压碎值、密度、吸水率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细集料＜2.36mm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水洗法筛分、密度、砂当量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矿粉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水洗法筛分、密度、塑性指数、亲水系数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沥青混合料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马歇尔试验、沥青用量、矿料级配。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热拌沥青混合料基层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沥青混合料面层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弯沉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摩擦系数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8.1km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构造深度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混凝土预制砌块铺砌人行道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砖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混凝土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水泥：凝结时间、安定性、胶砂强度；细度、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砂：（河砂：筛分析、含泥量、泥块含量、氯离子；人工砂：筛分析、石粉含量、压碎指标、亚甲蓝试验等）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砂浆配合比设计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砂浆强度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交通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标志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标线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实体构件：标线线段长度、标线宽度、标线厚度、标线横向偏位、标线纵向间距、逆反射亮度系数、抗滑值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涂料（标线涂料）；遮盖率、玻璃珠含量、抗滑性、不粘胎干燥时间、涂层外观、抗压强度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玻璃珠：外观要求、密度、粒径分布、成圆率、磁性颗粒含量、耐水性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交通标志基础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地基承载力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照明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路灯照明、照度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照度、照明功率密度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电线电缆节能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电气 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标志、绝缘厚度、绝缘电阻、电压试验 、标称截面积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电工套管、线管、导管、线槽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结构、尺寸、弯曲试验、电气性能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低压成套配电柜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绝缘电阻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接地电阻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管廊结构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屈服强度、抗拉强度、伸长率、弯曲性能、重量偏差、最大力总延伸率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强度、安定性、凝结时间、氯离子含量；细度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混凝土外加剂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高效减水剂：pH值、密度(或细度)、含固量(或含水率)、减水率；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缓凝型高效减水剂还应检验凝结时间差。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膨胀剂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膨胀剂：水中7d限制膨胀率和细度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混凝土用矿物掺合料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粉煤灰：细度、需水量比、烧失比、安定性（C类粉煤灰）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粗骨料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颗粒级配（筛分析）、含泥量、泥块含量、针片状颗粒含量、坚固性、压碎指标。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细骨料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颗粒级配（筛分析）、含泥量、泥块含量、坚固性、压碎指标、氯离子含量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拌合物配合比分析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混凝土试件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混凝土抗水渗透性能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同养试块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（同养试块）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结构实体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抗压强度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（实体回弹-取芯）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1" w:type="dxa"/>
            <w:gridSpan w:val="6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备注：如建设单位或主管部门另有要求，可能会有部分新增检测范围。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1" w:type="dxa"/>
            <w:gridSpan w:val="6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采用规范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highlight w:val="none"/>
              </w:rPr>
              <w:t>《混疑土结构工程施工质量验收规范》 GB50204-2015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highlight w:val="none"/>
              </w:rPr>
              <w:t xml:space="preserve">《给水排水管道工程施工及验收规范》 GB50268-2008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highlight w:val="none"/>
              </w:rPr>
              <w:t>《建筑电气工程施工质量验收规范》GB 50303-2015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highlight w:val="none"/>
              </w:rPr>
              <w:t>《城镇道路工程施工与质量验收规范》 CJJ 1-2008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highlight w:val="none"/>
              </w:rPr>
              <w:t>《公路工程质量检验评定标准 第一册 土建工程》JTG F80/1-2017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城市综合营廊工程技术规范》GB50838-2015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highlight w:val="none"/>
                <w:lang w:eastAsia="zh-CN"/>
              </w:rPr>
              <w:t>《海南省地下综合管廊建设及运行维护技术标准》（DBJ46-052-2019）</w:t>
            </w:r>
          </w:p>
          <w:p>
            <w:pPr>
              <w:pStyle w:val="2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、相关设计图纸及施工方案等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检测要求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检测项目及频率</w:t>
            </w:r>
          </w:p>
          <w:p>
            <w:pPr>
              <w:rPr>
                <w:highlight w:val="none"/>
              </w:rPr>
            </w:pPr>
          </w:p>
          <w:tbl>
            <w:tblPr>
              <w:tblStyle w:val="4"/>
              <w:tblW w:w="9300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"/>
              <w:gridCol w:w="1227"/>
              <w:gridCol w:w="690"/>
              <w:gridCol w:w="67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9300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一、给排水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03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回填（土、砂）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auto" w:sz="4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两井之间或者每1000㎡﹑每层每侧抽检3点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每一种回填材料各做一组，回填前送检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条件相同的回填材料，每铺筑</w:t>
                  </w:r>
                  <w:r>
                    <w:rPr>
                      <w:rStyle w:val="13"/>
                      <w:rFonts w:eastAsia="宋体"/>
                      <w:highlight w:val="none"/>
                      <w:lang w:val="en-US" w:eastAsia="zh-CN" w:bidi="ar"/>
                    </w:rPr>
                    <w:t xml:space="preserve"> 1000m</w:t>
                  </w:r>
                  <w:r>
                    <w:rPr>
                      <w:rStyle w:val="14"/>
                      <w:rFonts w:eastAsia="宋体"/>
                      <w:highlight w:val="none"/>
                      <w:lang w:val="en-US" w:eastAsia="zh-CN" w:bidi="ar"/>
                    </w:rPr>
                    <w:t xml:space="preserve">2 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，应取样一次，每次取样</w:t>
                  </w:r>
                  <w:r>
                    <w:rPr>
                      <w:rStyle w:val="13"/>
                      <w:rFonts w:eastAsia="宋体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至少应做两组测试；回填材料条件变化或来源变化时，应分别取样检测。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3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压力管道水压试验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全数检验。压力管道水压试验的管段长度不宜大于1km。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（GB 50268-2008第9.1.9条）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球墨铸铁管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管每批应有同一公称直径、同一接口型式、同一壁厚等级、同一定尺长度、同一退火制度的球墨铸铁管组成。管件每批由同一炉铁液、同一造型工艺生产而成。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8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钢筋混凝土管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由相同原材料、相同生产工艺生产的同一规格、同一种接头型式、同一种外压荷载级别的管子组成一个受检批。外压荷载取样1根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2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球墨铸铁井盖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产品以同一级别、同一种类、同一原材料在相似条件下生产的检查井盖构成批量，500套为一批，不足500套也作一批。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 防坠落网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5000张/批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2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污、雨水管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管道内径小于等于700mm时，全数检验；管道内径大于700mm时，抽检1/3井段。无压管道的闭水试验管段长度不宜超过5个连续井段。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管道基础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每单位工程不少于3个点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300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二、道路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水泥混凝土面层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水泥：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检查数量：按同一生产厂家、同一等级、同一品种、同一批号且连续进场的水泥，袋装水泥不超过 200t 为一批，散装水泥不超过 500t为一批，每批抽样1次。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7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外加剂：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检查数量：按进场批次和产品抽样检验方法确定。每批不少于1次。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粗集料、细集料：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检查数量：同产地、同品种、同规格日连续进场的集料，每400m3为一批，不足 400m3按一批计，每批抽检1次。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粉煤灰：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检查数量：以连续供应的每200t相同等级、相同种类的粉煤灰为一批，每批抽样1次。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配合比设计（验证）：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检查数量：同一材料、同一强度等级和技术指标，配合比设计（验证）1次。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检查数量：每 100m3的同配合比的混凝土，取样 1次；不足 100m时按1次计。每次取样应至少留置 1组标准养护试件。同条件养护试件的留置组数应根据实际需要确定，最少1组。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增加：每一施工段落, 现场钻芯Φ150mm, 1组3个试件, 进行劈裂抗拉强度试验。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检查数量：每1000m</w:t>
                  </w:r>
                  <w:r>
                    <w:rPr>
                      <w:rStyle w:val="15"/>
                      <w:highlight w:val="none"/>
                      <w:lang w:val="en-US" w:eastAsia="zh-CN" w:bidi="ar"/>
                    </w:rPr>
                    <w:t>2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抽测1点。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检查数量：每1000m</w:t>
                  </w:r>
                  <w:r>
                    <w:rPr>
                      <w:rStyle w:val="15"/>
                      <w:highlight w:val="none"/>
                      <w:lang w:val="en-US" w:eastAsia="zh-CN" w:bidi="ar"/>
                    </w:rPr>
                    <w:t>2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批测1点。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1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1）标准差σ值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检查数量：每100m，测1点（段落）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级配砂砾及级配砾石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按砂石材料进场批次，每批抽检1次。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每层每1000㎡抽检1点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每一种回填材料各做一组，回填前送检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钢筋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钢筋：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同一牌号、同炉罐号、同规格，每 60t 为一批，不足此数也按一批计，每批抽检一次。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路缘石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每一种规格，抗折强度直接抽取3个试件，抗压强度分别从3个不同的路缘石上各切取1块100*100*100mm的试块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路基/路床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每1000m</w:t>
                  </w:r>
                  <w:r>
                    <w:rPr>
                      <w:rStyle w:val="15"/>
                      <w:highlight w:val="none"/>
                      <w:lang w:val="en-US" w:eastAsia="zh-CN" w:bidi="ar"/>
                    </w:rPr>
                    <w:t>2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、每压实层抽检3点。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1、对路基基底原状土进行取样，每公里应至少取2个样点，土质变化时增加点数；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2、对每一种拟作为路基填料的材料进行取样，回填前送检，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3、每填筑土5000 m3，送（抽）样1次。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对每一种作为路基填料的 土进行取样，遇到土质变化时 另行取样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级配砂砾及级配砾石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按砂石材料进场批次，每批抽检1次。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每层每1000㎡抽检1点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每一种回填材料各做一组，回填前送检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水泥稳定碎石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每层每1000㎡抽检1点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基层及底基层各 1 次，遇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到原材料变化时另行增加。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9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同一料源、同一次购入并运至生产现场（或储入同一沥青罐、池）的相同规格品种的沥青为一批。石油沥青每100t为一批；煤沥青每50t为一批；乳化沥青每50t为一批。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粘层、透层、封层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沥青（乳化沥青、液体沥青）：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检查数量：按进场品种、批次，同品种、同批次检查不应少于1次。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沥青混合料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一个类别规格一次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(AC-13C、AC-20C)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9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粗集料＞2.36mm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1次/每500吨·每批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细集料＜2.36mm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1次/每200吨·每批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矿粉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1次/每50吨·每批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沥青混合料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每日、每品种检测1次。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热拌沥青混合料基层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每1000㎡抽检1点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每1000㎡抽检1点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沥青混合料面层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每1000m</w:t>
                  </w:r>
                  <w:r>
                    <w:rPr>
                      <w:rStyle w:val="15"/>
                      <w:highlight w:val="none"/>
                      <w:lang w:val="en-US" w:eastAsia="zh-CN" w:bidi="ar"/>
                    </w:rPr>
                    <w:t>2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抽检1点。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沥青混合料面层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每1000m</w:t>
                  </w:r>
                  <w:r>
                    <w:rPr>
                      <w:rStyle w:val="15"/>
                      <w:highlight w:val="none"/>
                      <w:lang w:val="en-US" w:eastAsia="zh-CN" w:bidi="ar"/>
                    </w:rPr>
                    <w:t>2</w:t>
                  </w:r>
                  <w:r>
                    <w:rPr>
                      <w:rStyle w:val="10"/>
                      <w:highlight w:val="none"/>
                      <w:lang w:val="en-US" w:eastAsia="zh-CN" w:bidi="ar"/>
                    </w:rPr>
                    <w:t>抽检1点。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每车道﹑每20米测1点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每200米测1处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每200米测1处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混凝土预制砌块铺砌人行道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砖：同一品种、规格、每检验批1组。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对同一配合比混凝土，取样与试件留置应符合下列规定：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1．每拌制100盘且不超过100m3时，取样不得少于一次；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2．每工作班拌制不足100盘时，取样不得少于一次；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3．连续浇筑超过1000m3时，每200m3取样不得少于一次；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4．每次取样应至少留置一组试件。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7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水泥：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检查数量：按同一生产厂家、同一等级、同一品种、同一批号且连续进场的水泥，袋装水泥不超过 200t 为一批，散装水泥不超过 500t为一批，每批抽样1次。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3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砂（河砂、人工砂）：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检查数量：同产地、同品种、同规格日连续进场的集料，每400m3为一批，不足 400m3按一批计，每批抽检1次。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砂浆配合比设计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检查数量：同一材料、同一强度等级和技术指标，配合比设计1次。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同一配合比，每1000㎡1组，不足1000㎡取1组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 100m 查 2 点。。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300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三、交通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5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标志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《公路工程质量检验评定标准 第一册 土建工程》（JTG F80/1-2017）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表11.2.2交通标志实测项目中检测方法和频率。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1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标线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实体构件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参考：《公路工程质量检验评定标准 第一册 土建工程》（JTG F80/1-2017）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表11.3.2交通标志实测项目中检测方法和频率。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每批应同时交货或同时生产的，使用同一批原材料、同一生产配方、同一生产工艺的产品组成。抽样按GB/T3186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每批应同时交货或同时生产的，使用同一批原材料、同一生产配方、同一生产工艺的产品组成。抽样按GB/T3186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交通标志基础</w:t>
                  </w:r>
                </w:p>
              </w:tc>
              <w:tc>
                <w:tcPr>
                  <w:tcW w:w="7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每个基础进行检测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300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四、照明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路灯照明、照度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每个典型功能区域不少于2处，且均匀分布，并具有代表性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电线电缆节能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同一项目工程同一厂家同一进场批次各种规格总数的10%不少于2规格。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0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五、电气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5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电线电缆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GB 50303-2015第3.2.5条第1 款 现场抽样检测∶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1、对于母线槽、导管、绝缘导线、电缆等，同厂家、同批次、同型号、同规格的，每批至少应抽取1个样本;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 对于由同一施工单位施工的同一建设项目的多个单位工程，当使用同一生产厂家、同材质、同批次、同类型的主要设备、材料、成品和半成品时，其抽检比例宜合并计算。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 当抽样检测结果出现不合格，可加倍抽样检测，仍不合格时，则该批设备、材料、成品或半成品应判定为不合格品，不得使用；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4、对于因有异议送检有资质试验室而抽样检测的母线槽、导管、绝缘导线、电缆等，同厂家、同批次、同型号、不同规格的，应抽检百分之10%，且不少于2个规格。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0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7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电工套管、线管、导管、线槽</w:t>
                  </w:r>
                </w:p>
              </w:tc>
              <w:tc>
                <w:tcPr>
                  <w:tcW w:w="67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GB 50303-2015第3.2.5条第1 款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 现场抽样检测∶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对于母线槽、导管、绝缘导线、电缆等，同厂家、同批次、同型号、同规格的，每批至少应抽取1个样本;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2、对于由同一施工单位施工的同一建设项目的多个单位工程，当使用同一生产厂家、同材质、同批次、同类型的主要设备、材料、成品和半成品时，其抽检比例宜合并计算。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3、当抽样检测结果出现不合格，可加倍抽样检测，仍不合格时，则该批设备、材料、成品或半成品应判定为不合格品，不得使用；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4、对于因有异议送检有资质试验室而抽样检测的母线槽、导管、绝缘导线、电缆等，同厂家、同批次、同型号、不同规格的，应抽检百分之10%，且不少于2个规格。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917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低压成套配电柜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接地装置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00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六、管廊结构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6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钢筋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每批由同一牌号、同一炉罐号、同一尺寸的钢筋组成。每批重量通常不大于60t。超过60t的部分，每增加40t（或不足40t的余数），增加一个拉伸试验试样和一个弯曲试验试样。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水泥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按同一生产厂家、同一品种、同一代号、同一强度等级且连续进场的水泥，袋装水泥不超过200t为一批，散装水泥不超过500t为一批，每批抽样数量不应少于1次。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混凝土外加剂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每50t为一检验批，不足50t时也应按一个检验批计。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膨胀剂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每200t为一检验批，不足200t时也应按一个检验批计。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混凝土用矿物掺合料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粉煤灰不超过200t为一批。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7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粗骨料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使用单位应按砂或石的同产地同规格分批验收。采用大型工具(如火车、货船或汽车)运输的，应以400m3或600t为一验收批；采用小型工具(如拖拉机等)运输的，应以200m3或300t为一验收批。不足上述量者，应按一验收批进行验收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2、当砂或石的质量比较稳定、进料量又较大时，可以1000t为一验收批。“当质量比较稳定，进料量又较大时，可定期检验”系指日进量在1000t以上，连续复检五次以上合格，可按1000t为一批。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6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细骨料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使用单位应按砂或石的同产地同规格分批验收。采用大型工具(如火车、货船或汽车)运输的，应以400m3或600t为一验收批；采用小型工具(如拖拉机等)运输的，应以200m3或300t为一验收批。不足上述量者，应按一验收批进行验收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2、当砂或石的质量比较稳定、进料量又较大时，可以1000t为一验收批。“当质量比较稳定，进料量又较大时，可定期检验”系指日进量在1000t以上，连续复检五次以上合格，可按1000t为一批。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同一材料、同一强度等级和技术指标，配合比设计（验证）1次。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9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917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混凝土试件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1、混凝土有抗水渗透性指标要求时，应在施工现场随机抽取试件进行耐久性检验。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2、同一配合比的混凝土，取样不应少于一次。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3、连续浇筑混凝土每500m3应留置一组抗渗试件。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917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对同一配合比混凝土，取样与试件留置应符合下列规定：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1．每拌制100盘且不超过100m3时，取样不得少于一次；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2．每工作班拌制不足100盘时，取样不得少于一次；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3．连续浇筑超过1000m3时，每200m3取样不得少于一次；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4．每一楼层取样不得少于一次；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5．每次取样应至少留置一组试件。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7" w:hRule="atLeast"/>
              </w:trPr>
              <w:tc>
                <w:tcPr>
                  <w:tcW w:w="6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同养试块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1、同一强度等级的同条件养护试件不宜少于10组，且不应少于3组。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2、每连续两层楼取样不应少于1组。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3、每2000m3取样不得少于一组。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1" w:hRule="atLeast"/>
              </w:trPr>
              <w:tc>
                <w:tcPr>
                  <w:tcW w:w="60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917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结构实体</w:t>
                  </w: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1、结构实体混凝土强度应按不同强度等级分别检验，检验方法宜采用同条件养护试件方法；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2、当未取得同条件养护试件强度或同条件养护试件强度不符合要求时，可采用回弹-取芯法进行检验。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混凝土强度检验采用回弹法检测，每层地下室均抽测，主体按建筑总层数的50%楼层进行抽测，每个抽测层抽取不少于3个柱（剪力墙）构件和3个梁构件。当柱（剪力墙）构件超过40个时，增加抽测构件数量按超出构件数量的10%抽取；当梁构件超过40个时，增加抽取构件数量超出构件数量的5%抽取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0" w:hRule="atLeast"/>
              </w:trPr>
              <w:tc>
                <w:tcPr>
                  <w:tcW w:w="60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917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1、对非悬挑梁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板类构件，应抽取构件数量的2%且不少于5个构件进行检验。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2、对悬挑梁，应抽取构件数量的5%且不少于10个构件进行检验，当悬挑梁数量少于10个时，应全部检验。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3、对悬挑板，应抽取构件数量的10%且不少于20个构件进行检验，当悬挑板数量少于20个时，应全部检验。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检测报告的有关要求</w:t>
            </w:r>
          </w:p>
          <w:p>
            <w:pPr>
              <w:numPr>
                <w:ilvl w:val="0"/>
                <w:numId w:val="3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文字部分</w:t>
            </w:r>
          </w:p>
          <w:p>
            <w:pPr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项目工程</w:t>
            </w:r>
            <w:r>
              <w:rPr>
                <w:rFonts w:hint="eastAsia"/>
                <w:highlight w:val="none"/>
                <w:lang w:val="en-US" w:eastAsia="zh-CN"/>
              </w:rPr>
              <w:t>信息</w:t>
            </w:r>
          </w:p>
          <w:p>
            <w:pPr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检测设备及检测方法</w:t>
            </w:r>
          </w:p>
          <w:p>
            <w:pPr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检测结果汇总</w:t>
            </w:r>
          </w:p>
          <w:p>
            <w:pPr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检测报告结论的具体要求。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其他需说明的问题。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1、如检测单位对检测任务书有不清楚处，请及时与检测任务书提供人联系。其余未尽事宜按现行规范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要求处理。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2、检测成果包括盖章的正式文本资料和对应的电子文件。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jc w:val="center"/>
        <w:rPr>
          <w:rFonts w:hint="eastAsia"/>
          <w:b/>
          <w:bCs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A947F"/>
    <w:multiLevelType w:val="singleLevel"/>
    <w:tmpl w:val="E10A947F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E119B94E"/>
    <w:multiLevelType w:val="singleLevel"/>
    <w:tmpl w:val="E119B9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9D5084"/>
    <w:multiLevelType w:val="singleLevel"/>
    <w:tmpl w:val="F29D508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DB4D992"/>
    <w:multiLevelType w:val="singleLevel"/>
    <w:tmpl w:val="FDB4D9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GU5NTNlZTBmMTVlNGMwMzQ5ZTYwZDY3NzVlM2YifQ=="/>
  </w:docVars>
  <w:rsids>
    <w:rsidRoot w:val="000E1BE0"/>
    <w:rsid w:val="000E1BE0"/>
    <w:rsid w:val="0084684F"/>
    <w:rsid w:val="009D7E28"/>
    <w:rsid w:val="00EE2215"/>
    <w:rsid w:val="04C2423C"/>
    <w:rsid w:val="058A392B"/>
    <w:rsid w:val="08D22AAE"/>
    <w:rsid w:val="0AEF5272"/>
    <w:rsid w:val="0CD7660C"/>
    <w:rsid w:val="0D510AAD"/>
    <w:rsid w:val="243260B6"/>
    <w:rsid w:val="2DFE5055"/>
    <w:rsid w:val="34CE26E5"/>
    <w:rsid w:val="3EB825AB"/>
    <w:rsid w:val="3EE96C43"/>
    <w:rsid w:val="414B5F13"/>
    <w:rsid w:val="45AF235D"/>
    <w:rsid w:val="467024D2"/>
    <w:rsid w:val="476D5EFB"/>
    <w:rsid w:val="4DFF5714"/>
    <w:rsid w:val="52E340AB"/>
    <w:rsid w:val="5481716E"/>
    <w:rsid w:val="575B180F"/>
    <w:rsid w:val="5B2A5E7E"/>
    <w:rsid w:val="5C36776D"/>
    <w:rsid w:val="5D916EC2"/>
    <w:rsid w:val="604B777D"/>
    <w:rsid w:val="619D036E"/>
    <w:rsid w:val="686D28A5"/>
    <w:rsid w:val="6C8F0B96"/>
    <w:rsid w:val="6D8C0AE4"/>
    <w:rsid w:val="71786CF6"/>
    <w:rsid w:val="7A651251"/>
    <w:rsid w:val="7B36701B"/>
    <w:rsid w:val="7B4A02DF"/>
    <w:rsid w:val="7D2B7321"/>
    <w:rsid w:val="7E854A0E"/>
    <w:rsid w:val="7FD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1"/>
    <w:pPr>
      <w:autoSpaceDE w:val="0"/>
      <w:autoSpaceDN w:val="0"/>
      <w:spacing w:before="135"/>
      <w:ind w:left="577"/>
      <w:jc w:val="left"/>
    </w:pPr>
    <w:rPr>
      <w:rFonts w:ascii="宋体" w:hAnsi="宋体" w:eastAsia="宋体" w:cs="宋体"/>
      <w:kern w:val="0"/>
      <w:sz w:val="24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13">
    <w:name w:val="font41"/>
    <w:basedOn w:val="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4">
    <w:name w:val="font51"/>
    <w:basedOn w:val="6"/>
    <w:autoRedefine/>
    <w:qFormat/>
    <w:uiPriority w:val="0"/>
    <w:rPr>
      <w:rFonts w:hint="default" w:ascii="Calibri" w:hAnsi="Calibri" w:cs="Calibri"/>
      <w:color w:val="000000"/>
      <w:sz w:val="10"/>
      <w:szCs w:val="10"/>
      <w:u w:val="none"/>
    </w:rPr>
  </w:style>
  <w:style w:type="character" w:customStyle="1" w:styleId="15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133</Words>
  <Characters>761</Characters>
  <Lines>6</Lines>
  <Paragraphs>1</Paragraphs>
  <TotalTime>19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2021-03-05T01:12:00Z</dcterms:created>
  <dc:creator>lenovo</dc:creator>
  <cp:lastModifiedBy>甜菜</cp:lastModifiedBy>
  <dcterms:modified xsi:type="dcterms:W3CDTF">2024-04-22T02:32:41Z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B6707C42174F46FA82C7D572B905ADD5_13</vt:lpwstr>
  </property>
</Properties>
</file>