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880" w:firstLineChars="200"/>
        <w:jc w:val="both"/>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p>
    <w:p>
      <w:pPr>
        <w:widowControl w:val="0"/>
        <w:bidi w:val="0"/>
        <w:jc w:val="both"/>
        <w:rPr>
          <w:rFonts w:hint="default"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pageBreakBefore w:val="0"/>
        <w:wordWrap/>
        <w:topLinePunct w:val="0"/>
        <w:bidi w:val="0"/>
        <w:adjustRightInd w:val="0"/>
        <w:snapToGrid w:val="0"/>
        <w:spacing w:line="360" w:lineRule="auto"/>
        <w:jc w:val="center"/>
        <w:textAlignment w:val="auto"/>
        <w:rPr>
          <w:rFonts w:hint="default"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rPr>
        <w:t>海口</w:t>
      </w:r>
      <w:r>
        <w:rPr>
          <w:rFonts w:hint="eastAsia" w:ascii="宋体" w:hAnsi="宋体" w:eastAsia="宋体" w:cs="宋体"/>
          <w:b/>
          <w:color w:val="auto"/>
          <w:sz w:val="52"/>
          <w:szCs w:val="52"/>
          <w:highlight w:val="none"/>
          <w:lang w:val="en-US" w:eastAsia="zh-CN"/>
        </w:rPr>
        <w:t>江东新区管理局</w:t>
      </w:r>
    </w:p>
    <w:p>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采购</w:t>
      </w:r>
      <w:r>
        <w:rPr>
          <w:rFonts w:hint="eastAsia" w:ascii="宋体" w:hAnsi="宋体" w:eastAsia="宋体" w:cs="宋体"/>
          <w:b/>
          <w:color w:val="auto"/>
          <w:sz w:val="52"/>
          <w:szCs w:val="52"/>
          <w:highlight w:val="none"/>
          <w:lang w:val="en-US" w:eastAsia="zh-CN"/>
        </w:rPr>
        <w:t>比选</w:t>
      </w:r>
      <w:r>
        <w:rPr>
          <w:rFonts w:hint="eastAsia" w:ascii="宋体" w:hAnsi="宋体" w:eastAsia="宋体" w:cs="宋体"/>
          <w:b/>
          <w:color w:val="auto"/>
          <w:sz w:val="52"/>
          <w:szCs w:val="52"/>
          <w:highlight w:val="none"/>
        </w:rPr>
        <w:t>文件</w:t>
      </w:r>
    </w:p>
    <w:p>
      <w:pPr>
        <w:pageBreakBefore w:val="0"/>
        <w:wordWrap/>
        <w:topLinePunct w:val="0"/>
        <w:bidi w:val="0"/>
        <w:adjustRightInd w:val="0"/>
        <w:snapToGrid w:val="0"/>
        <w:spacing w:line="360" w:lineRule="auto"/>
        <w:jc w:val="center"/>
        <w:textAlignment w:val="auto"/>
        <w:rPr>
          <w:rFonts w:ascii="宋体" w:hAnsi="宋体" w:eastAsia="宋体" w:cs="宋体"/>
          <w:b/>
          <w:color w:val="auto"/>
          <w:sz w:val="21"/>
          <w:szCs w:val="21"/>
          <w:highlight w:val="none"/>
        </w:rPr>
      </w:pPr>
    </w:p>
    <w:p>
      <w:pPr>
        <w:pageBreakBefore w:val="0"/>
        <w:wordWrap/>
        <w:topLinePunct w:val="0"/>
        <w:bidi w:val="0"/>
        <w:spacing w:line="360" w:lineRule="auto"/>
        <w:textAlignment w:val="auto"/>
        <w:rPr>
          <w:rFonts w:ascii="Times New Roman" w:hAnsi="Times New Roman" w:eastAsia="宋体" w:cs="Times New Roman"/>
          <w:color w:val="auto"/>
          <w:sz w:val="21"/>
          <w:szCs w:val="21"/>
          <w:highlight w:val="none"/>
        </w:rPr>
      </w:pPr>
    </w:p>
    <w:p>
      <w:pPr>
        <w:widowControl w:val="0"/>
        <w:bidi w:val="0"/>
        <w:jc w:val="both"/>
        <w:rPr>
          <w:rFonts w:ascii="宋体" w:hAnsi="Courier New" w:eastAsia="宋体" w:cs="Times New Roman"/>
          <w:color w:val="auto"/>
          <w:kern w:val="2"/>
          <w:sz w:val="21"/>
          <w:szCs w:val="20"/>
          <w:highlight w:val="none"/>
          <w:lang w:val="en-US" w:eastAsia="zh-CN" w:bidi="ar-SA"/>
        </w:rPr>
      </w:pPr>
    </w:p>
    <w:p>
      <w:pPr>
        <w:widowControl w:val="0"/>
        <w:bidi w:val="0"/>
        <w:jc w:val="both"/>
        <w:rPr>
          <w:rFonts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pageBreakBefore w:val="0"/>
        <w:widowControl w:val="0"/>
        <w:wordWrap/>
        <w:topLinePunct w:val="0"/>
        <w:bidi w:val="0"/>
        <w:spacing w:line="360" w:lineRule="auto"/>
        <w:ind w:firstLine="1124" w:firstLineChars="400"/>
        <w:jc w:val="left"/>
        <w:textAlignment w:val="auto"/>
        <w:outlineLvl w:val="0"/>
        <w:rPr>
          <w:rFonts w:hint="default" w:ascii="宋体" w:hAnsi="宋体" w:eastAsia="宋体" w:cs="宋体"/>
          <w:b/>
          <w:bCs w:val="0"/>
          <w:color w:val="auto"/>
          <w:kern w:val="2"/>
          <w:sz w:val="28"/>
          <w:szCs w:val="28"/>
          <w:highlight w:val="none"/>
          <w:lang w:val="en-US" w:eastAsia="zh-CN" w:bidi="ar-SA"/>
        </w:rPr>
      </w:pPr>
      <w:bookmarkStart w:id="0" w:name="_Toc245888257"/>
      <w:bookmarkStart w:id="1" w:name="_Toc245887524"/>
      <w:bookmarkStart w:id="2" w:name="_Toc246826091"/>
      <w:bookmarkStart w:id="3" w:name="_Toc246825786"/>
      <w:r>
        <w:rPr>
          <w:rFonts w:hint="eastAsia" w:ascii="宋体" w:hAnsi="宋体" w:eastAsia="宋体" w:cs="宋体"/>
          <w:b/>
          <w:bCs w:val="0"/>
          <w:color w:val="auto"/>
          <w:kern w:val="2"/>
          <w:sz w:val="28"/>
          <w:szCs w:val="28"/>
          <w:highlight w:val="none"/>
          <w:lang w:val="en-US" w:eastAsia="zh-CN" w:bidi="ar-SA"/>
        </w:rPr>
        <w:t>项目编号</w:t>
      </w:r>
      <w:bookmarkEnd w:id="0"/>
      <w:bookmarkEnd w:id="1"/>
      <w:bookmarkEnd w:id="2"/>
      <w:bookmarkEnd w:id="3"/>
      <w:bookmarkStart w:id="4" w:name="_Toc245887525"/>
      <w:bookmarkStart w:id="5" w:name="_Toc246825787"/>
      <w:bookmarkStart w:id="6" w:name="_Toc246826092"/>
      <w:bookmarkStart w:id="7" w:name="_Toc245888258"/>
      <w:r>
        <w:rPr>
          <w:rFonts w:hint="eastAsia" w:ascii="宋体" w:hAnsi="宋体" w:eastAsia="宋体" w:cs="宋体"/>
          <w:b/>
          <w:bCs w:val="0"/>
          <w:color w:val="auto"/>
          <w:kern w:val="2"/>
          <w:sz w:val="28"/>
          <w:szCs w:val="28"/>
          <w:highlight w:val="none"/>
          <w:lang w:val="en-US" w:eastAsia="zh-CN" w:bidi="ar-SA"/>
        </w:rPr>
        <w:t>：zfcg-fw-0521-001</w:t>
      </w:r>
    </w:p>
    <w:p>
      <w:pPr>
        <w:pageBreakBefore w:val="0"/>
        <w:widowControl w:val="0"/>
        <w:wordWrap/>
        <w:topLinePunct w:val="0"/>
        <w:bidi w:val="0"/>
        <w:spacing w:line="360" w:lineRule="auto"/>
        <w:ind w:left="2241" w:leftChars="532" w:hanging="1124" w:hangingChars="400"/>
        <w:jc w:val="left"/>
        <w:textAlignment w:val="auto"/>
        <w:outlineLvl w:val="0"/>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项目名称</w:t>
      </w:r>
      <w:bookmarkEnd w:id="4"/>
      <w:bookmarkEnd w:id="5"/>
      <w:bookmarkEnd w:id="6"/>
      <w:bookmarkEnd w:id="7"/>
      <w:bookmarkStart w:id="8" w:name="_Toc245887527"/>
      <w:bookmarkStart w:id="9" w:name="_Toc246826094"/>
      <w:bookmarkStart w:id="10" w:name="_Toc246825789"/>
      <w:bookmarkStart w:id="11" w:name="_Toc245888260"/>
      <w:r>
        <w:rPr>
          <w:rFonts w:hint="eastAsia" w:ascii="宋体" w:hAnsi="宋体" w:eastAsia="宋体" w:cs="宋体"/>
          <w:b/>
          <w:bCs w:val="0"/>
          <w:color w:val="auto"/>
          <w:kern w:val="2"/>
          <w:sz w:val="28"/>
          <w:szCs w:val="28"/>
          <w:highlight w:val="none"/>
          <w:lang w:val="en-US" w:eastAsia="zh-CN" w:bidi="ar-SA"/>
        </w:rPr>
        <w:t>：</w:t>
      </w:r>
      <w:bookmarkEnd w:id="8"/>
      <w:bookmarkEnd w:id="9"/>
      <w:bookmarkEnd w:id="10"/>
      <w:bookmarkEnd w:id="11"/>
      <w:r>
        <w:rPr>
          <w:rFonts w:hint="eastAsia" w:ascii="宋体" w:hAnsi="宋体" w:eastAsia="宋体" w:cs="宋体"/>
          <w:b/>
          <w:bCs w:val="0"/>
          <w:color w:val="auto"/>
          <w:kern w:val="2"/>
          <w:sz w:val="28"/>
          <w:szCs w:val="28"/>
          <w:highlight w:val="none"/>
          <w:lang w:val="en-US" w:eastAsia="zh-CN" w:bidi="ar-SA"/>
        </w:rPr>
        <w:t>江东新区已完工未移交排水管网排查项目</w:t>
      </w: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ascii="宋体" w:hAnsi="Courier New" w:eastAsia="宋体" w:cs="Times New Roman"/>
          <w:color w:val="auto"/>
          <w:kern w:val="2"/>
          <w:sz w:val="21"/>
          <w:szCs w:val="20"/>
          <w:highlight w:val="none"/>
          <w:lang w:val="en-US" w:eastAsia="zh-CN" w:bidi="ar-SA"/>
        </w:rPr>
      </w:pPr>
    </w:p>
    <w:p>
      <w:pPr>
        <w:widowControl w:val="0"/>
        <w:bidi w:val="0"/>
        <w:jc w:val="both"/>
        <w:rPr>
          <w:rFonts w:ascii="宋体" w:hAnsi="Courier New" w:eastAsia="宋体" w:cs="Times New Roman"/>
          <w:color w:val="auto"/>
          <w:kern w:val="2"/>
          <w:sz w:val="21"/>
          <w:szCs w:val="20"/>
          <w:highlight w:val="none"/>
          <w:lang w:val="en-US" w:eastAsia="zh-CN" w:bidi="ar-SA"/>
        </w:rPr>
      </w:pPr>
    </w:p>
    <w:p>
      <w:pPr>
        <w:pageBreakBefore w:val="0"/>
        <w:widowControl w:val="0"/>
        <w:wordWrap/>
        <w:topLinePunct w:val="0"/>
        <w:bidi w:val="0"/>
        <w:spacing w:after="120" w:line="360" w:lineRule="auto"/>
        <w:jc w:val="both"/>
        <w:textAlignment w:val="auto"/>
        <w:rPr>
          <w:rFonts w:hint="eastAsia" w:ascii="宋体" w:hAnsi="宋体" w:eastAsia="宋体" w:cs="宋体"/>
          <w:b/>
          <w:color w:val="auto"/>
          <w:spacing w:val="40"/>
          <w:kern w:val="2"/>
          <w:sz w:val="21"/>
          <w:szCs w:val="21"/>
          <w:highlight w:val="none"/>
          <w:lang w:val="en-US" w:eastAsia="zh-CN" w:bidi="ar-SA"/>
        </w:rPr>
      </w:pPr>
    </w:p>
    <w:p>
      <w:pPr>
        <w:pageBreakBefore w:val="0"/>
        <w:widowControl w:val="0"/>
        <w:wordWrap/>
        <w:topLinePunct w:val="0"/>
        <w:bidi w:val="0"/>
        <w:spacing w:line="360" w:lineRule="auto"/>
        <w:jc w:val="both"/>
        <w:textAlignment w:val="auto"/>
        <w:rPr>
          <w:rFonts w:hint="eastAsia" w:ascii="Calibri" w:hAnsi="Calibri" w:eastAsia="宋体" w:cs="Calibri"/>
          <w:i/>
          <w:iCs/>
          <w:color w:val="auto"/>
          <w:kern w:val="2"/>
          <w:sz w:val="21"/>
          <w:szCs w:val="21"/>
          <w:highlight w:val="none"/>
          <w:lang w:val="en-US" w:eastAsia="zh-CN" w:bidi="ar-SA"/>
        </w:rPr>
      </w:pPr>
    </w:p>
    <w:p>
      <w:pPr>
        <w:widowControl w:val="0"/>
        <w:snapToGrid w:val="0"/>
        <w:spacing w:after="120" w:line="240" w:lineRule="auto"/>
        <w:ind w:left="0" w:leftChars="0" w:firstLine="0" w:firstLineChars="0"/>
        <w:jc w:val="both"/>
        <w:rPr>
          <w:rFonts w:hint="eastAsia" w:ascii="仿宋_GB2312" w:hAnsi="Times New Roman" w:eastAsia="仿宋_GB2312" w:cs="Times New Roman"/>
          <w:bCs/>
          <w:color w:val="auto"/>
          <w:kern w:val="2"/>
          <w:sz w:val="21"/>
          <w:szCs w:val="21"/>
          <w:highlight w:val="none"/>
          <w:lang w:val="en-US" w:eastAsia="zh-CN" w:bidi="ar-SA"/>
        </w:rPr>
      </w:pPr>
    </w:p>
    <w:p>
      <w:pPr>
        <w:widowControl w:val="0"/>
        <w:snapToGrid w:val="0"/>
        <w:spacing w:after="120" w:line="240" w:lineRule="auto"/>
        <w:ind w:left="420" w:leftChars="200" w:firstLine="420" w:firstLineChars="200"/>
        <w:jc w:val="both"/>
        <w:rPr>
          <w:rFonts w:hint="eastAsia" w:ascii="仿宋_GB2312" w:hAnsi="Times New Roman" w:eastAsia="仿宋_GB2312" w:cs="Times New Roman"/>
          <w:bCs/>
          <w:color w:val="auto"/>
          <w:kern w:val="2"/>
          <w:sz w:val="21"/>
          <w:szCs w:val="21"/>
          <w:highlight w:val="none"/>
          <w:lang w:val="en-US" w:eastAsia="zh-CN" w:bidi="ar-SA"/>
        </w:rPr>
      </w:pPr>
    </w:p>
    <w:p>
      <w:pPr>
        <w:widowControl w:val="0"/>
        <w:snapToGrid w:val="0"/>
        <w:spacing w:after="120" w:line="240" w:lineRule="auto"/>
        <w:ind w:left="420" w:leftChars="200" w:firstLine="420" w:firstLineChars="200"/>
        <w:jc w:val="both"/>
        <w:rPr>
          <w:rFonts w:hint="eastAsia" w:ascii="仿宋_GB2312" w:hAnsi="Times New Roman" w:eastAsia="仿宋_GB2312" w:cs="Times New Roman"/>
          <w:bCs/>
          <w:color w:val="auto"/>
          <w:kern w:val="2"/>
          <w:sz w:val="21"/>
          <w:szCs w:val="21"/>
          <w:highlight w:val="none"/>
          <w:lang w:val="en-US" w:eastAsia="zh-CN" w:bidi="ar-SA"/>
        </w:rPr>
      </w:pPr>
    </w:p>
    <w:p>
      <w:pPr>
        <w:pageBreakBefore w:val="0"/>
        <w:wordWrap/>
        <w:topLinePunct w:val="0"/>
        <w:bidi w:val="0"/>
        <w:adjustRightInd w:val="0"/>
        <w:snapToGrid w:val="0"/>
        <w:spacing w:line="360" w:lineRule="auto"/>
        <w:jc w:val="center"/>
        <w:textAlignment w:val="auto"/>
        <w:rPr>
          <w:rFonts w:hint="eastAsia" w:ascii="宋体" w:hAnsi="宋体" w:eastAsia="宋体" w:cs="宋体"/>
          <w:b/>
          <w:color w:val="auto"/>
          <w:spacing w:val="40"/>
          <w:sz w:val="21"/>
          <w:szCs w:val="21"/>
          <w:highlight w:val="none"/>
        </w:rPr>
      </w:pPr>
    </w:p>
    <w:p>
      <w:pPr>
        <w:pageBreakBefore w:val="0"/>
        <w:wordWrap/>
        <w:topLinePunct w:val="0"/>
        <w:bidi w:val="0"/>
        <w:adjustRightInd w:val="0"/>
        <w:snapToGrid w:val="0"/>
        <w:spacing w:line="360" w:lineRule="auto"/>
        <w:jc w:val="center"/>
        <w:textAlignment w:val="auto"/>
        <w:rPr>
          <w:rFonts w:hint="eastAsia" w:ascii="宋体" w:hAnsi="宋体" w:eastAsia="宋体" w:cs="宋体"/>
          <w:b/>
          <w:color w:val="auto"/>
          <w:spacing w:val="40"/>
          <w:sz w:val="21"/>
          <w:szCs w:val="21"/>
          <w:highlight w:val="none"/>
        </w:rPr>
      </w:pPr>
    </w:p>
    <w:p>
      <w:pPr>
        <w:pageBreakBefore w:val="0"/>
        <w:widowControl w:val="0"/>
        <w:wordWrap/>
        <w:topLinePunct w:val="0"/>
        <w:bidi w:val="0"/>
        <w:adjustRightInd w:val="0"/>
        <w:snapToGrid w:val="0"/>
        <w:spacing w:line="360" w:lineRule="auto"/>
        <w:jc w:val="center"/>
        <w:textAlignment w:val="auto"/>
        <w:outlineLvl w:val="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spacing w:val="40"/>
          <w:kern w:val="2"/>
          <w:sz w:val="28"/>
          <w:szCs w:val="28"/>
          <w:highlight w:val="none"/>
          <w:lang w:val="en-US" w:eastAsia="zh-CN" w:bidi="ar-SA"/>
        </w:rPr>
        <w:t xml:space="preserve">2024 年 06月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21"/>
          <w:szCs w:val="21"/>
          <w:highlight w:val="none"/>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pPr>
        <w:widowControl w:val="0"/>
        <w:bidi w:val="0"/>
        <w:jc w:val="both"/>
        <w:rPr>
          <w:rFonts w:hint="eastAsia" w:ascii="宋体" w:hAnsi="宋体" w:eastAsia="宋体" w:cs="宋体"/>
          <w:b/>
          <w:bCs w:val="0"/>
          <w:color w:val="auto"/>
          <w:kern w:val="2"/>
          <w:sz w:val="21"/>
          <w:szCs w:val="21"/>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fldChar w:fldCharType="begin"/>
      </w:r>
      <w:r>
        <w:rPr>
          <w:rFonts w:hint="eastAsia" w:ascii="宋体" w:hAnsi="宋体" w:eastAsia="宋体" w:cs="宋体"/>
          <w:b/>
          <w:bCs w:val="0"/>
          <w:color w:val="auto"/>
          <w:kern w:val="2"/>
          <w:sz w:val="24"/>
          <w:szCs w:val="24"/>
          <w:highlight w:val="none"/>
          <w:u w:val="none"/>
          <w:lang w:val="en-US" w:eastAsia="zh-CN" w:bidi="ar-SA"/>
        </w:rPr>
        <w:instrText xml:space="preserve"> TOC \o "1-3" \h \z \u </w:instrText>
      </w:r>
      <w:r>
        <w:rPr>
          <w:rFonts w:hint="eastAsia" w:ascii="宋体" w:hAnsi="宋体" w:eastAsia="宋体" w:cs="宋体"/>
          <w:b/>
          <w:bCs w:val="0"/>
          <w:color w:val="auto"/>
          <w:kern w:val="2"/>
          <w:sz w:val="24"/>
          <w:szCs w:val="24"/>
          <w:highlight w:val="none"/>
          <w:u w:val="none"/>
          <w:lang w:val="en-US" w:eastAsia="zh-CN" w:bidi="ar-SA"/>
        </w:rPr>
        <w:fldChar w:fldCharType="separat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fldChar w:fldCharType="begin"/>
      </w:r>
      <w:r>
        <w:rPr>
          <w:rFonts w:hint="eastAsia" w:ascii="宋体" w:hAnsi="宋体" w:eastAsia="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"_Toc246826096#_Toc246826096" </w:instrText>
      </w:r>
      <w:r>
        <w:rPr>
          <w:rFonts w:hint="eastAsia" w:ascii="宋体" w:hAnsi="宋体" w:eastAsia="宋体" w:cs="宋体"/>
          <w:b/>
          <w:bCs w:val="0"/>
          <w:color w:val="auto"/>
          <w:kern w:val="2"/>
          <w:sz w:val="24"/>
          <w:szCs w:val="24"/>
          <w:highlight w:val="none"/>
          <w:u w:val="none"/>
          <w:lang w:val="en-US" w:eastAsia="zh-CN" w:bidi="ar-SA"/>
        </w:rPr>
        <w:fldChar w:fldCharType="separate"/>
      </w:r>
      <w:r>
        <w:rPr>
          <w:rFonts w:hint="eastAsia" w:ascii="宋体" w:hAnsi="宋体" w:eastAsia="宋体" w:cs="宋体"/>
          <w:b/>
          <w:bCs w:val="0"/>
          <w:color w:val="auto"/>
          <w:kern w:val="2"/>
          <w:sz w:val="24"/>
          <w:szCs w:val="24"/>
          <w:highlight w:val="none"/>
          <w:u w:val="none"/>
          <w:lang w:val="en-US" w:eastAsia="zh-CN" w:bidi="ar-SA"/>
        </w:rPr>
        <w:t>第一章  比选公告……………………………………………………</w:t>
      </w:r>
      <w:r>
        <w:rPr>
          <w:rFonts w:hint="eastAsia" w:ascii="宋体" w:hAnsi="宋体" w:eastAsia="宋体" w:cs="宋体"/>
          <w:b/>
          <w:bCs w:val="0"/>
          <w:color w:val="auto"/>
          <w:kern w:val="2"/>
          <w:sz w:val="24"/>
          <w:szCs w:val="24"/>
          <w:highlight w:val="none"/>
          <w:u w:val="none"/>
          <w:lang w:val="en-US" w:eastAsia="zh-CN" w:bidi="ar-SA"/>
        </w:rPr>
        <w:fldChar w:fldCharType="end"/>
      </w:r>
      <w:r>
        <w:rPr>
          <w:rFonts w:hint="eastAsia" w:ascii="宋体" w:hAnsi="宋体" w:eastAsia="宋体" w:cs="宋体"/>
          <w:b/>
          <w:bCs w:val="0"/>
          <w:color w:val="auto"/>
          <w:kern w:val="2"/>
          <w:sz w:val="24"/>
          <w:szCs w:val="24"/>
          <w:highlight w:val="none"/>
          <w:u w:val="none"/>
          <w:lang w:val="en-US" w:eastAsia="zh-CN" w:bidi="ar-SA"/>
        </w:rPr>
        <w:t>……3-4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fldChar w:fldCharType="begin"/>
      </w:r>
      <w:r>
        <w:rPr>
          <w:rFonts w:hint="eastAsia" w:ascii="宋体" w:hAnsi="宋体" w:eastAsia="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"_Toc246826105#_Toc246826105" </w:instrText>
      </w:r>
      <w:r>
        <w:rPr>
          <w:rFonts w:hint="eastAsia" w:ascii="宋体" w:hAnsi="宋体" w:eastAsia="宋体" w:cs="宋体"/>
          <w:b/>
          <w:bCs w:val="0"/>
          <w:color w:val="auto"/>
          <w:kern w:val="2"/>
          <w:sz w:val="24"/>
          <w:szCs w:val="24"/>
          <w:highlight w:val="none"/>
          <w:u w:val="none"/>
          <w:lang w:val="en-US" w:eastAsia="zh-CN" w:bidi="ar-SA"/>
        </w:rPr>
        <w:fldChar w:fldCharType="separate"/>
      </w:r>
      <w:r>
        <w:rPr>
          <w:rFonts w:hint="eastAsia" w:ascii="宋体" w:hAnsi="宋体" w:eastAsia="宋体" w:cs="宋体"/>
          <w:b/>
          <w:bCs w:val="0"/>
          <w:color w:val="auto"/>
          <w:kern w:val="2"/>
          <w:sz w:val="24"/>
          <w:szCs w:val="24"/>
          <w:highlight w:val="none"/>
          <w:u w:val="none"/>
          <w:lang w:val="en-US" w:eastAsia="zh-CN" w:bidi="ar-SA"/>
        </w:rPr>
        <w:t>第二章  采购需求……………………………………………………</w:t>
      </w:r>
      <w:r>
        <w:rPr>
          <w:rFonts w:hint="eastAsia" w:ascii="宋体" w:hAnsi="宋体" w:eastAsia="宋体" w:cs="宋体"/>
          <w:b/>
          <w:bCs w:val="0"/>
          <w:color w:val="auto"/>
          <w:kern w:val="2"/>
          <w:sz w:val="24"/>
          <w:szCs w:val="24"/>
          <w:highlight w:val="none"/>
          <w:u w:val="none"/>
          <w:lang w:val="en-US" w:eastAsia="zh-CN" w:bidi="ar-SA"/>
        </w:rPr>
        <w:fldChar w:fldCharType="end"/>
      </w:r>
      <w:r>
        <w:rPr>
          <w:rFonts w:hint="eastAsia" w:ascii="宋体" w:hAnsi="宋体" w:eastAsia="宋体" w:cs="宋体"/>
          <w:b/>
          <w:bCs w:val="0"/>
          <w:color w:val="auto"/>
          <w:kern w:val="2"/>
          <w:sz w:val="24"/>
          <w:szCs w:val="24"/>
          <w:highlight w:val="none"/>
          <w:u w:val="none"/>
          <w:lang w:val="en-US" w:eastAsia="zh-CN" w:bidi="ar-SA"/>
        </w:rPr>
        <w:t>……5-7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fldChar w:fldCharType="begin"/>
      </w:r>
      <w:r>
        <w:rPr>
          <w:rFonts w:hint="eastAsia" w:ascii="宋体" w:hAnsi="宋体" w:eastAsia="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eastAsia="宋体" w:cs="宋体"/>
          <w:b/>
          <w:bCs w:val="0"/>
          <w:color w:val="auto"/>
          <w:kern w:val="2"/>
          <w:sz w:val="24"/>
          <w:szCs w:val="24"/>
          <w:highlight w:val="none"/>
          <w:u w:val="none"/>
          <w:lang w:val="en-US" w:eastAsia="zh-CN" w:bidi="ar-SA"/>
        </w:rPr>
        <w:fldChar w:fldCharType="separate"/>
      </w:r>
      <w:r>
        <w:rPr>
          <w:rFonts w:hint="eastAsia" w:ascii="宋体" w:hAnsi="宋体" w:eastAsia="宋体" w:cs="宋体"/>
          <w:b/>
          <w:bCs w:val="0"/>
          <w:color w:val="auto"/>
          <w:kern w:val="2"/>
          <w:sz w:val="24"/>
          <w:szCs w:val="24"/>
          <w:highlight w:val="none"/>
          <w:u w:val="none"/>
          <w:lang w:val="en-US" w:eastAsia="zh-CN" w:bidi="ar-SA"/>
        </w:rPr>
        <w:t>第三章  供应商须知………………………………………</w:t>
      </w:r>
      <w:r>
        <w:rPr>
          <w:rFonts w:hint="eastAsia" w:ascii="宋体" w:hAnsi="宋体" w:eastAsia="宋体" w:cs="宋体"/>
          <w:b/>
          <w:bCs w:val="0"/>
          <w:color w:val="auto"/>
          <w:kern w:val="2"/>
          <w:sz w:val="24"/>
          <w:szCs w:val="24"/>
          <w:highlight w:val="none"/>
          <w:u w:val="none"/>
          <w:lang w:val="en-US" w:eastAsia="zh-CN" w:bidi="ar-SA"/>
        </w:rPr>
        <w:fldChar w:fldCharType="end"/>
      </w:r>
      <w:r>
        <w:rPr>
          <w:rFonts w:hint="eastAsia" w:ascii="宋体" w:hAnsi="宋体" w:eastAsia="宋体" w:cs="宋体"/>
          <w:b/>
          <w:bCs w:val="0"/>
          <w:color w:val="auto"/>
          <w:kern w:val="2"/>
          <w:sz w:val="24"/>
          <w:szCs w:val="24"/>
          <w:highlight w:val="none"/>
          <w:u w:val="none"/>
          <w:lang w:val="en-US" w:eastAsia="zh-CN" w:bidi="ar-SA"/>
        </w:rPr>
        <w:t>………………</w:t>
      </w:r>
      <w:r>
        <w:rPr>
          <w:rFonts w:hint="eastAsia" w:ascii="宋体" w:hAnsi="宋体" w:eastAsia="宋体" w:cs="宋体"/>
          <w:b/>
          <w:bCs w:val="0"/>
          <w:color w:val="auto"/>
          <w:kern w:val="2"/>
          <w:sz w:val="24"/>
          <w:szCs w:val="24"/>
          <w:highlight w:val="none"/>
          <w:u w:val="none"/>
          <w:lang w:val="en-US" w:eastAsia="zh-CN" w:bidi="ar-SA"/>
        </w:rPr>
        <w:fldChar w:fldCharType="end"/>
      </w:r>
      <w:r>
        <w:rPr>
          <w:rFonts w:hint="eastAsia" w:ascii="宋体" w:hAnsi="宋体" w:eastAsia="宋体" w:cs="宋体"/>
          <w:b/>
          <w:bCs w:val="0"/>
          <w:color w:val="auto"/>
          <w:kern w:val="2"/>
          <w:sz w:val="24"/>
          <w:szCs w:val="24"/>
          <w:highlight w:val="none"/>
          <w:u w:val="none"/>
          <w:lang w:val="en-US" w:eastAsia="zh-CN" w:bidi="ar-SA"/>
        </w:rPr>
        <w:t>8-22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fldChar w:fldCharType="begin"/>
      </w:r>
      <w:r>
        <w:rPr>
          <w:rFonts w:hint="eastAsia" w:ascii="宋体" w:hAnsi="宋体" w:eastAsia="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"_Toc246826115#_Toc246826115" </w:instrText>
      </w:r>
      <w:r>
        <w:rPr>
          <w:rFonts w:hint="eastAsia" w:ascii="宋体" w:hAnsi="宋体" w:eastAsia="宋体" w:cs="宋体"/>
          <w:b/>
          <w:bCs w:val="0"/>
          <w:color w:val="auto"/>
          <w:kern w:val="2"/>
          <w:sz w:val="24"/>
          <w:szCs w:val="24"/>
          <w:highlight w:val="none"/>
          <w:u w:val="none"/>
          <w:lang w:val="en-US" w:eastAsia="zh-CN" w:bidi="ar-SA"/>
        </w:rPr>
        <w:fldChar w:fldCharType="separate"/>
      </w:r>
      <w:r>
        <w:rPr>
          <w:rFonts w:hint="eastAsia" w:ascii="宋体" w:hAnsi="宋体" w:eastAsia="宋体" w:cs="宋体"/>
          <w:b/>
          <w:bCs w:val="0"/>
          <w:color w:val="auto"/>
          <w:kern w:val="2"/>
          <w:sz w:val="24"/>
          <w:szCs w:val="24"/>
          <w:highlight w:val="none"/>
          <w:u w:val="none"/>
          <w:lang w:val="en-US" w:eastAsia="zh-CN" w:bidi="ar-SA"/>
        </w:rPr>
        <w:t>第四章  审查标准和评审标准………………………</w:t>
      </w:r>
      <w:r>
        <w:rPr>
          <w:rFonts w:hint="eastAsia" w:ascii="宋体" w:hAnsi="宋体" w:eastAsia="宋体" w:cs="宋体"/>
          <w:b/>
          <w:bCs w:val="0"/>
          <w:color w:val="auto"/>
          <w:kern w:val="2"/>
          <w:sz w:val="24"/>
          <w:szCs w:val="24"/>
          <w:highlight w:val="none"/>
          <w:u w:val="none"/>
          <w:lang w:val="en-US" w:eastAsia="zh-CN" w:bidi="ar-SA"/>
        </w:rPr>
        <w:fldChar w:fldCharType="end"/>
      </w:r>
      <w:r>
        <w:rPr>
          <w:rFonts w:hint="eastAsia" w:ascii="宋体" w:hAnsi="宋体" w:eastAsia="宋体" w:cs="宋体"/>
          <w:b/>
          <w:bCs w:val="0"/>
          <w:color w:val="auto"/>
          <w:kern w:val="2"/>
          <w:sz w:val="24"/>
          <w:szCs w:val="24"/>
          <w:highlight w:val="none"/>
          <w:u w:val="none"/>
          <w:lang w:val="en-US" w:eastAsia="zh-CN" w:bidi="ar-SA"/>
        </w:rPr>
        <w:t>……………………23-26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fldChar w:fldCharType="begin"/>
      </w:r>
      <w:r>
        <w:rPr>
          <w:rFonts w:hint="eastAsia" w:ascii="宋体" w:hAnsi="宋体" w:eastAsia="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宋体" w:hAnsi="宋体" w:eastAsia="宋体" w:cs="宋体"/>
          <w:b/>
          <w:bCs w:val="0"/>
          <w:color w:val="auto"/>
          <w:kern w:val="2"/>
          <w:sz w:val="24"/>
          <w:szCs w:val="24"/>
          <w:highlight w:val="none"/>
          <w:u w:val="none"/>
          <w:lang w:val="en-US" w:eastAsia="zh-CN" w:bidi="ar-SA"/>
        </w:rPr>
        <w:fldChar w:fldCharType="separate"/>
      </w:r>
      <w:r>
        <w:rPr>
          <w:rFonts w:hint="eastAsia" w:ascii="宋体" w:hAnsi="宋体" w:eastAsia="宋体" w:cs="宋体"/>
          <w:b/>
          <w:bCs w:val="0"/>
          <w:color w:val="auto"/>
          <w:kern w:val="2"/>
          <w:sz w:val="24"/>
          <w:szCs w:val="24"/>
          <w:highlight w:val="none"/>
          <w:u w:val="none"/>
          <w:lang w:val="en-US" w:eastAsia="zh-CN" w:bidi="ar-SA"/>
        </w:rPr>
        <w:t>第五章  采购合同格式……………………………………………………</w:t>
      </w:r>
      <w:r>
        <w:rPr>
          <w:rFonts w:hint="eastAsia" w:ascii="宋体" w:hAnsi="宋体" w:eastAsia="宋体" w:cs="宋体"/>
          <w:b/>
          <w:bCs w:val="0"/>
          <w:color w:val="auto"/>
          <w:kern w:val="2"/>
          <w:sz w:val="24"/>
          <w:szCs w:val="24"/>
          <w:highlight w:val="none"/>
          <w:u w:val="none"/>
          <w:lang w:val="en-US" w:eastAsia="zh-CN" w:bidi="ar-SA"/>
        </w:rPr>
        <w:fldChar w:fldCharType="end"/>
      </w:r>
      <w:r>
        <w:rPr>
          <w:rFonts w:hint="eastAsia" w:ascii="宋体" w:hAnsi="宋体" w:eastAsia="宋体" w:cs="宋体"/>
          <w:b/>
          <w:bCs w:val="0"/>
          <w:color w:val="auto"/>
          <w:kern w:val="2"/>
          <w:sz w:val="24"/>
          <w:szCs w:val="24"/>
          <w:highlight w:val="none"/>
          <w:u w:val="none"/>
          <w:lang w:val="en-US" w:eastAsia="zh-CN" w:bidi="ar-SA"/>
        </w:rPr>
        <w:t>27-27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fldChar w:fldCharType="begin"/>
      </w:r>
      <w:r>
        <w:rPr>
          <w:rFonts w:hint="eastAsia" w:ascii="宋体" w:hAnsi="宋体" w:eastAsia="宋体" w:cs="宋体"/>
          <w:b/>
          <w:bCs w:val="0"/>
          <w:color w:val="auto"/>
          <w:kern w:val="2"/>
          <w:sz w:val="24"/>
          <w:szCs w:val="24"/>
          <w:highlight w:val="none"/>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eastAsia="宋体" w:cs="宋体"/>
          <w:b/>
          <w:bCs w:val="0"/>
          <w:color w:val="auto"/>
          <w:kern w:val="2"/>
          <w:sz w:val="24"/>
          <w:szCs w:val="24"/>
          <w:highlight w:val="none"/>
          <w:u w:val="none"/>
          <w:lang w:val="en-US" w:eastAsia="zh-CN" w:bidi="ar-SA"/>
        </w:rPr>
        <w:fldChar w:fldCharType="separate"/>
      </w:r>
      <w:r>
        <w:rPr>
          <w:rFonts w:hint="eastAsia" w:ascii="宋体" w:hAnsi="宋体" w:eastAsia="宋体" w:cs="宋体"/>
          <w:b/>
          <w:bCs w:val="0"/>
          <w:color w:val="auto"/>
          <w:kern w:val="2"/>
          <w:sz w:val="24"/>
          <w:szCs w:val="24"/>
          <w:highlight w:val="none"/>
          <w:u w:val="none"/>
          <w:lang w:val="en-US" w:eastAsia="zh-CN" w:bidi="ar-SA"/>
        </w:rPr>
        <w:t>第六章  响应文件格式及附件……………………………………………</w:t>
      </w:r>
      <w:r>
        <w:rPr>
          <w:rFonts w:hint="eastAsia" w:ascii="宋体" w:hAnsi="宋体" w:eastAsia="宋体" w:cs="宋体"/>
          <w:b/>
          <w:bCs w:val="0"/>
          <w:color w:val="auto"/>
          <w:kern w:val="2"/>
          <w:sz w:val="24"/>
          <w:szCs w:val="24"/>
          <w:highlight w:val="none"/>
          <w:u w:val="none"/>
          <w:lang w:val="en-US" w:eastAsia="zh-CN" w:bidi="ar-SA"/>
        </w:rPr>
        <w:fldChar w:fldCharType="end"/>
      </w:r>
      <w:r>
        <w:rPr>
          <w:rFonts w:hint="eastAsia" w:ascii="宋体" w:hAnsi="宋体" w:eastAsia="宋体" w:cs="宋体"/>
          <w:b/>
          <w:bCs w:val="0"/>
          <w:color w:val="auto"/>
          <w:kern w:val="2"/>
          <w:sz w:val="24"/>
          <w:szCs w:val="24"/>
          <w:highlight w:val="none"/>
          <w:u w:val="none"/>
          <w:lang w:val="en-US" w:eastAsia="zh-CN" w:bidi="ar-SA"/>
        </w:rPr>
        <w:t>28-36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u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widowControl w:val="0"/>
        <w:bidi w:val="0"/>
        <w:jc w:val="both"/>
        <w:rPr>
          <w:rFonts w:hint="eastAsia" w:ascii="宋体" w:hAnsi="Courier New" w:eastAsia="宋体" w:cs="Times New Roman"/>
          <w:color w:val="auto"/>
          <w:kern w:val="2"/>
          <w:sz w:val="21"/>
          <w:szCs w:val="20"/>
          <w:highlight w:val="none"/>
          <w:lang w:val="en-US" w:eastAsia="zh-CN" w:bidi="ar-SA"/>
        </w:rPr>
      </w:pPr>
    </w:p>
    <w:p>
      <w:pPr>
        <w:keepNext/>
        <w:keepLines/>
        <w:widowControl w:val="0"/>
        <w:bidi w:val="0"/>
        <w:spacing w:before="260" w:after="260" w:line="416" w:lineRule="auto"/>
        <w:jc w:val="both"/>
        <w:outlineLvl w:val="1"/>
        <w:rPr>
          <w:rFonts w:hint="default" w:ascii="Arial" w:hAnsi="Arial" w:eastAsia="黑体" w:cs="Times New Roman"/>
          <w:b/>
          <w:bCs/>
          <w:color w:val="auto"/>
          <w:kern w:val="2"/>
          <w:sz w:val="32"/>
          <w:szCs w:val="32"/>
          <w:highlight w:val="none"/>
          <w:lang w:val="en-US" w:eastAsia="zh-CN" w:bidi="ar-SA"/>
        </w:rPr>
      </w:pPr>
      <w:r>
        <w:rPr>
          <w:rFonts w:hint="eastAsia" w:ascii="Arial" w:hAnsi="Arial" w:eastAsia="黑体" w:cs="Times New Roman"/>
          <w:b/>
          <w:bCs/>
          <w:color w:val="auto"/>
          <w:kern w:val="2"/>
          <w:sz w:val="32"/>
          <w:szCs w:val="32"/>
          <w:highlight w:val="none"/>
          <w:lang w:val="en-US" w:eastAsia="zh-CN" w:bidi="ar-SA"/>
        </w:rPr>
        <w:t>第一章  比选公告</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val="0"/>
          <w:color w:val="auto"/>
          <w:sz w:val="21"/>
          <w:szCs w:val="21"/>
          <w:highlight w:val="none"/>
        </w:rPr>
      </w:pPr>
      <w:bookmarkStart w:id="97" w:name="_GoBack"/>
      <w:r>
        <w:rPr>
          <w:rFonts w:hint="eastAsia" w:ascii="宋体" w:hAnsi="宋体" w:eastAsia="宋体" w:cs="宋体"/>
          <w:b/>
          <w:bCs w:val="0"/>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1、项目编号：zfcg-fw-0521-001</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2、项目名称：江东新区已完工未移交排水管网排查项目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3、预算金额：人民币1080000元(不含108万元，超出最高限价将作无效响应处理)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4、采购需求一览表：详细需求详见第二章《采购需求》</w:t>
      </w:r>
    </w:p>
    <w:p>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eastAsia="宋体" w:cs="Times New Roman"/>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服务期限</w:t>
      </w:r>
      <w:bookmarkStart w:id="12" w:name="_Toc28359080"/>
      <w:bookmarkStart w:id="13" w:name="_Toc28359003"/>
      <w:bookmarkStart w:id="14" w:name="_Toc35393791"/>
      <w:bookmarkStart w:id="15" w:name="_Toc35393622"/>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自合同签订起20日历天内完成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6、服务地点：海口江东新区</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二、供应商的资格要求：</w:t>
      </w:r>
      <w:bookmarkEnd w:id="12"/>
      <w:bookmarkEnd w:id="13"/>
      <w:bookmarkEnd w:id="14"/>
      <w:bookmarkEnd w:id="15"/>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bookmarkStart w:id="16" w:name="_Toc28359081"/>
      <w:bookmarkStart w:id="17" w:name="_Toc35393623"/>
      <w:bookmarkStart w:id="18" w:name="_Toc35393792"/>
      <w:bookmarkStart w:id="19" w:name="_Toc28359004"/>
      <w:r>
        <w:rPr>
          <w:rFonts w:hint="eastAsia" w:ascii="宋体" w:hAnsi="宋体" w:eastAsia="宋体" w:cs="宋体"/>
          <w:b w:val="0"/>
          <w:bCs/>
          <w:color w:val="auto"/>
          <w:kern w:val="2"/>
          <w:sz w:val="21"/>
          <w:szCs w:val="21"/>
          <w:highlight w:val="none"/>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2、落实政府采购政策需满足的资格要求：无；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3、符合采购人根据采购项目实际情况要求的特定资格条件和其他法律法规规定的条件，具体如下：</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3.1、供应商应具有合法有效的乙级或以上测绘资质证书；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3.2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3.3本项目不接受联合体响应。</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w:t>
      </w:r>
      <w:bookmarkEnd w:id="16"/>
      <w:bookmarkEnd w:id="17"/>
      <w:bookmarkEnd w:id="18"/>
      <w:bookmarkEnd w:id="19"/>
      <w:r>
        <w:rPr>
          <w:rFonts w:hint="eastAsia" w:ascii="宋体" w:hAnsi="宋体" w:eastAsia="宋体" w:cs="宋体"/>
          <w:b/>
          <w:bCs w:val="0"/>
          <w:color w:val="auto"/>
          <w:kern w:val="2"/>
          <w:sz w:val="21"/>
          <w:szCs w:val="21"/>
          <w:highlight w:val="none"/>
          <w:lang w:val="en-US" w:eastAsia="zh-CN" w:bidi="ar-SA"/>
        </w:rPr>
        <w:t>采购文件获取办法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1、采购比选文件获取时间：2024年06月07日00时00分至2024年06月12日23点59分（北京时间）；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2、采购比选文件获取方式：请有意向参与本项目采购活动的单位在比选公告界面自行下载比选文件。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宋体" w:hAnsi="宋体" w:eastAsia="宋体" w:cs="宋体"/>
          <w:b/>
          <w:bCs w:val="0"/>
          <w:color w:val="auto"/>
          <w:kern w:val="2"/>
          <w:sz w:val="21"/>
          <w:szCs w:val="21"/>
          <w:highlight w:val="none"/>
          <w:lang w:val="en-US" w:eastAsia="zh-CN" w:bidi="ar-SA"/>
        </w:rPr>
      </w:pPr>
      <w:bookmarkStart w:id="20" w:name="_Toc28359085"/>
      <w:bookmarkStart w:id="21" w:name="_Toc28359008"/>
      <w:bookmarkStart w:id="22" w:name="_Toc35393627"/>
      <w:bookmarkStart w:id="23" w:name="_Toc35393796"/>
      <w:r>
        <w:rPr>
          <w:rFonts w:hint="eastAsia" w:ascii="宋体" w:hAnsi="宋体" w:eastAsia="宋体" w:cs="宋体"/>
          <w:b/>
          <w:bCs w:val="0"/>
          <w:color w:val="auto"/>
          <w:kern w:val="2"/>
          <w:sz w:val="21"/>
          <w:szCs w:val="21"/>
          <w:highlight w:val="none"/>
          <w:lang w:val="en-US" w:eastAsia="zh-CN" w:bidi="ar-SA"/>
        </w:rPr>
        <w:t>四、响应文件递交截止时间、开标时间及地点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bookmarkStart w:id="24" w:name="_Toc35393625"/>
      <w:bookmarkStart w:id="25" w:name="_Toc35393794"/>
      <w:bookmarkStart w:id="26" w:name="_Toc28359007"/>
      <w:bookmarkStart w:id="27" w:name="_Toc28359084"/>
      <w:r>
        <w:rPr>
          <w:rFonts w:hint="eastAsia" w:ascii="宋体" w:hAnsi="宋体" w:eastAsia="宋体" w:cs="宋体"/>
          <w:bCs/>
          <w:color w:val="auto"/>
          <w:szCs w:val="21"/>
          <w:highlight w:val="none"/>
        </w:rPr>
        <w:t>1、响应文件递交截止时间:202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13</w:t>
      </w:r>
      <w:r>
        <w:rPr>
          <w:rFonts w:hint="eastAsia" w:ascii="宋体" w:hAnsi="宋体" w:eastAsia="宋体" w:cs="宋体"/>
          <w:bCs/>
          <w:color w:val="auto"/>
          <w:szCs w:val="21"/>
          <w:highlight w:val="none"/>
        </w:rPr>
        <w:t>日下午15:00（北京时间）；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2、开标时间:与响应文件递交截止时间为同一时间；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3、响应文件递交及开标地点:海口江东新区管理局</w:t>
      </w:r>
      <w:r>
        <w:rPr>
          <w:rFonts w:hint="eastAsia" w:ascii="宋体" w:hAnsi="宋体" w:eastAsia="宋体" w:cs="宋体"/>
          <w:bCs/>
          <w:color w:val="auto"/>
          <w:szCs w:val="21"/>
          <w:highlight w:val="none"/>
          <w:lang w:val="en-US" w:eastAsia="zh-CN"/>
        </w:rPr>
        <w:t>B406</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4、逾期提交/送达或者未送达指定地点的响应文件，视为无效响应文件不予接收。</w:t>
      </w:r>
      <w:r>
        <w:rPr>
          <w:rFonts w:hint="eastAsia" w:ascii="宋体" w:hAnsi="宋体" w:eastAsia="宋体" w:cs="宋体"/>
          <w:b/>
          <w:bCs w:val="0"/>
          <w:color w:val="auto"/>
          <w:kern w:val="2"/>
          <w:sz w:val="21"/>
          <w:szCs w:val="21"/>
          <w:highlight w:val="none"/>
          <w:lang w:val="en-US" w:eastAsia="zh-CN" w:bidi="ar-SA"/>
        </w:rPr>
        <w:tab/>
      </w:r>
      <w:r>
        <w:rPr>
          <w:rFonts w:hint="eastAsia" w:ascii="宋体" w:hAnsi="宋体" w:eastAsia="宋体" w:cs="宋体"/>
          <w:b/>
          <w:bCs w:val="0"/>
          <w:color w:val="auto"/>
          <w:kern w:val="2"/>
          <w:sz w:val="21"/>
          <w:szCs w:val="21"/>
          <w:highlight w:val="none"/>
          <w:lang w:val="en-US" w:eastAsia="zh-CN" w:bidi="ar-SA"/>
        </w:rPr>
        <w:t>五、采购信息发布媒体</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1、本项目采购信息指定发布媒体为海口江东新区管理局官网；</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2、有关本项目采购比选文件的补遗、澄清及变更信息以上述网站公告与下载为准，采购比选文件与更正公告的内容相互矛盾时，以最后发出的更正公告内容为准。</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六、公告期限</w:t>
      </w:r>
    </w:p>
    <w:bookmarkEnd w:id="24"/>
    <w:bookmarkEnd w:id="25"/>
    <w:bookmarkEnd w:id="26"/>
    <w:bookmarkEnd w:id="27"/>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bCs w:val="0"/>
          <w:color w:val="auto"/>
          <w:kern w:val="2"/>
          <w:sz w:val="21"/>
          <w:szCs w:val="21"/>
          <w:highlight w:val="none"/>
          <w:lang w:val="en-US" w:eastAsia="zh-CN" w:bidi="ar-SA"/>
        </w:rPr>
      </w:pPr>
      <w:bookmarkStart w:id="28" w:name="_Toc35393795"/>
      <w:bookmarkStart w:id="29" w:name="_Toc35393626"/>
      <w:r>
        <w:rPr>
          <w:rFonts w:hint="eastAsia" w:ascii="宋体" w:hAnsi="宋体" w:eastAsia="宋体" w:cs="宋体"/>
          <w:bCs/>
          <w:color w:val="auto"/>
          <w:kern w:val="2"/>
          <w:sz w:val="21"/>
          <w:szCs w:val="21"/>
          <w:highlight w:val="none"/>
          <w:lang w:val="en-US" w:eastAsia="zh-CN" w:bidi="ar-SA"/>
        </w:rPr>
        <w:t>本项目采购比选文件公告自本公告发布之日起不少于3个工作日，自2024年06月07日00时00分至2024年06月12日23点59分止（北京时间）。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七、其他补充事宜</w:t>
      </w:r>
      <w:bookmarkEnd w:id="28"/>
      <w:bookmarkEnd w:id="29"/>
      <w:r>
        <w:rPr>
          <w:rFonts w:hint="eastAsia" w:ascii="宋体" w:hAnsi="宋体" w:eastAsia="宋体" w:cs="宋体"/>
          <w:b/>
          <w:bCs w:val="0"/>
          <w:color w:val="auto"/>
          <w:kern w:val="2"/>
          <w:sz w:val="21"/>
          <w:szCs w:val="21"/>
          <w:highlight w:val="none"/>
          <w:lang w:val="en-US" w:eastAsia="zh-CN" w:bidi="ar-SA"/>
        </w:rPr>
        <w:t>：无</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八、对本次招标提出询问，请按以下方式联系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名称：</w:t>
      </w:r>
      <w:r>
        <w:rPr>
          <w:rFonts w:hint="eastAsia" w:ascii="宋体" w:hAnsi="宋体" w:eastAsia="宋体" w:cs="宋体"/>
          <w:bCs/>
          <w:color w:val="auto"/>
          <w:sz w:val="21"/>
          <w:szCs w:val="21"/>
          <w:highlight w:val="none"/>
          <w:lang w:val="en-US" w:eastAsia="zh-CN"/>
        </w:rPr>
        <w:t>海口江东新区管理局</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lang w:val="en-US" w:eastAsia="zh-CN"/>
        </w:rPr>
        <w:t>海口市江东大道202号江东发展大厦B501室</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lang w:val="en-US" w:eastAsia="zh-CN"/>
        </w:rPr>
        <w:t>符先生</w:t>
      </w:r>
    </w:p>
    <w:p>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default" w:ascii="宋体" w:hAnsi="宋体" w:eastAsia="宋体" w:cs="宋体"/>
          <w:b w:val="0"/>
          <w:bCs/>
          <w:color w:val="auto"/>
          <w:sz w:val="21"/>
          <w:szCs w:val="21"/>
          <w:highlight w:val="none"/>
          <w:lang w:val="en-US" w:eastAsia="zh-CN"/>
        </w:rPr>
        <w:sectPr>
          <w:headerReference r:id="rId8" w:type="first"/>
          <w:footerReference r:id="rId9" w:type="firs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Cs/>
          <w:color w:val="auto"/>
          <w:sz w:val="21"/>
          <w:szCs w:val="21"/>
          <w:highlight w:val="none"/>
        </w:rPr>
        <w:t>联系方式：</w:t>
      </w:r>
      <w:r>
        <w:rPr>
          <w:rFonts w:hint="eastAsia" w:ascii="宋体" w:hAnsi="宋体" w:eastAsia="宋体" w:cs="宋体"/>
          <w:bCs/>
          <w:color w:val="auto"/>
          <w:sz w:val="21"/>
          <w:szCs w:val="21"/>
          <w:highlight w:val="none"/>
          <w:lang w:val="en-US" w:eastAsia="zh-CN"/>
        </w:rPr>
        <w:t>0898-65686617</w:t>
      </w:r>
    </w:p>
    <w:bookmarkEnd w:id="97"/>
    <w:p>
      <w:pPr>
        <w:keepNext/>
        <w:keepLines/>
        <w:widowControl w:val="0"/>
        <w:bidi w:val="0"/>
        <w:spacing w:before="260" w:after="260" w:line="416" w:lineRule="auto"/>
        <w:jc w:val="center"/>
        <w:outlineLvl w:val="1"/>
        <w:rPr>
          <w:rFonts w:hint="eastAsia" w:ascii="Arial" w:hAnsi="Arial" w:eastAsia="黑体" w:cs="Times New Roman"/>
          <w:b/>
          <w:bCs/>
          <w:color w:val="auto"/>
          <w:kern w:val="2"/>
          <w:sz w:val="32"/>
          <w:szCs w:val="32"/>
          <w:highlight w:val="none"/>
          <w:lang w:val="en-US" w:eastAsia="zh-CN" w:bidi="ar-SA"/>
        </w:rPr>
      </w:pPr>
      <w:r>
        <w:rPr>
          <w:rFonts w:hint="eastAsia" w:ascii="Arial" w:hAnsi="Arial" w:eastAsia="黑体" w:cs="Times New Roman"/>
          <w:b/>
          <w:bCs/>
          <w:color w:val="auto"/>
          <w:kern w:val="2"/>
          <w:sz w:val="32"/>
          <w:szCs w:val="32"/>
          <w:highlight w:val="none"/>
          <w:lang w:val="en-US" w:eastAsia="zh-CN" w:bidi="ar-SA"/>
        </w:rPr>
        <w:t>第二章  采购需求</w:t>
      </w:r>
    </w:p>
    <w:p>
      <w:pPr>
        <w:widowControl w:val="0"/>
        <w:adjustRightInd w:val="0"/>
        <w:snapToGrid w:val="0"/>
        <w:spacing w:line="400" w:lineRule="exact"/>
        <w:ind w:firstLine="422" w:firstLineChars="200"/>
        <w:jc w:val="left"/>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一、项目背景</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1、项目名称：江东新区已完工未移交排水管网排查项目</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2、项目编号：zfcg-fw-0521-001</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3、预算金额：108.00万元；</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4、服务期限：自合同签订起20日历天内完成；</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5、服务地点：海口江东新区（采购人指定地点）；</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6、所属行业：测绘；</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7、付款方式：届时由成交供应商与采购人签订合同；</w:t>
      </w:r>
    </w:p>
    <w:p>
      <w:pPr>
        <w:widowControl w:val="0"/>
        <w:bidi w:val="0"/>
        <w:ind w:firstLine="420" w:firstLineChars="200"/>
        <w:jc w:val="both"/>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8、验收标准：按国家行业规范标准及合同要求进行验收。</w:t>
      </w:r>
    </w:p>
    <w:p>
      <w:pPr>
        <w:widowControl w:val="0"/>
        <w:adjustRightInd w:val="0"/>
        <w:snapToGrid w:val="0"/>
        <w:spacing w:line="400" w:lineRule="exact"/>
        <w:ind w:firstLine="422" w:firstLineChars="200"/>
        <w:jc w:val="left"/>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二、项目投资估算</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项目总投资估算：1080000.00元。</w:t>
      </w:r>
    </w:p>
    <w:p>
      <w:pPr>
        <w:widowControl w:val="0"/>
        <w:adjustRightInd w:val="0"/>
        <w:snapToGrid w:val="0"/>
        <w:spacing w:line="400" w:lineRule="exact"/>
        <w:ind w:firstLine="422" w:firstLineChars="200"/>
        <w:jc w:val="left"/>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三、项目目标</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以江东管理局管辖范围内市政排水管网为基础，扣除原来已排查江东厂服务范围及桂林样管委会服务范围内市政排水管线，主要涉及到市政管网排查区域为江东新区完工未移交项目范围（15个项目含江东大道二期）。对排水管网及其雨水口、检查井和排水口等附属设施进行全面排查，查清管网的功能性缺陷、结构性缺陷、雨污混接、管线暗接点、偷接偷排，排水口错混漏接、排水单元排出口信息等问题，形成全市管网基础数据，为后续的治水建设以及后期维护管养提供有力支撑。对违法排口进行记录并反馈给专班进行督办整改，形成“海口市GIS系统一张图”排水管网图。</w:t>
      </w:r>
    </w:p>
    <w:p>
      <w:pPr>
        <w:widowControl w:val="0"/>
        <w:numPr>
          <w:ilvl w:val="0"/>
          <w:numId w:val="0"/>
        </w:numPr>
        <w:adjustRightInd w:val="0"/>
        <w:snapToGrid w:val="0"/>
        <w:spacing w:line="400" w:lineRule="exact"/>
        <w:ind w:firstLine="422" w:firstLineChars="200"/>
        <w:jc w:val="left"/>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四、工作内容</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本项目涉及江东市政排水管网已完工未移交项目15个，污水管线27km、雨水管线51km；江东大道二期（桂林样段10km），污水管线10km、雨水管线20km。共计需排查管线约108km。</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本次排查报告共包含现场排查测量和管线健康度检测两部分工作，工作内容共涉及两部分内容：</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第一部分是对江东市政排水管网已完工未移交项目进行拓扑关系测量，并形成GIS测量数据，入库“海口市GIS系统一张图”。主要包括管线类型、位置、管道规格、标高、埋深、流向等内容；</w:t>
      </w:r>
    </w:p>
    <w:p>
      <w:pPr>
        <w:widowControl w:val="0"/>
        <w:bidi w:val="0"/>
        <w:ind w:firstLine="420" w:firstLineChars="20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二部分是对江东市政排水管网已完工未移交项目进行管线健康度检测，采用QV、CCTV、声纳或其他检测方法，对市政排水管线进行排查、主要包括管网隐患病害数据、错接混接数据等，列出问题清单，查清管网的功能性缺陷、结构性缺陷、雨污混接、管线暗接点、偷接偷排，排水口错混漏接、排水单元排出口信息等问题。</w:t>
      </w:r>
    </w:p>
    <w:p>
      <w:pPr>
        <w:widowControl w:val="0"/>
        <w:numPr>
          <w:ilvl w:val="0"/>
          <w:numId w:val="1"/>
        </w:numPr>
        <w:bidi w:val="0"/>
        <w:ind w:firstLine="422" w:firstLineChars="200"/>
        <w:jc w:val="both"/>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成果要求</w:t>
      </w:r>
    </w:p>
    <w:p>
      <w:pPr>
        <w:widowControl w:val="0"/>
        <w:bidi w:val="0"/>
        <w:ind w:firstLine="420" w:firstLineChars="200"/>
        <w:jc w:val="both"/>
        <w:rPr>
          <w:rFonts w:hint="default"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根据海口市主城区管网排查内业成果整理要求交付全部排查检测成果资料（包括但不限于）：</w:t>
      </w:r>
    </w:p>
    <w:p>
      <w:pPr>
        <w:widowControl w:val="0"/>
        <w:bidi w:val="0"/>
        <w:ind w:firstLine="420" w:firstLineChars="200"/>
        <w:jc w:val="both"/>
        <w:rPr>
          <w:rFonts w:hint="default"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1）绘制形成排水系统一张图，图上需体现出所有排查成果，包括但不限于排水管线管径、水流流向、检查井位置、雨污混接点位置、管道缺陷种类和位置、排污户接驳点位置等（采用大地2000坐标系，提供CAD和GIS版本）。</w:t>
      </w:r>
    </w:p>
    <w:p>
      <w:pPr>
        <w:widowControl w:val="0"/>
        <w:bidi w:val="0"/>
        <w:ind w:firstLine="420" w:firstLineChars="200"/>
        <w:jc w:val="both"/>
        <w:rPr>
          <w:rFonts w:hint="default"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2）编制雨（污）水管道专业检测分析评估报告，统计管道缺陷种类与数量，并给出解决处理建议（含检测结论性，检测溯源情况汇总表，管道破损、雨污混接台账、检查井、破损位置数据信息表、排水户及污染源汇总表）。</w:t>
      </w:r>
    </w:p>
    <w:p>
      <w:pPr>
        <w:widowControl w:val="0"/>
        <w:bidi w:val="0"/>
        <w:ind w:firstLine="420" w:firstLineChars="200"/>
        <w:jc w:val="both"/>
        <w:rPr>
          <w:rFonts w:hint="default"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3）提交管线点管线点属性数据表、管线线属性数据表、附属设施线属性数据表、排水口详细情况成果汇总表、排水口现场调查表、检查井排查情况汇总表、检查井排查记录表、排水管渠缺陷汇总表、灌渠检测成果表、排水管道沉积状况纵断面图、偷排漏排溯源表、错混接汇总表、混接点调查表、暗接点汇总表、暗接点现场调查表、断头管汇总表、断头管现场调查表、单元污水、雨水、合流接驳点汇总表、单元接驳口调查表。</w:t>
      </w:r>
    </w:p>
    <w:p>
      <w:pPr>
        <w:widowControl w:val="0"/>
        <w:bidi w:val="0"/>
        <w:ind w:firstLine="420" w:firstLineChars="200"/>
        <w:jc w:val="both"/>
        <w:rPr>
          <w:rFonts w:hint="default"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（4）管道溯源检测电子影像资料光盘。1：500测量CAD电子地图和GIS版本线路图。</w:t>
      </w:r>
    </w:p>
    <w:p>
      <w:pPr>
        <w:widowControl w:val="0"/>
        <w:numPr>
          <w:ilvl w:val="0"/>
          <w:numId w:val="0"/>
        </w:numPr>
        <w:adjustRightInd w:val="0"/>
        <w:snapToGrid w:val="0"/>
        <w:spacing w:line="400" w:lineRule="exact"/>
        <w:ind w:firstLine="422" w:firstLineChars="200"/>
        <w:jc w:val="left"/>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六、其他要求</w:t>
      </w:r>
    </w:p>
    <w:p>
      <w:pPr>
        <w:widowControl w:val="0"/>
        <w:adjustRightInd w:val="0"/>
        <w:snapToGrid w:val="0"/>
        <w:spacing w:line="400" w:lineRule="exact"/>
        <w:ind w:firstLine="420" w:firstLineChars="200"/>
        <w:jc w:val="left"/>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排水管道工作开展前，项目技术负责人须针对本项目的技术要求、管线特点对从事探查的技术人员进行技术安全交底，对其进行项目技术的培训和考核，并明确其工作职责，确保管线探查人员了解项目的目标、工作范围、工作内容、工作程序、技术要求以及有关问题的处理方法等。</w:t>
      </w:r>
    </w:p>
    <w:p>
      <w:pPr>
        <w:widowControl w:val="0"/>
        <w:numPr>
          <w:ilvl w:val="0"/>
          <w:numId w:val="0"/>
        </w:numPr>
        <w:adjustRightInd w:val="0"/>
        <w:snapToGrid w:val="0"/>
        <w:spacing w:line="400" w:lineRule="exact"/>
        <w:ind w:firstLine="422" w:firstLineChars="200"/>
        <w:jc w:val="left"/>
        <w:outlineLvl w:val="0"/>
        <w:rPr>
          <w:rFonts w:hint="default"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七、付款条件</w:t>
      </w:r>
    </w:p>
    <w:p>
      <w:pPr>
        <w:widowControl w:val="0"/>
        <w:adjustRightInd w:val="0"/>
        <w:snapToGrid w:val="0"/>
        <w:spacing w:line="400" w:lineRule="exact"/>
        <w:ind w:firstLineChars="200"/>
        <w:jc w:val="left"/>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自合同签订之日起视资金到位情况，发包人向承包人支付工程中标价款的  30%  预付款。当承包人在排查工期内完成全部排查任务，并提交排查初步成果，发包人向承包人支付中标价款的20%，排查成果经评审合格，并完成修订提交最终成果后，发包人向承包人支付中标价款的30%，后续服务期满，半年内未发现排查检测问题，承包人15日内，编制工程结算书，经发包人、承包人双方共同审定后，作为工程价款结算依据；甲方应根据工程结算结果，在7日内向乙方全部结清工程价款。</w:t>
      </w:r>
    </w:p>
    <w:p>
      <w:pPr>
        <w:widowControl w:val="0"/>
        <w:adjustRightInd w:val="0"/>
        <w:snapToGrid w:val="0"/>
        <w:spacing w:line="400" w:lineRule="exact"/>
        <w:ind w:firstLine="422" w:firstLineChars="200"/>
        <w:jc w:val="left"/>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八、其他要求</w:t>
      </w:r>
    </w:p>
    <w:p>
      <w:pPr>
        <w:widowControl w:val="0"/>
        <w:adjustRightInd w:val="0"/>
        <w:snapToGrid w:val="0"/>
        <w:spacing w:line="400" w:lineRule="exact"/>
        <w:ind w:firstLineChars="200"/>
        <w:jc w:val="left"/>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1.若项目执行过程中出现成交供应商不按响应文件或合同内容要求执行，无法满足于项目排查要求、弄虚作假、降低质量标准、超过服务期限等行为，采购人有权终止合同，并报政府采购管理部门严肃处理。</w:t>
      </w:r>
    </w:p>
    <w:p>
      <w:pPr>
        <w:widowControl w:val="0"/>
        <w:adjustRightInd w:val="0"/>
        <w:snapToGrid w:val="0"/>
        <w:spacing w:line="400" w:lineRule="exact"/>
        <w:ind w:firstLineChars="200"/>
        <w:jc w:val="left"/>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2.具体服务内容与采购人沟通，以采购人意见为主。</w:t>
      </w:r>
    </w:p>
    <w:p>
      <w:pPr>
        <w:adjustRightInd w:val="0"/>
        <w:spacing w:line="400" w:lineRule="exact"/>
        <w:jc w:val="left"/>
        <w:outlineLvl w:val="0"/>
        <w:rPr>
          <w:rFonts w:hint="eastAsia" w:hAnsi="宋体" w:cs="宋体"/>
          <w:bCs/>
          <w:color w:val="auto"/>
          <w:szCs w:val="21"/>
          <w:highlight w:val="none"/>
          <w:lang w:val="en-US" w:eastAsia="zh-CN"/>
        </w:rPr>
        <w:sectPr>
          <w:pgSz w:w="11906" w:h="16838"/>
          <w:pgMar w:top="1440" w:right="1800" w:bottom="1440" w:left="1800" w:header="794" w:footer="992" w:gutter="0"/>
          <w:pgNumType w:fmt="decimal"/>
          <w:cols w:space="425" w:num="1"/>
          <w:docGrid w:type="lines" w:linePitch="312" w:charSpace="0"/>
        </w:sectPr>
      </w:pPr>
    </w:p>
    <w:p>
      <w:pPr>
        <w:pageBreakBefore w:val="0"/>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第三章</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w:t>
      </w:r>
    </w:p>
    <w:p>
      <w:pPr>
        <w:pageBreakBefore w:val="0"/>
        <w:wordWrap/>
        <w:topLinePunct w:val="0"/>
        <w:bidi w:val="0"/>
        <w:adjustRightInd w:val="0"/>
        <w:snapToGrid w:val="0"/>
        <w:spacing w:before="120" w:after="24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须知前附表</w:t>
      </w:r>
    </w:p>
    <w:tbl>
      <w:tblPr>
        <w:tblStyle w:val="10"/>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
                <w:bCs w:val="0"/>
                <w:color w:val="auto"/>
                <w:sz w:val="21"/>
                <w:szCs w:val="21"/>
                <w:highlight w:val="none"/>
                <w:lang w:val="zh-CN" w:eastAsia="zh-CN" w:bidi="ar-SA"/>
              </w:rPr>
            </w:pPr>
            <w:bookmarkStart w:id="30" w:name="_Toc246826106"/>
            <w:r>
              <w:rPr>
                <w:rFonts w:hint="eastAsia" w:ascii="宋体" w:hAnsi="宋体" w:eastAsia="宋体" w:cs="宋体"/>
                <w:b/>
                <w:bCs w:val="0"/>
                <w:color w:val="auto"/>
                <w:sz w:val="21"/>
                <w:szCs w:val="21"/>
                <w:highlight w:val="none"/>
                <w:lang w:val="zh-CN" w:eastAsia="zh-CN" w:bidi="ar-SA"/>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
                <w:bCs w:val="0"/>
                <w:color w:val="auto"/>
                <w:sz w:val="21"/>
                <w:szCs w:val="21"/>
                <w:highlight w:val="none"/>
                <w:lang w:val="zh-CN" w:eastAsia="zh-CN" w:bidi="ar-SA"/>
              </w:rPr>
            </w:pPr>
            <w:r>
              <w:rPr>
                <w:rFonts w:hint="eastAsia" w:ascii="宋体" w:hAnsi="宋体" w:eastAsia="宋体" w:cs="宋体"/>
                <w:b/>
                <w:bCs w:val="0"/>
                <w:color w:val="auto"/>
                <w:sz w:val="21"/>
                <w:szCs w:val="21"/>
                <w:highlight w:val="none"/>
                <w:lang w:val="zh-CN" w:eastAsia="zh-CN" w:bidi="ar-SA"/>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
                <w:bCs w:val="0"/>
                <w:color w:val="auto"/>
                <w:sz w:val="21"/>
                <w:szCs w:val="21"/>
                <w:highlight w:val="none"/>
                <w:lang w:val="zh-CN" w:eastAsia="zh-CN" w:bidi="ar-SA"/>
              </w:rPr>
            </w:pPr>
            <w:r>
              <w:rPr>
                <w:rFonts w:hint="eastAsia" w:ascii="宋体" w:hAnsi="宋体" w:eastAsia="宋体" w:cs="宋体"/>
                <w:b/>
                <w:bCs w:val="0"/>
                <w:color w:val="auto"/>
                <w:sz w:val="21"/>
                <w:szCs w:val="21"/>
                <w:highlight w:val="none"/>
                <w:lang w:val="zh-CN" w:eastAsia="zh-CN" w:bidi="ar-SA"/>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1</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有无带</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szCs w:val="21"/>
                <w:highlight w:val="none"/>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无)</w:t>
            </w:r>
          </w:p>
          <w:p>
            <w:pPr>
              <w:keepNext w:val="0"/>
              <w:keepLines w:val="0"/>
              <w:pageBreakBefore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有，</w:t>
            </w:r>
            <w:r>
              <w:rPr>
                <w:rFonts w:hint="eastAsia" w:ascii="宋体" w:hAnsi="宋体" w:eastAsia="宋体" w:cs="宋体"/>
                <w:bCs/>
                <w:color w:val="auto"/>
                <w:sz w:val="21"/>
                <w:szCs w:val="21"/>
                <w:highlight w:val="none"/>
                <w:lang w:val="en-US" w:eastAsia="zh-CN"/>
              </w:rPr>
              <w:t>带</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的是实质性要求，供应商</w:t>
            </w:r>
            <w:r>
              <w:rPr>
                <w:rFonts w:hint="eastAsia" w:ascii="宋体" w:hAnsi="宋体" w:eastAsia="宋体" w:cs="宋体"/>
                <w:bCs/>
                <w:color w:val="auto"/>
                <w:sz w:val="21"/>
                <w:szCs w:val="21"/>
                <w:highlight w:val="none"/>
                <w:lang w:val="zh-CN" w:eastAsia="zh-CN"/>
              </w:rPr>
              <w:t>必须作出实质性响应满足或优于采购文件的要求，否则视为无效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3</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0" w:leftChars="0"/>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标前</w:t>
            </w:r>
            <w:r>
              <w:rPr>
                <w:rFonts w:hint="eastAsia" w:ascii="宋体" w:hAnsi="宋体" w:eastAsia="宋体" w:cs="宋体"/>
                <w:bCs/>
                <w:color w:val="auto"/>
                <w:sz w:val="21"/>
                <w:szCs w:val="21"/>
                <w:highlight w:val="none"/>
                <w:lang w:eastAsia="zh-CN"/>
              </w:rPr>
              <w:t>现场考察</w:t>
            </w:r>
            <w:r>
              <w:rPr>
                <w:rFonts w:hint="eastAsia" w:ascii="宋体" w:hAnsi="宋体" w:eastAsia="宋体" w:cs="宋体"/>
                <w:bCs/>
                <w:color w:val="auto"/>
                <w:sz w:val="21"/>
                <w:szCs w:val="21"/>
                <w:highlight w:val="none"/>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4</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both"/>
              <w:textAlignment w:val="auto"/>
              <w:rPr>
                <w:rFonts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zh-CN" w:eastAsia="zh-CN" w:bidi="ar-SA"/>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Cs/>
                <w:color w:val="auto"/>
                <w:kern w:val="0"/>
                <w:sz w:val="21"/>
                <w:szCs w:val="21"/>
                <w:highlight w:val="none"/>
                <w:lang w:val="zh-CN" w:eastAsia="zh-CN"/>
              </w:rPr>
            </w:pPr>
            <w:r>
              <w:rPr>
                <w:rFonts w:hint="eastAsia" w:ascii="宋体" w:hAnsi="宋体" w:eastAsia="宋体" w:cs="宋体"/>
                <w:bCs/>
                <w:color w:val="auto"/>
                <w:sz w:val="21"/>
                <w:szCs w:val="21"/>
                <w:highlight w:val="none"/>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bidi="ar-SA"/>
              </w:rPr>
              <w:t>5</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both"/>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0" w:leftChars="0"/>
              <w:jc w:val="left"/>
              <w:textAlignment w:val="auto"/>
              <w:rPr>
                <w:rFonts w:ascii="宋体" w:hAnsi="宋体" w:eastAsia="宋体" w:cs="宋体"/>
                <w:bCs/>
                <w:color w:val="auto"/>
                <w:sz w:val="21"/>
                <w:szCs w:val="21"/>
                <w:highlight w:val="none"/>
              </w:rPr>
            </w:pPr>
            <w:r>
              <w:rPr>
                <w:rFonts w:hint="eastAsia" w:ascii="宋体" w:hAnsi="宋体" w:eastAsia="宋体" w:cs="宋体"/>
                <w:b w:val="0"/>
                <w:bCs/>
                <w:color w:val="auto"/>
                <w:kern w:val="0"/>
                <w:sz w:val="21"/>
                <w:szCs w:val="21"/>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bidi="ar-SA"/>
              </w:rPr>
              <w:t>6</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zh-CN" w:eastAsia="zh-CN" w:bidi="ar-SA"/>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0" w:leftChars="0"/>
              <w:jc w:val="left"/>
              <w:textAlignment w:val="auto"/>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val="zh-CN"/>
              </w:rPr>
              <w:t>、</w:t>
            </w:r>
            <w:r>
              <w:rPr>
                <w:rFonts w:hint="eastAsia" w:ascii="宋体" w:hAnsi="宋体" w:eastAsia="宋体" w:cs="宋体"/>
                <w:b w:val="0"/>
                <w:bCs/>
                <w:color w:val="auto"/>
                <w:kern w:val="0"/>
                <w:sz w:val="21"/>
                <w:szCs w:val="21"/>
                <w:highlight w:val="none"/>
                <w:lang w:val="en-US" w:eastAsia="zh-CN"/>
              </w:rPr>
              <w:t>响应</w:t>
            </w:r>
            <w:r>
              <w:rPr>
                <w:rFonts w:hint="eastAsia" w:ascii="宋体" w:hAnsi="宋体" w:eastAsia="宋体" w:cs="宋体"/>
                <w:b w:val="0"/>
                <w:bCs/>
                <w:color w:val="auto"/>
                <w:kern w:val="0"/>
                <w:sz w:val="21"/>
                <w:szCs w:val="21"/>
                <w:highlight w:val="none"/>
                <w:lang w:val="zh-CN"/>
              </w:rPr>
              <w:t>声明函；</w:t>
            </w:r>
          </w:p>
          <w:p>
            <w:pPr>
              <w:keepNext w:val="0"/>
              <w:keepLines w:val="0"/>
              <w:pageBreakBefore w:val="0"/>
              <w:widowControl/>
              <w:tabs>
                <w:tab w:val="left" w:pos="425"/>
              </w:tabs>
              <w:kinsoku/>
              <w:wordWrap/>
              <w:overflowPunct/>
              <w:topLinePunct w:val="0"/>
              <w:bidi w:val="0"/>
              <w:spacing w:line="360" w:lineRule="auto"/>
              <w:ind w:left="0" w:leftChars="0"/>
              <w:jc w:val="left"/>
              <w:textAlignment w:val="auto"/>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2、法定代表人授权委托书（提供委托代理人的身份证复印件，非中国国籍的则提供护照复印件）（非法定代表人签署响应文件适用）；</w:t>
            </w:r>
          </w:p>
          <w:p>
            <w:pPr>
              <w:keepNext w:val="0"/>
              <w:keepLines w:val="0"/>
              <w:pageBreakBefore w:val="0"/>
              <w:widowControl/>
              <w:tabs>
                <w:tab w:val="left" w:pos="425"/>
              </w:tabs>
              <w:kinsoku/>
              <w:wordWrap/>
              <w:overflowPunct/>
              <w:topLinePunct w:val="0"/>
              <w:bidi w:val="0"/>
              <w:spacing w:line="360" w:lineRule="auto"/>
              <w:ind w:left="0" w:leftChars="0"/>
              <w:jc w:val="left"/>
              <w:textAlignment w:val="auto"/>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3、法定代表人身份证明书（提供法定代表人身份证复印件，非中国国籍的则提供护照复印件）；</w:t>
            </w:r>
          </w:p>
          <w:p>
            <w:pPr>
              <w:keepNext w:val="0"/>
              <w:keepLines w:val="0"/>
              <w:pageBreakBefore w:val="0"/>
              <w:widowControl/>
              <w:tabs>
                <w:tab w:val="left" w:pos="425"/>
              </w:tabs>
              <w:kinsoku/>
              <w:wordWrap/>
              <w:overflowPunct/>
              <w:topLinePunct w:val="0"/>
              <w:bidi w:val="0"/>
              <w:snapToGrid w:val="0"/>
              <w:spacing w:line="360" w:lineRule="auto"/>
              <w:ind w:left="0" w:leftChars="0"/>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eastAsia="zh-CN"/>
              </w:rPr>
              <w:t>4、提供</w:t>
            </w:r>
            <w:r>
              <w:rPr>
                <w:rFonts w:hint="eastAsia" w:ascii="宋体" w:hAnsi="宋体" w:eastAsia="宋体" w:cs="宋体"/>
                <w:b w:val="0"/>
                <w:bCs/>
                <w:color w:val="auto"/>
                <w:kern w:val="0"/>
                <w:sz w:val="21"/>
                <w:szCs w:val="21"/>
                <w:highlight w:val="none"/>
                <w:lang w:val="zh-CN"/>
              </w:rPr>
              <w:t>营业执照副本</w:t>
            </w:r>
            <w:r>
              <w:rPr>
                <w:rFonts w:hint="eastAsia" w:ascii="宋体" w:hAnsi="宋体" w:eastAsia="宋体" w:cs="宋体"/>
                <w:b w:val="0"/>
                <w:bCs/>
                <w:color w:val="auto"/>
                <w:kern w:val="0"/>
                <w:sz w:val="21"/>
                <w:szCs w:val="21"/>
                <w:highlight w:val="none"/>
                <w:lang w:val="zh-CN" w:eastAsia="zh-CN"/>
              </w:rPr>
              <w:t>、</w:t>
            </w:r>
            <w:r>
              <w:rPr>
                <w:rFonts w:hint="eastAsia" w:ascii="宋体" w:hAnsi="宋体" w:eastAsia="宋体" w:cs="宋体"/>
                <w:b w:val="0"/>
                <w:bCs/>
                <w:color w:val="auto"/>
                <w:kern w:val="0"/>
                <w:sz w:val="21"/>
                <w:szCs w:val="21"/>
                <w:highlight w:val="none"/>
                <w:lang w:val="zh-CN"/>
              </w:rPr>
              <w:t>或事业单位法人证书（事业单位）</w:t>
            </w:r>
            <w:r>
              <w:rPr>
                <w:rFonts w:hint="eastAsia" w:ascii="宋体" w:hAnsi="宋体" w:eastAsia="宋体" w:cs="宋体"/>
                <w:b w:val="0"/>
                <w:bCs/>
                <w:color w:val="auto"/>
                <w:kern w:val="0"/>
                <w:sz w:val="21"/>
                <w:szCs w:val="21"/>
                <w:highlight w:val="none"/>
                <w:lang w:val="zh-CN" w:eastAsia="zh-CN"/>
              </w:rPr>
              <w:t>、</w:t>
            </w:r>
            <w:r>
              <w:rPr>
                <w:rFonts w:hint="eastAsia" w:ascii="宋体" w:hAnsi="宋体" w:eastAsia="宋体" w:cs="宋体"/>
                <w:b w:val="0"/>
                <w:bCs/>
                <w:color w:val="auto"/>
                <w:kern w:val="0"/>
                <w:sz w:val="21"/>
                <w:szCs w:val="21"/>
                <w:highlight w:val="none"/>
                <w:lang w:val="zh-CN"/>
              </w:rPr>
              <w:t>或执业许可证（非企业专业服务机构）</w:t>
            </w:r>
            <w:r>
              <w:rPr>
                <w:rFonts w:hint="eastAsia" w:ascii="宋体" w:hAnsi="宋体" w:eastAsia="宋体" w:cs="宋体"/>
                <w:b w:val="0"/>
                <w:bCs/>
                <w:color w:val="auto"/>
                <w:kern w:val="0"/>
                <w:sz w:val="21"/>
                <w:szCs w:val="21"/>
                <w:highlight w:val="none"/>
                <w:lang w:val="zh-CN" w:eastAsia="zh-CN"/>
              </w:rPr>
              <w:t>的</w:t>
            </w:r>
            <w:r>
              <w:rPr>
                <w:rFonts w:hint="eastAsia" w:ascii="宋体" w:hAnsi="宋体" w:eastAsia="宋体" w:cs="宋体"/>
                <w:b w:val="0"/>
                <w:bCs/>
                <w:color w:val="auto"/>
                <w:kern w:val="0"/>
                <w:sz w:val="21"/>
                <w:szCs w:val="21"/>
                <w:highlight w:val="none"/>
                <w:lang w:val="zh-CN"/>
              </w:rPr>
              <w:t>复印件</w:t>
            </w:r>
            <w:r>
              <w:rPr>
                <w:rFonts w:hint="eastAsia" w:ascii="宋体" w:hAnsi="宋体" w:eastAsia="宋体" w:cs="宋体"/>
                <w:bCs/>
                <w:color w:val="auto"/>
                <w:kern w:val="0"/>
                <w:sz w:val="21"/>
                <w:szCs w:val="21"/>
                <w:highlight w:val="none"/>
                <w:lang w:val="zh-CN"/>
              </w:rPr>
              <w:t>；如果供应商为自然人的则提供身份证复印件；</w:t>
            </w:r>
          </w:p>
          <w:p>
            <w:pPr>
              <w:keepNext w:val="0"/>
              <w:keepLines w:val="0"/>
              <w:pageBreakBefore w:val="0"/>
              <w:widowControl/>
              <w:tabs>
                <w:tab w:val="left" w:pos="425"/>
              </w:tabs>
              <w:kinsoku/>
              <w:wordWrap/>
              <w:overflowPunct/>
              <w:topLinePunct w:val="0"/>
              <w:bidi w:val="0"/>
              <w:snapToGrid w:val="0"/>
              <w:spacing w:line="360" w:lineRule="auto"/>
              <w:ind w:left="0" w:leftChars="0"/>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w:t>
            </w:r>
            <w:r>
              <w:rPr>
                <w:rFonts w:hint="eastAsia" w:ascii="宋体" w:hAnsi="宋体" w:eastAsia="宋体" w:cs="宋体"/>
                <w:bCs/>
                <w:color w:val="auto"/>
                <w:kern w:val="0"/>
                <w:sz w:val="21"/>
                <w:szCs w:val="21"/>
                <w:highlight w:val="none"/>
              </w:rPr>
              <w:t>具有良好的商业信誉和健全的财务会计制度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具有履行合同所必需的设备和专业技术能力</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有依法缴纳税收和社会保障资金的良好记录</w:t>
            </w:r>
            <w:r>
              <w:rPr>
                <w:rFonts w:hint="eastAsia" w:ascii="宋体" w:hAnsi="宋体" w:eastAsia="宋体" w:cs="宋体"/>
                <w:bCs/>
                <w:color w:val="auto"/>
                <w:kern w:val="0"/>
                <w:sz w:val="21"/>
                <w:szCs w:val="21"/>
                <w:highlight w:val="none"/>
                <w:lang w:eastAsia="zh-CN"/>
              </w:rPr>
              <w:t>及</w:t>
            </w:r>
            <w:r>
              <w:rPr>
                <w:rFonts w:hint="eastAsia" w:ascii="宋体" w:hAnsi="宋体" w:eastAsia="宋体" w:cs="宋体"/>
                <w:bCs/>
                <w:color w:val="auto"/>
                <w:kern w:val="0"/>
                <w:sz w:val="21"/>
                <w:szCs w:val="21"/>
                <w:highlight w:val="none"/>
              </w:rPr>
              <w:t>参加政府采购活动前三年内，在经营活动中没有重大违法记录</w:t>
            </w:r>
            <w:r>
              <w:rPr>
                <w:rFonts w:hint="eastAsia" w:ascii="宋体" w:hAnsi="宋体" w:eastAsia="宋体" w:cs="宋体"/>
                <w:bCs/>
                <w:color w:val="auto"/>
                <w:kern w:val="0"/>
                <w:sz w:val="21"/>
                <w:szCs w:val="21"/>
                <w:highlight w:val="none"/>
                <w:lang w:eastAsia="zh-CN"/>
              </w:rPr>
              <w:t>的资格承诺函（详见格式</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w:t>
            </w:r>
          </w:p>
          <w:p>
            <w:pPr>
              <w:keepNext w:val="0"/>
              <w:keepLines w:val="0"/>
              <w:pageBreakBefore w:val="0"/>
              <w:widowControl/>
              <w:tabs>
                <w:tab w:val="left" w:pos="425"/>
              </w:tabs>
              <w:kinsoku/>
              <w:wordWrap/>
              <w:overflowPunct/>
              <w:topLinePunct w:val="0"/>
              <w:bidi w:val="0"/>
              <w:snapToGrid w:val="0"/>
              <w:spacing w:line="360" w:lineRule="auto"/>
              <w:ind w:left="0" w:leftChars="0"/>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zh-CN"/>
              </w:rPr>
              <w:t>、资格审查及符合性审查要求提供的其他资料（详见资格审查表及符合性审查表要求）；</w:t>
            </w:r>
          </w:p>
          <w:p>
            <w:pPr>
              <w:keepNext w:val="0"/>
              <w:keepLines w:val="0"/>
              <w:pageBreakBefore w:val="0"/>
              <w:widowControl/>
              <w:tabs>
                <w:tab w:val="left" w:pos="425"/>
              </w:tabs>
              <w:kinsoku/>
              <w:wordWrap/>
              <w:overflowPunct/>
              <w:topLinePunct w:val="0"/>
              <w:bidi w:val="0"/>
              <w:snapToGrid w:val="0"/>
              <w:spacing w:line="360" w:lineRule="auto"/>
              <w:ind w:left="0" w:leftChars="0"/>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lang w:val="zh-CN"/>
              </w:rPr>
              <w:t>、评审标准要求提供的其他资料（详见评审细则要求）；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val="zh-CN"/>
              </w:rPr>
              <w:t>、供应商认为需要提供的其他资格证明文件和商务资料。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bidi="ar-SA"/>
              </w:rPr>
              <w:t>7</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0" w:leftChars="0"/>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本项目要求供应商</w:t>
            </w:r>
            <w:r>
              <w:rPr>
                <w:rFonts w:hint="eastAsia" w:ascii="宋体" w:hAnsi="宋体" w:eastAsia="宋体" w:cs="宋体"/>
                <w:bCs/>
                <w:color w:val="auto"/>
                <w:kern w:val="0"/>
                <w:sz w:val="21"/>
                <w:szCs w:val="21"/>
                <w:highlight w:val="none"/>
                <w:lang w:val="zh-CN"/>
              </w:rPr>
              <w:t>提供的</w:t>
            </w:r>
            <w:r>
              <w:rPr>
                <w:rFonts w:hint="eastAsia" w:ascii="宋体" w:hAnsi="宋体" w:eastAsia="宋体" w:cs="宋体"/>
                <w:bCs/>
                <w:color w:val="auto"/>
                <w:kern w:val="0"/>
                <w:sz w:val="21"/>
                <w:szCs w:val="21"/>
                <w:highlight w:val="none"/>
                <w:lang w:val="en-US" w:eastAsia="zh-CN"/>
              </w:rPr>
              <w:t>响应</w:t>
            </w:r>
            <w:r>
              <w:rPr>
                <w:rFonts w:hint="eastAsia" w:ascii="宋体" w:hAnsi="宋体" w:eastAsia="宋体" w:cs="宋体"/>
                <w:bCs/>
                <w:color w:val="auto"/>
                <w:sz w:val="21"/>
                <w:szCs w:val="21"/>
                <w:highlight w:val="none"/>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numPr>
                <w:ilvl w:val="0"/>
                <w:numId w:val="0"/>
              </w:numPr>
              <w:kinsoku/>
              <w:wordWrap/>
              <w:overflowPunct/>
              <w:topLinePunct w:val="0"/>
              <w:bidi w:val="0"/>
              <w:adjustRightInd w:val="0"/>
              <w:snapToGrid w:val="0"/>
              <w:spacing w:line="360" w:lineRule="auto"/>
              <w:ind w:left="0" w:leftChars="0"/>
              <w:textAlignment w:val="auto"/>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zh-CN"/>
              </w:rPr>
              <w:t>开标一览表</w:t>
            </w:r>
          </w:p>
          <w:p>
            <w:pPr>
              <w:keepNext w:val="0"/>
              <w:keepLines w:val="0"/>
              <w:pageBreakBefore w:val="0"/>
              <w:numPr>
                <w:ilvl w:val="0"/>
                <w:numId w:val="0"/>
              </w:numPr>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lang w:val="zh-CN"/>
              </w:rPr>
            </w:pPr>
            <w:r>
              <w:rPr>
                <w:rFonts w:hint="eastAsia" w:ascii="宋体" w:hAnsi="宋体" w:eastAsia="宋体" w:cs="宋体"/>
                <w:bCs/>
                <w:color w:val="auto"/>
                <w:kern w:val="0"/>
                <w:sz w:val="21"/>
                <w:szCs w:val="21"/>
                <w:highlight w:val="none"/>
                <w:lang w:val="en-US" w:eastAsia="zh-CN"/>
              </w:rPr>
              <w:t>2、响应</w:t>
            </w:r>
            <w:r>
              <w:rPr>
                <w:rFonts w:hint="eastAsia" w:ascii="宋体" w:hAnsi="宋体" w:eastAsia="宋体" w:cs="宋体"/>
                <w:bCs/>
                <w:color w:val="auto"/>
                <w:kern w:val="0"/>
                <w:sz w:val="21"/>
                <w:szCs w:val="21"/>
                <w:highlight w:val="none"/>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bidi="ar-SA"/>
              </w:rPr>
              <w:t>8</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bidi="ar-SA"/>
              </w:rPr>
              <w:t>响应</w:t>
            </w:r>
            <w:r>
              <w:rPr>
                <w:rFonts w:hint="eastAsia" w:ascii="宋体" w:hAnsi="宋体" w:eastAsia="宋体" w:cs="宋体"/>
                <w:bCs/>
                <w:color w:val="auto"/>
                <w:sz w:val="21"/>
                <w:szCs w:val="21"/>
                <w:highlight w:val="none"/>
                <w:lang w:val="zh-CN" w:eastAsia="zh-CN" w:bidi="ar-SA"/>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bidi="ar-SA"/>
              </w:rPr>
              <w:t>自响应文件递交截止之日起90天。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bidi="ar-SA"/>
              </w:rPr>
              <w:t>9</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响应保证金</w:t>
            </w:r>
            <w:r>
              <w:rPr>
                <w:rFonts w:hint="eastAsia" w:ascii="宋体" w:hAnsi="宋体" w:eastAsia="宋体" w:cs="宋体"/>
                <w:bCs/>
                <w:color w:val="auto"/>
                <w:kern w:val="2"/>
                <w:sz w:val="21"/>
                <w:szCs w:val="21"/>
                <w:highlight w:val="none"/>
                <w:lang w:val="en-US" w:eastAsia="zh-CN" w:bidi="ar-SA"/>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val="0"/>
              <w:kinsoku/>
              <w:wordWrap/>
              <w:overflowPunct/>
              <w:topLinePunct w:val="0"/>
              <w:bidi w:val="0"/>
              <w:adjustRightInd w:val="0"/>
              <w:snapToGrid w:val="0"/>
              <w:spacing w:line="360" w:lineRule="auto"/>
              <w:ind w:left="0" w:leftChars="0"/>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both"/>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bidi="ar-SA"/>
              </w:rPr>
              <w:t>响应</w:t>
            </w:r>
            <w:r>
              <w:rPr>
                <w:rFonts w:hint="eastAsia" w:ascii="宋体" w:hAnsi="宋体" w:eastAsia="宋体" w:cs="宋体"/>
                <w:bCs/>
                <w:color w:val="auto"/>
                <w:sz w:val="21"/>
                <w:szCs w:val="21"/>
                <w:highlight w:val="none"/>
                <w:lang w:val="zh-CN" w:eastAsia="zh-CN" w:bidi="ar-SA"/>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fldChar w:fldCharType="begin"/>
            </w:r>
            <w:r>
              <w:rPr>
                <w:rFonts w:hint="eastAsia" w:ascii="宋体" w:hAnsi="宋体" w:eastAsia="宋体" w:cs="宋体"/>
                <w:bCs/>
                <w:color w:val="auto"/>
                <w:kern w:val="2"/>
                <w:sz w:val="21"/>
                <w:szCs w:val="21"/>
                <w:highlight w:val="none"/>
                <w:lang w:val="zh-CN" w:eastAsia="zh-CN" w:bidi="ar-SA"/>
              </w:rPr>
              <w:instrText xml:space="preserve"> = 1 \* GB3 \* MERGEFORMAT </w:instrText>
            </w:r>
            <w:r>
              <w:rPr>
                <w:rFonts w:hint="eastAsia" w:ascii="宋体" w:hAnsi="宋体" w:eastAsia="宋体" w:cs="宋体"/>
                <w:bCs/>
                <w:color w:val="auto"/>
                <w:kern w:val="2"/>
                <w:sz w:val="21"/>
                <w:szCs w:val="21"/>
                <w:highlight w:val="none"/>
                <w:lang w:val="zh-CN" w:eastAsia="zh-CN" w:bidi="ar-SA"/>
              </w:rPr>
              <w:fldChar w:fldCharType="separate"/>
            </w:r>
            <w:r>
              <w:rPr>
                <w:rFonts w:hint="eastAsia" w:ascii="宋体" w:hAnsi="宋体" w:eastAsia="宋体" w:cs="宋体"/>
                <w:bCs/>
                <w:color w:val="auto"/>
                <w:kern w:val="2"/>
                <w:sz w:val="21"/>
                <w:szCs w:val="21"/>
                <w:highlight w:val="none"/>
                <w:lang w:val="en-US" w:eastAsia="zh-CN" w:bidi="ar-SA"/>
              </w:rPr>
              <w:t>①</w:t>
            </w:r>
            <w:r>
              <w:rPr>
                <w:rFonts w:hint="eastAsia" w:ascii="宋体" w:hAnsi="宋体" w:eastAsia="宋体" w:cs="宋体"/>
                <w:bCs/>
                <w:color w:val="auto"/>
                <w:kern w:val="2"/>
                <w:sz w:val="21"/>
                <w:szCs w:val="21"/>
                <w:highlight w:val="none"/>
                <w:lang w:val="zh-CN" w:eastAsia="zh-CN" w:bidi="ar-SA"/>
              </w:rPr>
              <w:fldChar w:fldCharType="end"/>
            </w:r>
            <w:r>
              <w:rPr>
                <w:rFonts w:hint="eastAsia" w:ascii="宋体" w:hAnsi="宋体" w:eastAsia="宋体" w:cs="宋体"/>
                <w:bCs/>
                <w:color w:val="auto"/>
                <w:kern w:val="2"/>
                <w:sz w:val="21"/>
                <w:szCs w:val="21"/>
                <w:highlight w:val="none"/>
                <w:lang w:val="zh-CN" w:eastAsia="zh-CN" w:bidi="ar-SA"/>
              </w:rPr>
              <w:t>正本</w:t>
            </w:r>
            <w:r>
              <w:rPr>
                <w:rFonts w:hint="eastAsia" w:ascii="宋体" w:hAnsi="宋体" w:eastAsia="宋体" w:cs="宋体"/>
                <w:bCs/>
                <w:color w:val="auto"/>
                <w:kern w:val="2"/>
                <w:sz w:val="21"/>
                <w:szCs w:val="21"/>
                <w:highlight w:val="none"/>
                <w:u w:val="single"/>
                <w:lang w:val="zh-CN" w:eastAsia="zh-CN" w:bidi="ar-SA"/>
              </w:rPr>
              <w:t xml:space="preserve"> 一 </w:t>
            </w:r>
            <w:r>
              <w:rPr>
                <w:rFonts w:hint="eastAsia" w:ascii="宋体" w:hAnsi="宋体" w:eastAsia="宋体" w:cs="宋体"/>
                <w:bCs/>
                <w:color w:val="auto"/>
                <w:kern w:val="2"/>
                <w:sz w:val="21"/>
                <w:szCs w:val="21"/>
                <w:highlight w:val="none"/>
                <w:lang w:val="zh-CN" w:eastAsia="zh-CN" w:bidi="ar-SA"/>
              </w:rPr>
              <w:t xml:space="preserve">份  </w:t>
            </w:r>
            <w:r>
              <w:rPr>
                <w:rFonts w:hint="eastAsia" w:ascii="宋体" w:hAnsi="宋体" w:eastAsia="宋体" w:cs="宋体"/>
                <w:bCs/>
                <w:color w:val="auto"/>
                <w:kern w:val="2"/>
                <w:sz w:val="21"/>
                <w:szCs w:val="21"/>
                <w:highlight w:val="none"/>
                <w:lang w:val="zh-CN" w:eastAsia="zh-CN" w:bidi="ar-SA"/>
              </w:rPr>
              <w:fldChar w:fldCharType="begin"/>
            </w:r>
            <w:r>
              <w:rPr>
                <w:rFonts w:hint="eastAsia" w:ascii="宋体" w:hAnsi="宋体" w:eastAsia="宋体" w:cs="宋体"/>
                <w:bCs/>
                <w:color w:val="auto"/>
                <w:kern w:val="2"/>
                <w:sz w:val="21"/>
                <w:szCs w:val="21"/>
                <w:highlight w:val="none"/>
                <w:lang w:val="zh-CN" w:eastAsia="zh-CN" w:bidi="ar-SA"/>
              </w:rPr>
              <w:instrText xml:space="preserve"> = 2 \* GB3 \* MERGEFORMAT </w:instrText>
            </w:r>
            <w:r>
              <w:rPr>
                <w:rFonts w:hint="eastAsia" w:ascii="宋体" w:hAnsi="宋体" w:eastAsia="宋体" w:cs="宋体"/>
                <w:bCs/>
                <w:color w:val="auto"/>
                <w:kern w:val="2"/>
                <w:sz w:val="21"/>
                <w:szCs w:val="21"/>
                <w:highlight w:val="none"/>
                <w:lang w:val="zh-CN" w:eastAsia="zh-CN" w:bidi="ar-SA"/>
              </w:rPr>
              <w:fldChar w:fldCharType="separate"/>
            </w:r>
            <w:r>
              <w:rPr>
                <w:rFonts w:hint="eastAsia" w:ascii="宋体" w:hAnsi="宋体" w:eastAsia="宋体" w:cs="宋体"/>
                <w:bCs/>
                <w:color w:val="auto"/>
                <w:kern w:val="2"/>
                <w:sz w:val="21"/>
                <w:szCs w:val="21"/>
                <w:highlight w:val="none"/>
                <w:lang w:val="en-US" w:eastAsia="zh-CN" w:bidi="ar-SA"/>
              </w:rPr>
              <w:t>②</w:t>
            </w:r>
            <w:r>
              <w:rPr>
                <w:rFonts w:hint="eastAsia" w:ascii="宋体" w:hAnsi="宋体" w:eastAsia="宋体" w:cs="宋体"/>
                <w:bCs/>
                <w:color w:val="auto"/>
                <w:kern w:val="2"/>
                <w:sz w:val="21"/>
                <w:szCs w:val="21"/>
                <w:highlight w:val="none"/>
                <w:lang w:val="zh-CN" w:eastAsia="zh-CN" w:bidi="ar-SA"/>
              </w:rPr>
              <w:fldChar w:fldCharType="end"/>
            </w:r>
            <w:r>
              <w:rPr>
                <w:rFonts w:hint="eastAsia" w:ascii="宋体" w:hAnsi="宋体" w:eastAsia="宋体" w:cs="宋体"/>
                <w:bCs/>
                <w:color w:val="auto"/>
                <w:kern w:val="2"/>
                <w:sz w:val="21"/>
                <w:szCs w:val="21"/>
                <w:highlight w:val="none"/>
                <w:lang w:val="zh-CN" w:eastAsia="zh-CN" w:bidi="ar-SA"/>
              </w:rPr>
              <w:t>副本</w:t>
            </w:r>
            <w:r>
              <w:rPr>
                <w:rFonts w:hint="eastAsia" w:ascii="宋体" w:hAnsi="宋体" w:eastAsia="宋体" w:cs="宋体"/>
                <w:bCs/>
                <w:color w:val="auto"/>
                <w:kern w:val="2"/>
                <w:sz w:val="21"/>
                <w:szCs w:val="21"/>
                <w:highlight w:val="none"/>
                <w:u w:val="single"/>
                <w:lang w:val="en-US" w:eastAsia="zh-CN" w:bidi="ar-SA"/>
              </w:rPr>
              <w:t xml:space="preserve"> 贰</w:t>
            </w:r>
            <w:r>
              <w:rPr>
                <w:rFonts w:hint="eastAsia" w:ascii="宋体" w:hAnsi="宋体" w:eastAsia="宋体" w:cs="宋体"/>
                <w:bCs/>
                <w:color w:val="auto"/>
                <w:kern w:val="2"/>
                <w:sz w:val="21"/>
                <w:szCs w:val="21"/>
                <w:highlight w:val="none"/>
                <w:u w:val="single"/>
                <w:lang w:val="zh-CN" w:eastAsia="zh-CN" w:bidi="ar-SA"/>
              </w:rPr>
              <w:t xml:space="preserve"> </w:t>
            </w:r>
            <w:r>
              <w:rPr>
                <w:rFonts w:hint="eastAsia" w:ascii="宋体" w:hAnsi="宋体" w:eastAsia="宋体" w:cs="宋体"/>
                <w:bCs/>
                <w:color w:val="auto"/>
                <w:kern w:val="2"/>
                <w:sz w:val="21"/>
                <w:szCs w:val="21"/>
                <w:highlight w:val="none"/>
                <w:lang w:val="zh-CN" w:eastAsia="zh-CN" w:bidi="ar-SA"/>
              </w:rPr>
              <w:t xml:space="preserve">份 </w:t>
            </w:r>
            <w:r>
              <w:rPr>
                <w:rFonts w:hint="eastAsia" w:ascii="宋体" w:hAnsi="宋体" w:eastAsia="宋体" w:cs="宋体"/>
                <w:bCs/>
                <w:color w:val="auto"/>
                <w:kern w:val="2"/>
                <w:sz w:val="21"/>
                <w:szCs w:val="21"/>
                <w:highlight w:val="none"/>
                <w:lang w:val="zh-CN" w:eastAsia="zh-CN" w:bidi="ar-SA"/>
              </w:rPr>
              <w:fldChar w:fldCharType="begin"/>
            </w:r>
            <w:r>
              <w:rPr>
                <w:rFonts w:hint="eastAsia" w:ascii="宋体" w:hAnsi="宋体" w:eastAsia="宋体" w:cs="宋体"/>
                <w:bCs/>
                <w:color w:val="auto"/>
                <w:kern w:val="2"/>
                <w:sz w:val="21"/>
                <w:szCs w:val="21"/>
                <w:highlight w:val="none"/>
                <w:lang w:val="zh-CN" w:eastAsia="zh-CN" w:bidi="ar-SA"/>
              </w:rPr>
              <w:instrText xml:space="preserve"> = 3 \* GB3 \* MERGEFORMAT </w:instrText>
            </w:r>
            <w:r>
              <w:rPr>
                <w:rFonts w:hint="eastAsia" w:ascii="宋体" w:hAnsi="宋体" w:eastAsia="宋体" w:cs="宋体"/>
                <w:bCs/>
                <w:color w:val="auto"/>
                <w:kern w:val="2"/>
                <w:sz w:val="21"/>
                <w:szCs w:val="21"/>
                <w:highlight w:val="none"/>
                <w:lang w:val="zh-CN" w:eastAsia="zh-CN" w:bidi="ar-SA"/>
              </w:rPr>
              <w:fldChar w:fldCharType="separate"/>
            </w:r>
            <w:r>
              <w:rPr>
                <w:rFonts w:hint="eastAsia" w:ascii="宋体" w:hAnsi="宋体" w:eastAsia="宋体" w:cs="宋体"/>
                <w:bCs/>
                <w:color w:val="auto"/>
                <w:kern w:val="2"/>
                <w:sz w:val="21"/>
                <w:szCs w:val="21"/>
                <w:highlight w:val="none"/>
                <w:lang w:val="en-US" w:eastAsia="zh-CN" w:bidi="ar-SA"/>
              </w:rPr>
              <w:t>③</w:t>
            </w:r>
            <w:r>
              <w:rPr>
                <w:rFonts w:hint="eastAsia" w:ascii="宋体" w:hAnsi="宋体" w:eastAsia="宋体" w:cs="宋体"/>
                <w:bCs/>
                <w:color w:val="auto"/>
                <w:kern w:val="2"/>
                <w:sz w:val="21"/>
                <w:szCs w:val="21"/>
                <w:highlight w:val="none"/>
                <w:lang w:val="zh-CN" w:eastAsia="zh-CN" w:bidi="ar-SA"/>
              </w:rPr>
              <w:fldChar w:fldCharType="end"/>
            </w:r>
            <w:r>
              <w:rPr>
                <w:rFonts w:hint="eastAsia" w:ascii="宋体" w:hAnsi="宋体" w:eastAsia="宋体" w:cs="宋体"/>
                <w:bCs/>
                <w:color w:val="auto"/>
                <w:kern w:val="2"/>
                <w:sz w:val="21"/>
                <w:szCs w:val="21"/>
                <w:highlight w:val="none"/>
                <w:lang w:val="zh-CN" w:eastAsia="zh-CN" w:bidi="ar-SA"/>
              </w:rPr>
              <w:t>电子版响应文件</w:t>
            </w:r>
            <w:r>
              <w:rPr>
                <w:rFonts w:hint="eastAsia" w:ascii="宋体" w:hAnsi="宋体" w:eastAsia="宋体" w:cs="宋体"/>
                <w:bCs/>
                <w:color w:val="auto"/>
                <w:kern w:val="2"/>
                <w:sz w:val="21"/>
                <w:szCs w:val="21"/>
                <w:highlight w:val="none"/>
                <w:lang w:val="en-US" w:eastAsia="zh-CN" w:bidi="ar-SA"/>
              </w:rPr>
              <w:t>U盘一个。</w:t>
            </w:r>
          </w:p>
          <w:p>
            <w:pPr>
              <w:keepNext w:val="0"/>
              <w:keepLines w:val="0"/>
              <w:pageBreakBefore w:val="0"/>
              <w:tabs>
                <w:tab w:val="left" w:pos="420"/>
              </w:tabs>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要求：</w:t>
            </w:r>
          </w:p>
          <w:p>
            <w:pPr>
              <w:keepNext w:val="0"/>
              <w:keepLines w:val="0"/>
              <w:pageBreakBefore w:val="0"/>
              <w:tabs>
                <w:tab w:val="left" w:pos="420"/>
              </w:tabs>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少于</w:t>
            </w:r>
            <w:r>
              <w:rPr>
                <w:rFonts w:hint="eastAsia" w:ascii="宋体" w:hAnsi="宋体" w:eastAsia="宋体" w:cs="宋体"/>
                <w:bCs/>
                <w:color w:val="auto"/>
                <w:sz w:val="21"/>
                <w:szCs w:val="21"/>
                <w:highlight w:val="none"/>
              </w:rPr>
              <w:t>数量要求的</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文件视为无效</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left="0" w:leftChars="0"/>
              <w:jc w:val="left"/>
              <w:textAlignment w:val="auto"/>
              <w:rPr>
                <w:rFonts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2、电子版响应文件（电子版</w:t>
            </w:r>
            <w:r>
              <w:rPr>
                <w:rFonts w:hint="eastAsia" w:ascii="宋体" w:hAnsi="宋体" w:eastAsia="宋体" w:cs="宋体"/>
                <w:bCs/>
                <w:color w:val="auto"/>
                <w:kern w:val="2"/>
                <w:sz w:val="21"/>
                <w:szCs w:val="21"/>
                <w:highlight w:val="none"/>
                <w:lang w:val="zh-CN" w:eastAsia="zh-CN" w:bidi="ar-SA"/>
              </w:rPr>
              <w:t>响应文件</w:t>
            </w:r>
            <w:r>
              <w:rPr>
                <w:rFonts w:hint="eastAsia" w:ascii="宋体" w:hAnsi="宋体" w:eastAsia="宋体" w:cs="宋体"/>
                <w:bCs/>
                <w:color w:val="auto"/>
                <w:kern w:val="2"/>
                <w:sz w:val="21"/>
                <w:szCs w:val="21"/>
                <w:highlight w:val="none"/>
                <w:lang w:val="en-US" w:eastAsia="zh-CN" w:bidi="ar-SA"/>
              </w:rPr>
              <w:t>须是PDF格式）为正本完整版的扫描件</w:t>
            </w:r>
            <w:r>
              <w:rPr>
                <w:rFonts w:hint="eastAsia" w:ascii="宋体" w:hAnsi="宋体" w:eastAsia="宋体" w:cs="宋体"/>
                <w:bCs/>
                <w:color w:val="auto"/>
                <w:kern w:val="2"/>
                <w:sz w:val="21"/>
                <w:szCs w:val="21"/>
                <w:highlight w:val="none"/>
                <w:lang w:val="zh-CN" w:eastAsia="zh-CN" w:bidi="ar-SA"/>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11</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both"/>
              <w:textAlignment w:val="auto"/>
              <w:rPr>
                <w:rFonts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textAlignment w:val="auto"/>
              <w:rPr>
                <w:rFonts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1、响应文件正本和副本须密封，并在密封处加盖单位公章或供应商授权代表签名；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2、电子版响应文件（PDF格式）与开标一览表一并密封，并在密封处加盖单位公章或供应商授权代表签名。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3、电子版响应文件和纸质版响应文件一起提交。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要求：不符合上述密封签章要求的响应文件存在视为无效响应文件风险。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jc w:val="center"/>
              <w:textAlignment w:val="auto"/>
              <w:rPr>
                <w:rFonts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1</w:t>
            </w:r>
            <w:r>
              <w:rPr>
                <w:rFonts w:hint="eastAsia" w:ascii="宋体" w:hAnsi="宋体" w:eastAsia="宋体" w:cs="宋体"/>
                <w:bCs/>
                <w:color w:val="auto"/>
                <w:kern w:val="2"/>
                <w:sz w:val="21"/>
                <w:szCs w:val="21"/>
                <w:highlight w:val="none"/>
                <w:lang w:val="en-US" w:eastAsia="zh-CN" w:bidi="ar-SA"/>
              </w:rPr>
              <w:t>2</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 xml:space="preserve">    正本（副本）</w:t>
            </w:r>
          </w:p>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项目名称:</w:t>
            </w:r>
          </w:p>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项目编号（分包号，如果有）：</w:t>
            </w:r>
          </w:p>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的名称（加盖公章）：</w:t>
            </w:r>
          </w:p>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联系人姓名、联系电话：</w:t>
            </w:r>
          </w:p>
          <w:p>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于</w:t>
            </w:r>
            <w:r>
              <w:rPr>
                <w:rFonts w:hint="eastAsia" w:ascii="宋体" w:hAnsi="宋体" w:eastAsia="宋体" w:cs="宋体"/>
                <w:bCs/>
                <w:color w:val="auto"/>
                <w:kern w:val="0"/>
                <w:sz w:val="21"/>
                <w:szCs w:val="21"/>
                <w:highlight w:val="none"/>
                <w:lang w:val="en-US" w:eastAsia="zh-CN" w:bidi="ar-SA"/>
              </w:rPr>
              <w:t>在2024</w:t>
            </w:r>
            <w:r>
              <w:rPr>
                <w:rFonts w:hint="eastAsia" w:ascii="宋体" w:hAnsi="宋体" w:eastAsia="宋体" w:cs="宋体"/>
                <w:bCs/>
                <w:color w:val="auto"/>
                <w:kern w:val="0"/>
                <w:sz w:val="21"/>
                <w:szCs w:val="21"/>
                <w:highlight w:val="none"/>
                <w:lang w:val="zh-CN" w:eastAsia="zh-CN" w:bidi="ar-SA"/>
              </w:rPr>
              <w:t>年</w:t>
            </w: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zh-CN" w:eastAsia="zh-CN" w:bidi="ar-SA"/>
              </w:rPr>
              <w:t>月</w:t>
            </w:r>
            <w:r>
              <w:rPr>
                <w:rFonts w:hint="eastAsia" w:ascii="宋体" w:hAnsi="宋体" w:eastAsia="宋体" w:cs="宋体"/>
                <w:bCs/>
                <w:color w:val="auto"/>
                <w:kern w:val="0"/>
                <w:sz w:val="21"/>
                <w:szCs w:val="21"/>
                <w:highlight w:val="none"/>
                <w:lang w:val="en-US" w:eastAsia="zh-CN" w:bidi="ar-SA"/>
              </w:rPr>
              <w:t>25</w:t>
            </w:r>
            <w:r>
              <w:rPr>
                <w:rFonts w:hint="eastAsia" w:ascii="宋体" w:hAnsi="宋体" w:eastAsia="宋体" w:cs="宋体"/>
                <w:bCs/>
                <w:color w:val="auto"/>
                <w:kern w:val="0"/>
                <w:sz w:val="21"/>
                <w:szCs w:val="21"/>
                <w:highlight w:val="none"/>
                <w:lang w:val="zh-CN" w:eastAsia="zh-CN" w:bidi="ar-SA"/>
              </w:rPr>
              <w:t>日</w:t>
            </w:r>
            <w:r>
              <w:rPr>
                <w:rFonts w:hint="eastAsia" w:ascii="宋体" w:hAnsi="宋体" w:eastAsia="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zh-CN" w:eastAsia="zh-CN" w:bidi="ar-SA"/>
              </w:rPr>
              <w:t>时</w:t>
            </w:r>
            <w:r>
              <w:rPr>
                <w:rFonts w:hint="eastAsia" w:ascii="宋体" w:hAnsi="宋体" w:eastAsia="宋体" w:cs="宋体"/>
                <w:bCs/>
                <w:color w:val="auto"/>
                <w:kern w:val="0"/>
                <w:sz w:val="21"/>
                <w:szCs w:val="21"/>
                <w:highlight w:val="none"/>
                <w:lang w:val="en-US" w:eastAsia="zh-CN" w:bidi="ar-SA"/>
              </w:rPr>
              <w:t>00</w:t>
            </w:r>
            <w:r>
              <w:rPr>
                <w:rFonts w:hint="eastAsia" w:ascii="宋体" w:hAnsi="宋体" w:eastAsia="宋体" w:cs="宋体"/>
                <w:bCs/>
                <w:color w:val="auto"/>
                <w:kern w:val="0"/>
                <w:sz w:val="21"/>
                <w:szCs w:val="21"/>
                <w:highlight w:val="none"/>
                <w:lang w:val="zh-CN" w:eastAsia="zh-CN" w:bidi="ar-SA"/>
              </w:rPr>
              <w:t>分前</w:t>
            </w:r>
            <w:r>
              <w:rPr>
                <w:rFonts w:hint="eastAsia" w:ascii="宋体" w:hAnsi="宋体" w:eastAsia="宋体" w:cs="宋体"/>
                <w:bCs/>
                <w:color w:val="auto"/>
                <w:kern w:val="0"/>
                <w:sz w:val="21"/>
                <w:szCs w:val="21"/>
                <w:highlight w:val="none"/>
                <w:lang w:val="en-US" w:eastAsia="zh-CN" w:bidi="ar-SA"/>
              </w:rPr>
              <w:t>（开标时间</w:t>
            </w:r>
            <w:r>
              <w:rPr>
                <w:rFonts w:hint="eastAsia" w:ascii="宋体" w:hAnsi="宋体" w:eastAsia="宋体" w:cs="宋体"/>
                <w:bCs/>
                <w:color w:val="auto"/>
                <w:sz w:val="21"/>
                <w:szCs w:val="21"/>
                <w:highlight w:val="none"/>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13</w:t>
            </w:r>
          </w:p>
        </w:tc>
        <w:tc>
          <w:tcPr>
            <w:tcW w:w="2435"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参加开标供应商代表身份证明文件</w:t>
            </w:r>
          </w:p>
        </w:tc>
        <w:tc>
          <w:tcPr>
            <w:tcW w:w="522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14</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开标程序</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0" w:leftChars="0"/>
              <w:textAlignment w:val="auto"/>
              <w:outlineLvl w:val="1"/>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1、主持人宣布开标会议开始；</w:t>
            </w:r>
          </w:p>
          <w:p>
            <w:pPr>
              <w:keepNext w:val="0"/>
              <w:keepLines w:val="0"/>
              <w:pageBreakBefore w:val="0"/>
              <w:kinsoku/>
              <w:wordWrap/>
              <w:overflowPunct/>
              <w:topLinePunct w:val="0"/>
              <w:bidi w:val="0"/>
              <w:adjustRightInd w:val="0"/>
              <w:snapToGrid w:val="0"/>
              <w:spacing w:line="360" w:lineRule="auto"/>
              <w:ind w:left="0" w:leftChars="0"/>
              <w:textAlignment w:val="auto"/>
              <w:outlineLvl w:val="1"/>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2、介绍参加开标会议的人员；</w:t>
            </w:r>
          </w:p>
          <w:p>
            <w:pPr>
              <w:keepNext w:val="0"/>
              <w:keepLines w:val="0"/>
              <w:pageBreakBefore w:val="0"/>
              <w:kinsoku/>
              <w:wordWrap/>
              <w:overflowPunct/>
              <w:topLinePunct w:val="0"/>
              <w:bidi w:val="0"/>
              <w:adjustRightInd w:val="0"/>
              <w:snapToGrid w:val="0"/>
              <w:spacing w:line="360" w:lineRule="auto"/>
              <w:ind w:left="0" w:leftChars="0"/>
              <w:textAlignment w:val="auto"/>
              <w:outlineLvl w:val="1"/>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3、宣读开标纪律；</w:t>
            </w:r>
          </w:p>
          <w:p>
            <w:pPr>
              <w:keepNext w:val="0"/>
              <w:keepLines w:val="0"/>
              <w:pageBreakBefore w:val="0"/>
              <w:kinsoku/>
              <w:wordWrap/>
              <w:overflowPunct/>
              <w:topLinePunct w:val="0"/>
              <w:bidi w:val="0"/>
              <w:adjustRightInd w:val="0"/>
              <w:snapToGrid w:val="0"/>
              <w:spacing w:line="360" w:lineRule="auto"/>
              <w:ind w:left="0" w:leftChars="0"/>
              <w:textAlignment w:val="auto"/>
              <w:outlineLvl w:val="1"/>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4、查验各</w:t>
            </w:r>
            <w:r>
              <w:rPr>
                <w:rFonts w:hint="eastAsia" w:ascii="Times New Roman" w:hAnsi="Times New Roman" w:eastAsia="宋体" w:cs="Times New Roman"/>
                <w:color w:val="auto"/>
                <w:szCs w:val="24"/>
                <w:highlight w:val="none"/>
                <w:lang w:eastAsia="zh-CN"/>
              </w:rPr>
              <w:t>响应文件</w:t>
            </w:r>
            <w:r>
              <w:rPr>
                <w:rFonts w:hint="eastAsia" w:ascii="Times New Roman" w:hAnsi="Times New Roman" w:eastAsia="宋体" w:cs="Times New Roman"/>
                <w:color w:val="auto"/>
                <w:szCs w:val="24"/>
                <w:highlight w:val="none"/>
              </w:rPr>
              <w:t>的密封性并予以确认；</w:t>
            </w:r>
          </w:p>
          <w:p>
            <w:pPr>
              <w:keepNext w:val="0"/>
              <w:keepLines w:val="0"/>
              <w:pageBreakBefore w:val="0"/>
              <w:kinsoku/>
              <w:wordWrap/>
              <w:overflowPunct/>
              <w:topLinePunct w:val="0"/>
              <w:bidi w:val="0"/>
              <w:adjustRightInd w:val="0"/>
              <w:snapToGrid w:val="0"/>
              <w:spacing w:line="360" w:lineRule="auto"/>
              <w:ind w:left="0" w:leftChars="0"/>
              <w:textAlignment w:val="auto"/>
              <w:outlineLvl w:val="1"/>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5、拆封</w:t>
            </w:r>
            <w:r>
              <w:rPr>
                <w:rFonts w:hint="eastAsia" w:ascii="Times New Roman" w:hAnsi="Times New Roman" w:eastAsia="宋体" w:cs="Times New Roman"/>
                <w:color w:val="auto"/>
                <w:szCs w:val="24"/>
                <w:highlight w:val="none"/>
                <w:lang w:eastAsia="zh-CN"/>
              </w:rPr>
              <w:t>响应文件</w:t>
            </w:r>
            <w:r>
              <w:rPr>
                <w:rFonts w:hint="eastAsia" w:ascii="Times New Roman" w:hAnsi="Times New Roman" w:eastAsia="宋体" w:cs="Times New Roman"/>
                <w:color w:val="auto"/>
                <w:szCs w:val="24"/>
                <w:highlight w:val="none"/>
              </w:rPr>
              <w:t>；</w:t>
            </w:r>
          </w:p>
          <w:p>
            <w:pPr>
              <w:keepNext w:val="0"/>
              <w:keepLines w:val="0"/>
              <w:pageBreakBefore w:val="0"/>
              <w:kinsoku/>
              <w:wordWrap/>
              <w:overflowPunct/>
              <w:topLinePunct w:val="0"/>
              <w:bidi w:val="0"/>
              <w:adjustRightInd w:val="0"/>
              <w:snapToGrid w:val="0"/>
              <w:spacing w:line="360" w:lineRule="auto"/>
              <w:ind w:left="0" w:leftChars="0"/>
              <w:textAlignment w:val="auto"/>
              <w:outlineLvl w:val="1"/>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6、唱标，唱标内容为“开标一览表”所载明的内容；</w:t>
            </w:r>
          </w:p>
          <w:p>
            <w:pPr>
              <w:keepNext w:val="0"/>
              <w:keepLines w:val="0"/>
              <w:pageBreakBefore w:val="0"/>
              <w:kinsoku/>
              <w:wordWrap/>
              <w:overflowPunct/>
              <w:topLinePunct w:val="0"/>
              <w:bidi w:val="0"/>
              <w:adjustRightInd w:val="0"/>
              <w:snapToGrid w:val="0"/>
              <w:spacing w:line="360" w:lineRule="auto"/>
              <w:ind w:left="0" w:leftChars="0"/>
              <w:textAlignment w:val="auto"/>
              <w:outlineLvl w:val="1"/>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7、记录唱标结果及开标过程；</w:t>
            </w:r>
          </w:p>
          <w:p>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8、主持人宣布开标会议结束。</w:t>
            </w:r>
          </w:p>
          <w:p>
            <w:pPr>
              <w:keepNext w:val="0"/>
              <w:keepLines w:val="0"/>
              <w:pageBreakBefore w:val="0"/>
              <w:widowControl w:val="0"/>
              <w:kinsoku/>
              <w:wordWrap/>
              <w:overflowPunct/>
              <w:topLinePunct w:val="0"/>
              <w:bidi w:val="0"/>
              <w:snapToGrid w:val="0"/>
              <w:spacing w:after="0" w:line="360" w:lineRule="auto"/>
              <w:ind w:left="0" w:leftChars="0" w:firstLine="0" w:firstLineChars="0"/>
              <w:jc w:val="both"/>
              <w:textAlignment w:val="auto"/>
              <w:rPr>
                <w:rFonts w:ascii="仿宋_GB2312" w:hAnsi="Times New Roman" w:eastAsia="仿宋_GB2312" w:cs="Times New Roman"/>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备注：本项目不要求供应商授权代表参与开标会议</w:t>
            </w:r>
            <w:r>
              <w:rPr>
                <w:rFonts w:hint="eastAsia" w:ascii="仿宋_GB2312" w:hAnsi="Times New Roman" w:eastAsia="仿宋_GB2312" w:cs="Times New Roman"/>
                <w:bCs/>
                <w:color w:val="auto"/>
                <w:kern w:val="2"/>
                <w:sz w:val="21"/>
                <w:szCs w:val="21"/>
                <w:highlight w:val="none"/>
                <w:lang w:val="en-US" w:eastAsia="zh-CN" w:bidi="ar-SA"/>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唱标内容</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1、“开标一览表”所载明的内容</w:t>
            </w:r>
          </w:p>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若有说明应在开标一览表显著处予以注明，只有开标时唱出的</w:t>
            </w:r>
            <w:r>
              <w:rPr>
                <w:rFonts w:hint="eastAsia" w:ascii="宋体" w:hAnsi="宋体" w:eastAsia="宋体" w:cs="宋体"/>
                <w:bCs/>
                <w:color w:val="auto"/>
                <w:sz w:val="21"/>
                <w:szCs w:val="21"/>
                <w:highlight w:val="none"/>
                <w:lang w:eastAsia="zh-CN"/>
              </w:rPr>
              <w:t>响应价格</w:t>
            </w:r>
            <w:r>
              <w:rPr>
                <w:rFonts w:hint="eastAsia" w:ascii="宋体" w:hAnsi="宋体" w:eastAsia="宋体" w:cs="宋体"/>
                <w:bCs/>
                <w:color w:val="auto"/>
                <w:sz w:val="21"/>
                <w:szCs w:val="21"/>
                <w:highlight w:val="none"/>
              </w:rPr>
              <w:t>、价格折扣等内容才会被考虑。</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若有</w:t>
            </w: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、价格折扣等未被唱出</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，应在唱标时及时提出。否则，</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16</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0" w:leftChars="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修正内容</w:t>
            </w:r>
          </w:p>
        </w:tc>
        <w:tc>
          <w:tcPr>
            <w:tcW w:w="52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中开标一览表（报价表）内容与</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trPr>
        <w:tc>
          <w:tcPr>
            <w:tcW w:w="640"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17</w:t>
            </w:r>
          </w:p>
        </w:tc>
        <w:tc>
          <w:tcPr>
            <w:tcW w:w="2435"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both"/>
              <w:textAlignment w:val="auto"/>
              <w:rPr>
                <w:rFonts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zh-CN" w:eastAsia="zh-CN" w:bidi="ar-SA"/>
              </w:rPr>
              <w:t>评审方法</w:t>
            </w:r>
          </w:p>
        </w:tc>
        <w:tc>
          <w:tcPr>
            <w:tcW w:w="522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zh-CN" w:eastAsia="zh-CN" w:bidi="ar-SA"/>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18</w:t>
            </w:r>
          </w:p>
        </w:tc>
        <w:tc>
          <w:tcPr>
            <w:tcW w:w="7655"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bidi="ar-SA"/>
              </w:rPr>
              <w:t>本项目</w:t>
            </w:r>
            <w:r>
              <w:rPr>
                <w:rFonts w:hint="eastAsia" w:ascii="宋体" w:hAnsi="宋体" w:eastAsia="宋体" w:cs="宋体"/>
                <w:b w:val="0"/>
                <w:bCs w:val="0"/>
                <w:color w:val="auto"/>
                <w:sz w:val="21"/>
                <w:szCs w:val="21"/>
                <w:highlight w:val="none"/>
                <w:lang w:val="en-US" w:eastAsia="zh-CN" w:bidi="ar-SA"/>
              </w:rPr>
              <w:t>对应的中小企业划分标准所属行业：其他未列明行业。</w:t>
            </w:r>
          </w:p>
        </w:tc>
      </w:tr>
    </w:tbl>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一、总则</w:t>
      </w:r>
      <w:bookmarkEnd w:id="30"/>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kern w:val="0"/>
          <w:sz w:val="21"/>
          <w:szCs w:val="21"/>
          <w:highlight w:val="none"/>
        </w:rPr>
      </w:pPr>
      <w:bookmarkStart w:id="31" w:name="_Toc246826115"/>
      <w:r>
        <w:rPr>
          <w:rFonts w:hint="eastAsia" w:ascii="宋体" w:hAnsi="宋体" w:eastAsia="宋体" w:cs="宋体"/>
          <w:bCs/>
          <w:color w:val="auto"/>
          <w:kern w:val="0"/>
          <w:sz w:val="21"/>
          <w:szCs w:val="21"/>
          <w:highlight w:val="none"/>
        </w:rPr>
        <w:t>1、适用范围</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本采购文件仅适用于本次</w:t>
      </w:r>
      <w:r>
        <w:rPr>
          <w:rFonts w:hint="eastAsia" w:ascii="宋体" w:hAnsi="宋体" w:eastAsia="宋体" w:cs="宋体"/>
          <w:bCs/>
          <w:color w:val="auto"/>
          <w:kern w:val="0"/>
          <w:sz w:val="21"/>
          <w:szCs w:val="21"/>
          <w:highlight w:val="none"/>
          <w:lang w:val="en-US" w:eastAsia="zh-CN"/>
        </w:rPr>
        <w:t>比选公告</w:t>
      </w:r>
      <w:r>
        <w:rPr>
          <w:rFonts w:hint="eastAsia" w:ascii="宋体" w:hAnsi="宋体" w:eastAsia="宋体" w:cs="宋体"/>
          <w:bCs/>
          <w:color w:val="auto"/>
          <w:kern w:val="0"/>
          <w:sz w:val="21"/>
          <w:szCs w:val="21"/>
          <w:highlight w:val="none"/>
        </w:rPr>
        <w:t>中所述项目的采购。</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2、定义</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本采购文件中的下列术语应解释为：</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2.1“采购人”系指本项目的采购人，是依法开展政府采购活动的国家机关、事业单位</w:t>
      </w:r>
      <w:r>
        <w:rPr>
          <w:rFonts w:hint="eastAsia" w:ascii="宋体" w:hAnsi="宋体" w:eastAsia="宋体" w:cs="宋体"/>
          <w:bCs/>
          <w:color w:val="auto"/>
          <w:kern w:val="0"/>
          <w:sz w:val="21"/>
          <w:szCs w:val="21"/>
          <w:highlight w:val="none"/>
          <w:lang w:eastAsia="zh-CN"/>
        </w:rPr>
        <w:t>和</w:t>
      </w:r>
      <w:r>
        <w:rPr>
          <w:rFonts w:hint="eastAsia" w:ascii="宋体" w:hAnsi="宋体" w:eastAsia="宋体" w:cs="宋体"/>
          <w:bCs/>
          <w:color w:val="auto"/>
          <w:kern w:val="0"/>
          <w:sz w:val="21"/>
          <w:szCs w:val="21"/>
          <w:highlight w:val="none"/>
        </w:rPr>
        <w:t>团体组织。在履行合同阶段称为甲方或买方。</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”系指向采购人提供货物、工程或者服务的法人、</w:t>
      </w:r>
      <w:r>
        <w:rPr>
          <w:rFonts w:hint="eastAsia" w:ascii="宋体" w:hAnsi="宋体" w:eastAsia="宋体" w:cs="宋体"/>
          <w:bCs/>
          <w:color w:val="auto"/>
          <w:kern w:val="0"/>
          <w:sz w:val="21"/>
          <w:szCs w:val="21"/>
          <w:highlight w:val="none"/>
          <w:lang w:eastAsia="zh-CN"/>
        </w:rPr>
        <w:t>其他组织</w:t>
      </w:r>
      <w:r>
        <w:rPr>
          <w:rFonts w:hint="eastAsia" w:ascii="宋体" w:hAnsi="宋体" w:eastAsia="宋体" w:cs="宋体"/>
          <w:bCs/>
          <w:color w:val="auto"/>
          <w:kern w:val="0"/>
          <w:sz w:val="21"/>
          <w:szCs w:val="21"/>
          <w:highlight w:val="none"/>
        </w:rPr>
        <w:t>或者自然人。法人</w:t>
      </w:r>
      <w:r>
        <w:rPr>
          <w:rFonts w:hint="eastAsia" w:ascii="宋体" w:hAnsi="宋体" w:eastAsia="宋体" w:cs="宋体"/>
          <w:bCs/>
          <w:color w:val="auto"/>
          <w:kern w:val="0"/>
          <w:sz w:val="21"/>
          <w:szCs w:val="21"/>
          <w:highlight w:val="none"/>
          <w:lang w:eastAsia="zh-CN"/>
        </w:rPr>
        <w:t>的</w:t>
      </w:r>
      <w:r>
        <w:rPr>
          <w:rFonts w:hint="eastAsia" w:ascii="宋体" w:hAnsi="宋体" w:eastAsia="宋体" w:cs="宋体"/>
          <w:bCs/>
          <w:color w:val="auto"/>
          <w:kern w:val="0"/>
          <w:sz w:val="21"/>
          <w:szCs w:val="21"/>
          <w:highlight w:val="none"/>
        </w:rPr>
        <w:t>分支机构不得参加政府采购活动，但银行、保险、石油石化、电力、电信等特殊行业除外</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kern w:val="0"/>
          <w:sz w:val="21"/>
          <w:szCs w:val="21"/>
          <w:highlight w:val="none"/>
        </w:rPr>
        <w:t>。</w:t>
      </w:r>
      <w:bookmarkStart w:id="32" w:name="_Toc267320062"/>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w:t>
      </w:r>
      <w:bookmarkEnd w:id="32"/>
      <w:r>
        <w:rPr>
          <w:rFonts w:hint="eastAsia" w:ascii="宋体" w:hAnsi="宋体" w:eastAsia="宋体" w:cs="宋体"/>
          <w:bCs/>
          <w:color w:val="auto"/>
          <w:kern w:val="0"/>
          <w:sz w:val="21"/>
          <w:szCs w:val="21"/>
          <w:highlight w:val="none"/>
          <w:lang w:eastAsia="zh-CN"/>
        </w:rPr>
        <w:t>供应商</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3.1合格</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条件</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3.1.1在中华人民共和国境内注册，能够独立承担民事责任，有生产或供应能力的本国供应商，包括法人、其他组织</w:t>
      </w:r>
      <w:r>
        <w:rPr>
          <w:rFonts w:hint="eastAsia" w:ascii="宋体" w:hAnsi="宋体" w:eastAsia="宋体" w:cs="宋体"/>
          <w:bCs/>
          <w:color w:val="auto"/>
          <w:sz w:val="21"/>
          <w:szCs w:val="21"/>
          <w:highlight w:val="none"/>
          <w:lang w:val="zh-CN"/>
        </w:rPr>
        <w:t>或者</w:t>
      </w:r>
      <w:r>
        <w:rPr>
          <w:rFonts w:hint="eastAsia" w:ascii="宋体" w:hAnsi="宋体" w:eastAsia="宋体" w:cs="宋体"/>
          <w:bCs/>
          <w:color w:val="auto"/>
          <w:sz w:val="21"/>
          <w:szCs w:val="21"/>
          <w:highlight w:val="none"/>
        </w:rPr>
        <w:t>自然人；</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3.1.2符合《政府采购法》第二十二条规定的条件：</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3.1.2.1具有独立承担民事责任的能力；</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  3.1.2.1具有良好的商业信誉和健全的财务会计制度；</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  3.1.2.1具有履行合同所必需的设备和专业技术能力；</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  3.1.2.1有依法缴纳税收和社会保障资金的良好记录；</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  3.1.2.1参加政府采购活动前三年内，在经营活动中没有重大违法记录；</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  3.1.2.1法律、行政法规规定的其他条件。</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3.1.3满足采购文件报价、商务和技术等实质性要求的；</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的风险</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3.2.1</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没有按照采购文件的要求编制、签署、密封、标记、递交及修正</w:t>
      </w:r>
      <w:r>
        <w:rPr>
          <w:rFonts w:hint="eastAsia" w:ascii="宋体" w:hAnsi="宋体" w:eastAsia="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的，或者</w:t>
      </w:r>
      <w:r>
        <w:rPr>
          <w:rFonts w:hint="eastAsia" w:ascii="宋体" w:hAnsi="宋体" w:eastAsia="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没有对采购文件在各方面都做出实质性响应的，将导致</w:t>
      </w:r>
      <w:r>
        <w:rPr>
          <w:rFonts w:hint="eastAsia" w:ascii="宋体" w:hAnsi="宋体" w:eastAsia="宋体" w:cs="宋体"/>
          <w:bCs/>
          <w:color w:val="auto"/>
          <w:kern w:val="0"/>
          <w:sz w:val="21"/>
          <w:szCs w:val="21"/>
          <w:highlight w:val="none"/>
          <w:lang w:val="en-US" w:eastAsia="zh-CN"/>
        </w:rPr>
        <w:t>响应</w:t>
      </w:r>
      <w:r>
        <w:rPr>
          <w:rFonts w:hint="eastAsia" w:ascii="宋体" w:hAnsi="宋体" w:eastAsia="宋体" w:cs="宋体"/>
          <w:bCs/>
          <w:color w:val="auto"/>
          <w:kern w:val="0"/>
          <w:sz w:val="21"/>
          <w:szCs w:val="21"/>
          <w:highlight w:val="none"/>
        </w:rPr>
        <w:t>无效。</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3.2.2</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提交的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内容有下列情形之一的，一经发现，视为无效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，并依法上报</w:t>
      </w:r>
      <w:r>
        <w:rPr>
          <w:rFonts w:hint="eastAsia" w:ascii="宋体" w:hAnsi="宋体" w:eastAsia="宋体" w:cs="宋体"/>
          <w:bCs/>
          <w:color w:val="auto"/>
          <w:sz w:val="21"/>
          <w:szCs w:val="21"/>
          <w:highlight w:val="none"/>
          <w:lang w:eastAsia="zh-CN"/>
        </w:rPr>
        <w:t>政府采购</w:t>
      </w:r>
      <w:r>
        <w:rPr>
          <w:rFonts w:hint="eastAsia" w:ascii="宋体" w:hAnsi="宋体" w:eastAsia="宋体" w:cs="宋体"/>
          <w:bCs/>
          <w:color w:val="auto"/>
          <w:sz w:val="21"/>
          <w:szCs w:val="21"/>
          <w:highlight w:val="none"/>
        </w:rPr>
        <w:t>监督</w:t>
      </w:r>
      <w:r>
        <w:rPr>
          <w:rFonts w:hint="eastAsia" w:ascii="宋体" w:hAnsi="宋体" w:eastAsia="宋体" w:cs="宋体"/>
          <w:bCs/>
          <w:color w:val="auto"/>
          <w:sz w:val="21"/>
          <w:szCs w:val="21"/>
          <w:highlight w:val="none"/>
          <w:lang w:eastAsia="zh-CN"/>
        </w:rPr>
        <w:t>管理</w:t>
      </w:r>
      <w:r>
        <w:rPr>
          <w:rFonts w:hint="eastAsia" w:ascii="宋体" w:hAnsi="宋体" w:eastAsia="宋体" w:cs="宋体"/>
          <w:bCs/>
          <w:color w:val="auto"/>
          <w:sz w:val="21"/>
          <w:szCs w:val="21"/>
          <w:highlight w:val="none"/>
        </w:rPr>
        <w:t>部门处理</w:t>
      </w:r>
      <w:r>
        <w:rPr>
          <w:rFonts w:hint="eastAsia" w:ascii="宋体" w:hAnsi="宋体" w:eastAsia="宋体" w:cs="宋体"/>
          <w:bCs/>
          <w:color w:val="auto"/>
          <w:kern w:val="0"/>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（1）提供虚假的资料</w:t>
      </w:r>
      <w:r>
        <w:rPr>
          <w:rFonts w:hint="eastAsia" w:ascii="宋体" w:hAnsi="宋体" w:eastAsia="宋体" w:cs="宋体"/>
          <w:bCs/>
          <w:color w:val="auto"/>
          <w:kern w:val="0"/>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（2）在实质性方面失实</w:t>
      </w:r>
      <w:r>
        <w:rPr>
          <w:rFonts w:hint="eastAsia" w:ascii="宋体" w:hAnsi="宋体" w:eastAsia="宋体" w:cs="宋体"/>
          <w:bCs/>
          <w:color w:val="auto"/>
          <w:kern w:val="0"/>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3.2.3</w:t>
      </w:r>
      <w:r>
        <w:rPr>
          <w:rFonts w:hint="eastAsia" w:ascii="宋体" w:hAnsi="宋体" w:eastAsia="宋体" w:cs="宋体"/>
          <w:bCs/>
          <w:color w:val="auto"/>
          <w:sz w:val="21"/>
          <w:szCs w:val="21"/>
          <w:highlight w:val="none"/>
        </w:rPr>
        <w:t>供应商享受政策优惠条件但提供的证明（说明）文件或</w:t>
      </w:r>
      <w:r>
        <w:rPr>
          <w:rFonts w:hint="eastAsia" w:ascii="Times New Roman" w:hAnsi="Times New Roman" w:eastAsia="宋体" w:cs="Times New Roman"/>
          <w:color w:val="auto"/>
          <w:sz w:val="21"/>
          <w:szCs w:val="21"/>
          <w:highlight w:val="none"/>
        </w:rPr>
        <w:t>承诺文件失实的，</w:t>
      </w:r>
      <w:r>
        <w:rPr>
          <w:rFonts w:hint="eastAsia" w:ascii="宋体" w:hAnsi="宋体" w:eastAsia="宋体" w:cs="宋体"/>
          <w:bCs/>
          <w:color w:val="auto"/>
          <w:sz w:val="21"/>
          <w:szCs w:val="21"/>
          <w:highlight w:val="none"/>
        </w:rPr>
        <w:t>视同</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提供虚假资料论处。</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参与采购活动</w:t>
      </w:r>
      <w:r>
        <w:rPr>
          <w:rFonts w:hint="eastAsia" w:ascii="宋体" w:hAnsi="宋体" w:eastAsia="宋体" w:cs="宋体"/>
          <w:bCs/>
          <w:color w:val="auto"/>
          <w:sz w:val="21"/>
          <w:szCs w:val="21"/>
          <w:highlight w:val="none"/>
        </w:rPr>
        <w:t>费用</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4.1无论</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过程中的做法和结果如何，</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自行承担所有与参加</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活动有关的全部费用；</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ageBreakBefore w:val="0"/>
        <w:widowControl w:val="0"/>
        <w:wordWrap/>
        <w:topLinePunct w:val="0"/>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5.1关于符合上述规定的小微企业（供应商）参与响应</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5.1.1监狱企业、残疾人福利性单位视同小型、微型企业；以联合体形式参加政府采购活动，联合体各方均为小微企业的，联合体视同为小微企业。</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5.1.2</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为符合规定的小型或微型企业时，报价给予20%的价格扣除，用扣除后的价格参与评审；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5.1.3</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为大中型企业和其他自然人、法人或者其他组织与小微企业组成联合体或者大中型企业向小微企业分包的，对联合体报价给予</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i/>
          <w:iCs/>
          <w:color w:val="auto"/>
          <w:sz w:val="21"/>
          <w:szCs w:val="21"/>
          <w:highlight w:val="none"/>
          <w:u w:val="single"/>
          <w:lang w:eastAsia="zh-CN"/>
        </w:rPr>
        <w:t>（</w:t>
      </w:r>
      <w:r>
        <w:rPr>
          <w:rFonts w:hint="eastAsia" w:ascii="宋体" w:hAnsi="宋体" w:eastAsia="宋体" w:cs="宋体"/>
          <w:bCs/>
          <w:color w:val="auto"/>
          <w:sz w:val="21"/>
          <w:szCs w:val="21"/>
          <w:highlight w:val="none"/>
        </w:rPr>
        <w:t>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5.1.4本条款中两种价格扣除优惠原则不同时使用。</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5.1.5组成联合体或者接受分包的小微企业与联合体内其他企业、分包企业之间存在直接控股、管理关系的，不享受价格扣除优惠政策；</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5.1.6</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认为其为小型或微型企业的应提供合法有效的“中小企业声明函”（附件2），并明确企业类型；</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认为其为监狱企业须提供由省级以上监狱管理局、戒毒管理局（含新疆生产建设兵团）出具的属于监狱企业的证明文件(附件3)；</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认为其为符合条件的残疾人福利性单位在参加政府采购活动时，应当提供《残疾人福利性单位声明函》（附件4），并对声明的真实性负责，否则评审时不能享受相应的价格扣除。</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5.1.7在货物采购项目中，供应商提供的货物既有小微企业制造货物，也有大中型企业制造货物的，不享受本办法规定的小微企业扶持政策。</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5.1.8享受扶持政策获得政府采购合同的，小微企业不得将合同分包给大中型企业，中型企业不得将合同分包给大型企业。</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5.2 关于强制采购节能产品、信息安全产品和优先采购环境标志产品的要求</w:t>
      </w:r>
      <w:r>
        <w:rPr>
          <w:rFonts w:hint="eastAsia" w:ascii="宋体" w:hAnsi="宋体" w:eastAsia="宋体" w:cs="宋体"/>
          <w:bCs/>
          <w:color w:val="auto"/>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5.2.2提供的产品属于信息安全产品的，供应商应当选择经国家认证的信息安全产品</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，并提供有效的中国国家信息安全产品认证证书复印件。</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5.2.3提供的产品属于政府强制采购节能产品的，供应商应当选择《节能产品政府采购清单》中的产品</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，并提供有效的节能产品认证证书复印件。</w:t>
      </w:r>
    </w:p>
    <w:p>
      <w:pPr>
        <w:pageBreakBefore w:val="0"/>
        <w:wordWrap/>
        <w:topLinePunct w:val="0"/>
        <w:bidi w:val="0"/>
        <w:adjustRightInd w:val="0"/>
        <w:snapToGrid w:val="0"/>
        <w:spacing w:line="360" w:lineRule="auto"/>
        <w:ind w:firstLine="420" w:firstLineChars="200"/>
        <w:textAlignment w:val="auto"/>
        <w:rPr>
          <w:rFonts w:ascii="Times New Roman" w:hAnsi="Times New Roman" w:eastAsia="宋体" w:cs="Times New Roman"/>
          <w:color w:val="auto"/>
          <w:sz w:val="21"/>
          <w:szCs w:val="21"/>
          <w:highlight w:val="none"/>
        </w:rPr>
      </w:pPr>
      <w:r>
        <w:rPr>
          <w:rFonts w:hint="eastAsia" w:ascii="宋体" w:hAnsi="宋体" w:eastAsia="宋体" w:cs="宋体"/>
          <w:bCs/>
          <w:color w:val="auto"/>
          <w:sz w:val="21"/>
          <w:szCs w:val="21"/>
          <w:highlight w:val="none"/>
        </w:rPr>
        <w:t>5.2.4 提供的产品属于优先采购环境标志产品的，供应商应当选择《环境标志产品政府采购清单》中的产品</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，并提供有效的环境标志产品认证证书复印件。</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6、注意事项</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6.1如果没有特别声明或要求，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被视为充分熟悉本招标项目所在地与履行合同有关的各种情况，包括自然环境、气候条件、劳动力及公用设施等，本采购文件不再对上述情况进行描述。</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分包采购详见“</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须知前附表”要求。</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bookmarkStart w:id="33" w:name="_Toc246826107"/>
      <w:r>
        <w:rPr>
          <w:rFonts w:hint="eastAsia" w:ascii="宋体" w:hAnsi="宋体" w:eastAsia="宋体" w:cs="宋体"/>
          <w:bCs/>
          <w:color w:val="auto"/>
          <w:sz w:val="21"/>
          <w:szCs w:val="21"/>
          <w:highlight w:val="none"/>
        </w:rPr>
        <w:t>二、采购文件</w:t>
      </w:r>
      <w:bookmarkEnd w:id="33"/>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7、采购文件的组成</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采购文件用以阐明供应商准备响应文件所必须的信息，以及响应、开标、评审和签订合同等有关规定。采购文件以电子版形式下载，采购文件由下述章节组成：</w:t>
      </w:r>
    </w:p>
    <w:p>
      <w:pPr>
        <w:pageBreakBefore w:val="0"/>
        <w:widowControl w:val="0"/>
        <w:wordWrap/>
        <w:topLinePunct w:val="0"/>
        <w:bidi w:val="0"/>
        <w:adjustRightInd w:val="0"/>
        <w:snapToGrid w:val="0"/>
        <w:spacing w:line="360" w:lineRule="auto"/>
        <w:ind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（1）比选公告</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（2）采购需求</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（3）供应商须知</w:t>
      </w:r>
    </w:p>
    <w:p>
      <w:pPr>
        <w:pageBreakBefore w:val="0"/>
        <w:widowControl w:val="0"/>
        <w:wordWrap/>
        <w:topLinePunct w:val="0"/>
        <w:bidi w:val="0"/>
        <w:adjustRightInd w:val="0"/>
        <w:snapToGrid w:val="0"/>
        <w:spacing w:line="360" w:lineRule="auto"/>
        <w:ind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（4）审查标准和评审标准</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（5）政府采购合同格式</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（6）响应文件格式及附件</w:t>
      </w:r>
    </w:p>
    <w:p>
      <w:pPr>
        <w:pageBreakBefore w:val="0"/>
        <w:tabs>
          <w:tab w:val="left" w:pos="720"/>
        </w:tabs>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bookmarkStart w:id="34" w:name="_Toc183582211"/>
      <w:bookmarkStart w:id="35" w:name="_Toc183682348"/>
      <w:bookmarkStart w:id="36" w:name="_Toc217446040"/>
      <w:r>
        <w:rPr>
          <w:rFonts w:hint="eastAsia" w:ascii="宋体" w:hAnsi="宋体" w:eastAsia="宋体" w:cs="宋体"/>
          <w:bCs/>
          <w:color w:val="auto"/>
          <w:sz w:val="21"/>
          <w:szCs w:val="21"/>
          <w:highlight w:val="none"/>
        </w:rPr>
        <w:t>8、采购文件的澄清</w:t>
      </w:r>
      <w:bookmarkEnd w:id="34"/>
      <w:bookmarkEnd w:id="35"/>
      <w:r>
        <w:rPr>
          <w:rFonts w:hint="eastAsia" w:ascii="宋体" w:hAnsi="宋体" w:eastAsia="宋体" w:cs="宋体"/>
          <w:bCs/>
          <w:color w:val="auto"/>
          <w:sz w:val="21"/>
          <w:szCs w:val="21"/>
          <w:highlight w:val="none"/>
        </w:rPr>
        <w:t>和修改</w:t>
      </w:r>
      <w:bookmarkEnd w:id="36"/>
    </w:p>
    <w:p>
      <w:pPr>
        <w:pageBreakBefore w:val="0"/>
        <w:tabs>
          <w:tab w:val="left" w:pos="720"/>
        </w:tabs>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8.1 在</w:t>
      </w:r>
      <w:r>
        <w:rPr>
          <w:rFonts w:hint="eastAsia" w:ascii="宋体" w:hAnsi="宋体" w:eastAsia="宋体" w:cs="宋体"/>
          <w:bCs/>
          <w:color w:val="auto"/>
          <w:sz w:val="21"/>
          <w:szCs w:val="21"/>
          <w:highlight w:val="none"/>
          <w:lang w:eastAsia="zh-CN"/>
        </w:rPr>
        <w:t>响应文件递交截止时间</w:t>
      </w:r>
      <w:r>
        <w:rPr>
          <w:rFonts w:hint="eastAsia" w:ascii="宋体" w:hAnsi="宋体" w:eastAsia="宋体" w:cs="宋体"/>
          <w:bCs/>
          <w:color w:val="auto"/>
          <w:sz w:val="21"/>
          <w:szCs w:val="21"/>
          <w:highlight w:val="none"/>
        </w:rPr>
        <w:t>前，</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无论出于何种原因，可以对采购文件进行澄清或者修改。</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8.2</w:t>
      </w:r>
      <w:bookmarkStart w:id="37" w:name="_Toc430490613"/>
      <w:bookmarkStart w:id="38" w:name="_Toc430422414"/>
      <w:bookmarkStart w:id="39" w:name="_Toc430488852"/>
      <w:bookmarkStart w:id="40" w:name="_Toc430492127"/>
      <w:bookmarkStart w:id="41" w:name="_Toc430488645"/>
      <w:bookmarkStart w:id="42" w:name="_Toc415567498"/>
      <w:bookmarkStart w:id="43" w:name="_Toc430489120"/>
      <w:r>
        <w:rPr>
          <w:rFonts w:hint="eastAsia" w:ascii="宋体" w:hAnsi="宋体" w:eastAsia="宋体" w:cs="宋体"/>
          <w:bCs/>
          <w:color w:val="auto"/>
          <w:sz w:val="21"/>
          <w:szCs w:val="21"/>
          <w:highlight w:val="none"/>
        </w:rPr>
        <w:t xml:space="preserve"> 采购文件的修改</w:t>
      </w:r>
      <w:bookmarkEnd w:id="37"/>
      <w:bookmarkEnd w:id="38"/>
      <w:bookmarkEnd w:id="39"/>
      <w:bookmarkEnd w:id="40"/>
      <w:bookmarkEnd w:id="41"/>
      <w:bookmarkEnd w:id="42"/>
      <w:bookmarkEnd w:id="43"/>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bookmarkStart w:id="44" w:name="_Toc245887536"/>
      <w:bookmarkStart w:id="45" w:name="_Toc245888275"/>
      <w:bookmarkStart w:id="46" w:name="_Toc246825804"/>
      <w:bookmarkStart w:id="47" w:name="_Toc246826109"/>
      <w:r>
        <w:rPr>
          <w:rFonts w:hint="eastAsia" w:ascii="宋体" w:hAnsi="宋体" w:eastAsia="宋体" w:cs="宋体"/>
          <w:bCs/>
          <w:color w:val="auto"/>
          <w:kern w:val="2"/>
          <w:sz w:val="21"/>
          <w:szCs w:val="21"/>
          <w:highlight w:val="none"/>
          <w:lang w:val="en-US" w:eastAsia="zh-CN" w:bidi="ar-SA"/>
        </w:rPr>
        <w:t>（1）在响应文件递交截止时间以前，采购人可主动或依供应商要求澄清或质疑的问题对采购文件进行必要的补遗、澄清或修改；</w:t>
      </w:r>
      <w:bookmarkEnd w:id="44"/>
      <w:bookmarkEnd w:id="45"/>
      <w:bookmarkEnd w:id="46"/>
      <w:bookmarkEnd w:id="47"/>
      <w:bookmarkStart w:id="48" w:name="_Toc208848971"/>
      <w:bookmarkStart w:id="49" w:name="_Toc217446041"/>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补遗、澄清或修改内容可能影响响应文件编制的，采购人须在响应文件递交截止时间2日前发布公告；不足2日的，采购人应当顺延提交响应文件的截止时间和开标时间，在此情况下，采购当事人受响应文件递交截止期制约的所有权利和义务均应延长至新的截止日期；</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（3）补遗、澄清或修改后的内容是采购文件的组成部分，并对潜在供应商具有约束力。有关</w:t>
      </w:r>
      <w:r>
        <w:rPr>
          <w:rFonts w:hint="eastAsia" w:ascii="宋体" w:hAnsi="宋体" w:eastAsia="宋体" w:cs="宋体"/>
          <w:bCs/>
          <w:color w:val="auto"/>
          <w:spacing w:val="-8"/>
          <w:kern w:val="2"/>
          <w:sz w:val="21"/>
          <w:szCs w:val="21"/>
          <w:highlight w:val="none"/>
          <w:lang w:val="en-US" w:eastAsia="zh-CN" w:bidi="ar-SA"/>
        </w:rPr>
        <w:t>本项目采购文件的补遗、澄清及变更信息以第一章指定网站公告及下载内容为准，</w:t>
      </w:r>
      <w:r>
        <w:rPr>
          <w:rFonts w:hint="eastAsia" w:ascii="宋体" w:hAnsi="宋体" w:eastAsia="宋体" w:cs="宋体"/>
          <w:bCs/>
          <w:color w:val="auto"/>
          <w:kern w:val="2"/>
          <w:sz w:val="21"/>
          <w:szCs w:val="21"/>
          <w:highlight w:val="none"/>
          <w:lang w:val="en-US" w:eastAsia="zh-CN" w:bidi="ar-SA"/>
        </w:rPr>
        <w:t>采购人不再另行通知，潜在供应商须及时关注关于本项目采购信息的更新事项，否则自行承担由此产生的风险。采购文件与更正公告的内容相互矛盾时，以最后发出的更正公告为准。</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9、其他</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9.1标前答疑会和</w:t>
      </w:r>
      <w:bookmarkEnd w:id="48"/>
      <w:bookmarkEnd w:id="49"/>
      <w:r>
        <w:rPr>
          <w:rFonts w:hint="eastAsia" w:ascii="宋体" w:hAnsi="宋体" w:eastAsia="宋体" w:cs="宋体"/>
          <w:bCs/>
          <w:color w:val="auto"/>
          <w:sz w:val="21"/>
          <w:szCs w:val="21"/>
          <w:highlight w:val="none"/>
          <w:lang w:eastAsia="zh-CN"/>
        </w:rPr>
        <w:t>现场考察</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须知前附表规定组织答疑会或/和</w:t>
      </w:r>
      <w:r>
        <w:rPr>
          <w:rFonts w:hint="eastAsia" w:ascii="宋体" w:hAnsi="宋体" w:eastAsia="宋体" w:cs="宋体"/>
          <w:bCs/>
          <w:color w:val="auto"/>
          <w:sz w:val="21"/>
          <w:szCs w:val="21"/>
          <w:highlight w:val="none"/>
          <w:lang w:eastAsia="zh-CN"/>
        </w:rPr>
        <w:t>现场考察</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按</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须知前附表规定的时间、地点组织答疑会或</w:t>
      </w:r>
      <w:r>
        <w:rPr>
          <w:rFonts w:hint="eastAsia" w:ascii="宋体" w:hAnsi="宋体" w:eastAsia="宋体" w:cs="宋体"/>
          <w:bCs/>
          <w:color w:val="auto"/>
          <w:sz w:val="21"/>
          <w:szCs w:val="21"/>
          <w:highlight w:val="none"/>
          <w:lang w:eastAsia="zh-CN"/>
        </w:rPr>
        <w:t>考察</w:t>
      </w:r>
      <w:r>
        <w:rPr>
          <w:rFonts w:hint="eastAsia" w:ascii="宋体" w:hAnsi="宋体" w:eastAsia="宋体" w:cs="宋体"/>
          <w:bCs/>
          <w:color w:val="auto"/>
          <w:sz w:val="21"/>
          <w:szCs w:val="21"/>
          <w:highlight w:val="none"/>
        </w:rPr>
        <w:t>项目现场，</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如不参加的，其风险由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不承担任何责任。</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不组织</w:t>
      </w:r>
      <w:r>
        <w:rPr>
          <w:rFonts w:hint="eastAsia" w:ascii="宋体" w:hAnsi="宋体" w:eastAsia="宋体" w:cs="宋体"/>
          <w:bCs/>
          <w:color w:val="auto"/>
          <w:sz w:val="21"/>
          <w:szCs w:val="21"/>
          <w:highlight w:val="none"/>
          <w:lang w:eastAsia="zh-CN"/>
        </w:rPr>
        <w:t>现场考察</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可以自行决定是否</w:t>
      </w:r>
      <w:r>
        <w:rPr>
          <w:rFonts w:hint="eastAsia" w:ascii="宋体" w:hAnsi="宋体" w:eastAsia="宋体" w:cs="宋体"/>
          <w:bCs/>
          <w:color w:val="auto"/>
          <w:sz w:val="21"/>
          <w:szCs w:val="21"/>
          <w:highlight w:val="none"/>
          <w:lang w:eastAsia="zh-CN"/>
        </w:rPr>
        <w:t>考察</w:t>
      </w:r>
      <w:r>
        <w:rPr>
          <w:rFonts w:hint="eastAsia" w:ascii="宋体" w:hAnsi="宋体" w:eastAsia="宋体" w:cs="宋体"/>
          <w:bCs/>
          <w:color w:val="auto"/>
          <w:sz w:val="21"/>
          <w:szCs w:val="21"/>
          <w:highlight w:val="none"/>
        </w:rPr>
        <w:t>现场。</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9.1.2答疑会上，</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将解答供应商的疑问。会上所有的解答与</w:t>
      </w:r>
      <w:r>
        <w:rPr>
          <w:rFonts w:hint="eastAsia" w:ascii="宋体" w:hAnsi="宋体" w:eastAsia="宋体" w:cs="宋体"/>
          <w:bCs/>
          <w:color w:val="auto"/>
          <w:sz w:val="21"/>
          <w:szCs w:val="21"/>
          <w:highlight w:val="none"/>
          <w:lang w:val="en-US" w:eastAsia="zh-CN"/>
        </w:rPr>
        <w:t>说明</w:t>
      </w:r>
      <w:r>
        <w:rPr>
          <w:rFonts w:hint="eastAsia" w:ascii="宋体" w:hAnsi="宋体" w:eastAsia="宋体" w:cs="宋体"/>
          <w:bCs/>
          <w:color w:val="auto"/>
          <w:sz w:val="21"/>
          <w:szCs w:val="21"/>
          <w:highlight w:val="none"/>
        </w:rPr>
        <w:t>仅供</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编制</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时参考，</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不对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据此作出的判断和决策负责。</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9.1.3</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在</w:t>
      </w:r>
      <w:r>
        <w:rPr>
          <w:rFonts w:hint="eastAsia" w:ascii="宋体" w:hAnsi="宋体" w:eastAsia="宋体" w:cs="宋体"/>
          <w:bCs/>
          <w:color w:val="auto"/>
          <w:sz w:val="21"/>
          <w:szCs w:val="21"/>
          <w:highlight w:val="none"/>
          <w:lang w:eastAsia="zh-CN"/>
        </w:rPr>
        <w:t>考察</w:t>
      </w:r>
      <w:r>
        <w:rPr>
          <w:rFonts w:hint="eastAsia" w:ascii="宋体" w:hAnsi="宋体" w:eastAsia="宋体" w:cs="宋体"/>
          <w:bCs/>
          <w:color w:val="auto"/>
          <w:sz w:val="21"/>
          <w:szCs w:val="21"/>
          <w:highlight w:val="none"/>
        </w:rPr>
        <w:t>现场中口头介绍的情况（如有），供</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在编制</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时参考，</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不对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据此作出的判断和决策负责。</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9.1.4</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不单独或者分别组织只有1个</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参加的现场考察及标前答疑会。</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9.1.5</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自行承担参加答疑或现场考察所发生的一切费用。</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9.2述标和/或演示</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具体要求详见第二章“采购需求”和/或“供应商须知前附表”有关规定。</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bookmarkStart w:id="50" w:name="_Toc246826110"/>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的编写</w:t>
      </w:r>
      <w:bookmarkEnd w:id="50"/>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10.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的编制要求：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应当根据采购文件的要求编制</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（包括签名和盖章），否则自行承担由此产生的风险。</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应当根据自己的商务能力、技术水平对采购文件提出的要求和条件逐条标明响应与否。如果因为</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填报的内容不详，或没有提供采购文件中所要求的全部资料及数据，则供应商自行承担由此产生的风险。</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10.2</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提供的文件必须真实、充分、全面，并对</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所提供全部资料的真实性和合法性承担法律责任。</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10.3每一</w:t>
      </w:r>
      <w:r>
        <w:rPr>
          <w:rFonts w:hint="eastAsia" w:ascii="宋体" w:hAnsi="宋体" w:eastAsia="宋体" w:cs="宋体"/>
          <w:bCs/>
          <w:color w:val="auto"/>
          <w:sz w:val="21"/>
          <w:szCs w:val="21"/>
          <w:highlight w:val="none"/>
          <w:lang w:val="en-US" w:eastAsia="zh-CN"/>
        </w:rPr>
        <w:t>单项服务项目</w:t>
      </w:r>
      <w:r>
        <w:rPr>
          <w:rFonts w:hint="eastAsia" w:ascii="宋体" w:hAnsi="宋体" w:eastAsia="宋体" w:cs="宋体"/>
          <w:bCs/>
          <w:color w:val="auto"/>
          <w:sz w:val="21"/>
          <w:szCs w:val="21"/>
          <w:highlight w:val="none"/>
        </w:rPr>
        <w:t>只允许有一个报价，否则将被视为无效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10.4只允许</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有一个</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方案，否则将被视为无效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。（采购文件允许有备选方案的除外）</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10.5 </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根据采购文件载明的采购项目实际情况，拟在</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后将</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项目的非主体、非关键性工作交由他人完成的，应当在</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中载明。</w:t>
      </w:r>
    </w:p>
    <w:p>
      <w:pPr>
        <w:pageBreakBefore w:val="0"/>
        <w:widowControl w:val="0"/>
        <w:wordWrap/>
        <w:topLinePunct w:val="0"/>
        <w:bidi w:val="0"/>
        <w:adjustRightInd w:val="0"/>
        <w:snapToGrid w:val="0"/>
        <w:spacing w:line="360" w:lineRule="auto"/>
        <w:ind w:firstLine="420" w:firstLineChars="200"/>
        <w:jc w:val="left"/>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10.6响应文件的正本、副本和电子版响应文件的数量应当符合采购文件的要求。</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10.7</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必须编页码，页码必须连续。</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10.8</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应装订牢固不可拆卸（如：胶订），如因装订不牢固导致的任何损失及风险由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承担。</w:t>
      </w:r>
    </w:p>
    <w:p>
      <w:pPr>
        <w:pageBreakBefore w:val="0"/>
        <w:widowControl w:val="0"/>
        <w:tabs>
          <w:tab w:val="left" w:pos="8360"/>
        </w:tabs>
        <w:wordWrap/>
        <w:topLinePunct w:val="0"/>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 响应文件语言、货物及计量单位</w:t>
      </w:r>
    </w:p>
    <w:p>
      <w:pPr>
        <w:pageBreakBefore w:val="0"/>
        <w:widowControl w:val="0"/>
        <w:tabs>
          <w:tab w:val="left" w:pos="8360"/>
        </w:tabs>
        <w:wordWrap/>
        <w:topLinePunct w:val="0"/>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11.1除采购文件中另有规定外，供应商提交的响应文件及其与采购人和采购人所有来往文件均应使用中文，若有不同文本，以中文文本为准。非中文的响应文件内容应翻译成中文。</w:t>
      </w:r>
    </w:p>
    <w:p>
      <w:pPr>
        <w:pageBreakBefore w:val="0"/>
        <w:widowControl w:val="0"/>
        <w:tabs>
          <w:tab w:val="left" w:pos="8360"/>
        </w:tabs>
        <w:wordWrap/>
        <w:topLinePunct w:val="0"/>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11.2货币单位：本次采购项目的响应均以人民币报价。</w:t>
      </w:r>
    </w:p>
    <w:p>
      <w:pPr>
        <w:pageBreakBefore w:val="0"/>
        <w:widowControl w:val="0"/>
        <w:tabs>
          <w:tab w:val="left" w:pos="8360"/>
        </w:tabs>
        <w:wordWrap/>
        <w:topLinePunct w:val="0"/>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11.3计量单位：除采购文件中另有规定外，供应商在响应文件中及其与采购人所有往来文件中所使用的计量单位均应采用中华人民共和国法定计量单位。</w:t>
      </w:r>
      <w:bookmarkStart w:id="51" w:name="_Toc217446046"/>
    </w:p>
    <w:bookmarkEnd w:id="51"/>
    <w:p>
      <w:pPr>
        <w:pageBreakBefore w:val="0"/>
        <w:widowControl w:val="0"/>
        <w:tabs>
          <w:tab w:val="left" w:pos="8360"/>
        </w:tabs>
        <w:wordWrap/>
        <w:topLinePunct w:val="0"/>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响应文件的组成：由商务部分、技术部分、价格部分以及其他部分组成。所有证明材料、说明文件、响应要求详见“供应商须知前附表”的具体要求，供应商不提供或不按要求提供的则自行承担由此产生的风险。</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12.1响应文件的商务部分</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12.1.1 商务部分是证明供应商是合格的，并且在成交后有能力履行合同的证明文件，这些文件可以是但不限于文字资料、证书复印件和数据报表等。</w:t>
      </w:r>
    </w:p>
    <w:p>
      <w:pPr>
        <w:pageBreakBefore w:val="0"/>
        <w:wordWrap/>
        <w:topLinePunct w:val="0"/>
        <w:autoSpaceDE w:val="0"/>
        <w:autoSpaceDN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12.1.2</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不满足</w:t>
      </w:r>
      <w:r>
        <w:rPr>
          <w:rFonts w:hint="eastAsia" w:ascii="宋体" w:hAnsi="宋体" w:eastAsia="宋体" w:cs="宋体"/>
          <w:bCs/>
          <w:color w:val="auto"/>
          <w:sz w:val="21"/>
          <w:szCs w:val="21"/>
          <w:highlight w:val="none"/>
          <w:lang w:val="en-US" w:eastAsia="zh-CN"/>
        </w:rPr>
        <w:t>商务部分实质性</w:t>
      </w:r>
      <w:r>
        <w:rPr>
          <w:rFonts w:hint="eastAsia" w:ascii="宋体" w:hAnsi="宋体" w:eastAsia="宋体" w:cs="宋体"/>
          <w:bCs/>
          <w:color w:val="auto"/>
          <w:sz w:val="21"/>
          <w:szCs w:val="21"/>
          <w:highlight w:val="none"/>
        </w:rPr>
        <w:t>要求的将</w:t>
      </w:r>
      <w:r>
        <w:rPr>
          <w:rFonts w:hint="eastAsia" w:ascii="宋体" w:hAnsi="宋体" w:eastAsia="宋体" w:cs="宋体"/>
          <w:bCs/>
          <w:color w:val="auto"/>
          <w:sz w:val="21"/>
          <w:szCs w:val="21"/>
          <w:highlight w:val="none"/>
          <w:lang w:eastAsia="zh-CN"/>
        </w:rPr>
        <w:t>视为无效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12.2</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的技术部分</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pPr>
        <w:pageBreakBefore w:val="0"/>
        <w:wordWrap/>
        <w:topLinePunct w:val="0"/>
        <w:autoSpaceDE w:val="0"/>
        <w:autoSpaceDN w:val="0"/>
        <w:bidi w:val="0"/>
        <w:adjustRightInd w:val="0"/>
        <w:snapToGrid w:val="0"/>
        <w:spacing w:line="360" w:lineRule="auto"/>
        <w:ind w:firstLine="420" w:firstLineChars="200"/>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12.3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 xml:space="preserve">的价格部分 </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价格部分是</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服务</w:t>
      </w:r>
      <w:r>
        <w:rPr>
          <w:rFonts w:hint="eastAsia" w:ascii="宋体" w:hAnsi="宋体" w:eastAsia="宋体" w:cs="宋体"/>
          <w:bCs/>
          <w:color w:val="auto"/>
          <w:sz w:val="21"/>
          <w:szCs w:val="21"/>
          <w:highlight w:val="none"/>
          <w:lang w:val="en-US" w:eastAsia="zh-CN"/>
        </w:rPr>
        <w:t>以及配套所需设施设备等</w:t>
      </w:r>
      <w:r>
        <w:rPr>
          <w:rFonts w:hint="eastAsia" w:ascii="宋体" w:hAnsi="宋体" w:eastAsia="宋体" w:cs="宋体"/>
          <w:bCs/>
          <w:color w:val="auto"/>
          <w:sz w:val="21"/>
          <w:szCs w:val="21"/>
          <w:highlight w:val="none"/>
        </w:rPr>
        <w:t>价格的构成所作的说明。该</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总价是</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之内；该</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总价不得高于</w:t>
      </w:r>
      <w:r>
        <w:rPr>
          <w:rFonts w:hint="eastAsia" w:ascii="宋体" w:hAnsi="宋体" w:eastAsia="宋体" w:cs="宋体"/>
          <w:bCs/>
          <w:color w:val="auto"/>
          <w:sz w:val="21"/>
          <w:szCs w:val="21"/>
          <w:highlight w:val="none"/>
          <w:lang w:eastAsia="zh-CN"/>
        </w:rPr>
        <w:t>预算金额或最高限价</w:t>
      </w:r>
      <w:r>
        <w:rPr>
          <w:rFonts w:hint="eastAsia" w:ascii="宋体" w:hAnsi="宋体" w:eastAsia="宋体" w:cs="宋体"/>
          <w:bCs/>
          <w:color w:val="auto"/>
          <w:sz w:val="21"/>
          <w:szCs w:val="21"/>
          <w:highlight w:val="none"/>
        </w:rPr>
        <w:t>，且须是本项目</w:t>
      </w:r>
      <w:r>
        <w:rPr>
          <w:rFonts w:hint="eastAsia" w:ascii="宋体" w:hAnsi="宋体" w:eastAsia="宋体" w:cs="宋体"/>
          <w:bCs/>
          <w:color w:val="auto"/>
          <w:sz w:val="21"/>
          <w:szCs w:val="21"/>
          <w:highlight w:val="none"/>
          <w:lang w:eastAsia="zh-CN"/>
        </w:rPr>
        <w:t>服务期限内所有</w:t>
      </w:r>
      <w:r>
        <w:rPr>
          <w:rFonts w:hint="eastAsia" w:ascii="宋体" w:hAnsi="宋体" w:eastAsia="宋体" w:cs="宋体"/>
          <w:bCs/>
          <w:color w:val="auto"/>
          <w:sz w:val="21"/>
          <w:szCs w:val="21"/>
          <w:highlight w:val="none"/>
        </w:rPr>
        <w:t>服务费用的总和，否则</w:t>
      </w:r>
      <w:r>
        <w:rPr>
          <w:rFonts w:hint="eastAsia" w:ascii="宋体" w:hAnsi="宋体" w:eastAsia="宋体" w:cs="宋体"/>
          <w:bCs/>
          <w:color w:val="auto"/>
          <w:sz w:val="21"/>
          <w:szCs w:val="21"/>
          <w:highlight w:val="none"/>
          <w:lang w:eastAsia="zh-CN"/>
        </w:rPr>
        <w:t>视为无效</w:t>
      </w:r>
      <w:r>
        <w:rPr>
          <w:rFonts w:hint="eastAsia" w:ascii="宋体" w:hAnsi="宋体" w:eastAsia="宋体" w:cs="宋体"/>
          <w:bCs/>
          <w:color w:val="auto"/>
          <w:sz w:val="21"/>
          <w:szCs w:val="21"/>
          <w:highlight w:val="none"/>
        </w:rPr>
        <w:t>效</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12.4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的其他部分</w:t>
      </w:r>
    </w:p>
    <w:p>
      <w:pPr>
        <w:pageBreakBefore w:val="0"/>
        <w:wordWrap/>
        <w:topLinePunct w:val="0"/>
        <w:autoSpaceDE w:val="0"/>
        <w:autoSpaceDN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其他部分由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根据编制</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需要提供的其他相关文件组成。</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有效期</w:t>
      </w:r>
    </w:p>
    <w:p>
      <w:pPr>
        <w:pageBreakBefore w:val="0"/>
        <w:wordWrap/>
        <w:topLinePunct w:val="0"/>
        <w:autoSpaceDE w:val="0"/>
        <w:autoSpaceDN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13.1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从“</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须知前附表”所规定的</w:t>
      </w:r>
      <w:r>
        <w:rPr>
          <w:rFonts w:hint="eastAsia" w:ascii="宋体" w:hAnsi="宋体" w:eastAsia="宋体" w:cs="宋体"/>
          <w:bCs/>
          <w:color w:val="auto"/>
          <w:sz w:val="21"/>
          <w:szCs w:val="21"/>
          <w:highlight w:val="none"/>
          <w:lang w:val="en-US" w:eastAsia="zh-CN"/>
        </w:rPr>
        <w:t>响应文件递交</w:t>
      </w:r>
      <w:r>
        <w:rPr>
          <w:rFonts w:hint="eastAsia" w:ascii="宋体" w:hAnsi="宋体" w:eastAsia="宋体" w:cs="宋体"/>
          <w:bCs/>
          <w:color w:val="auto"/>
          <w:sz w:val="21"/>
          <w:szCs w:val="21"/>
          <w:highlight w:val="none"/>
        </w:rPr>
        <w:t>截止期之后开始生效，在“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须知前附表”所规定的</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有效期期限内保持有效。有效期不足将导致其</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无效。</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13.2 特殊情况下</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可于</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有效期满之前书面要求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同意延长有效期，</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规定的期限内以书面形式予以答复，</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答复不明确或者逾期未答复的，均视为拒绝上述要求。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拒绝上述要求的，其</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lang w:val="en-US" w:eastAsia="zh-CN"/>
        </w:rPr>
        <w:t>如有）</w:t>
      </w:r>
      <w:r>
        <w:rPr>
          <w:rFonts w:hint="eastAsia" w:ascii="宋体" w:hAnsi="宋体" w:eastAsia="宋体" w:cs="宋体"/>
          <w:bCs/>
          <w:color w:val="auto"/>
          <w:sz w:val="21"/>
          <w:szCs w:val="21"/>
          <w:highlight w:val="none"/>
        </w:rPr>
        <w:t>可按规定予以退还。对于接受该要求的</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，既不要求也不允许其修改</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，但将要求其相应延长</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有效期，有关退还和不予退还</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的规定在</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有效期延长期内继续有效。同意</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有效期延长的，</w:t>
      </w:r>
      <w:r>
        <w:rPr>
          <w:rFonts w:hint="eastAsia" w:ascii="宋体" w:hAnsi="宋体" w:eastAsia="宋体" w:cs="宋体"/>
          <w:bCs/>
          <w:color w:val="auto"/>
          <w:sz w:val="21"/>
          <w:szCs w:val="21"/>
          <w:highlight w:val="none"/>
          <w:lang w:val="en-US" w:eastAsia="zh-CN"/>
        </w:rPr>
        <w:t>如提交的保证金为保函，应对保函做相应延长，</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自行承担由此产生的费用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不同意延长</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有效期的，</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有效期满自动失效。</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14、</w:t>
      </w:r>
      <w:r>
        <w:rPr>
          <w:rFonts w:hint="eastAsia" w:ascii="宋体" w:hAnsi="宋体" w:eastAsia="宋体" w:cs="宋体"/>
          <w:bCs/>
          <w:color w:val="auto"/>
          <w:sz w:val="21"/>
          <w:szCs w:val="21"/>
          <w:highlight w:val="none"/>
          <w:lang w:eastAsia="zh-CN"/>
        </w:rPr>
        <w:t>响应保证金</w:t>
      </w:r>
    </w:p>
    <w:p>
      <w:pPr>
        <w:pageBreakBefore w:val="0"/>
        <w:widowControl w:val="0"/>
        <w:tabs>
          <w:tab w:val="left" w:pos="8360"/>
        </w:tabs>
        <w:wordWrap/>
        <w:topLinePunct w:val="0"/>
        <w:bidi w:val="0"/>
        <w:adjustRightInd w:val="0"/>
        <w:snapToGrid w:val="0"/>
        <w:spacing w:line="360" w:lineRule="auto"/>
        <w:ind w:firstLine="420" w:firstLineChars="200"/>
        <w:jc w:val="left"/>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14.1 如项目需交纳响应保证金，则响应保证金为响应文件的组成部分之一。</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14.2 </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应在提交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之前向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交纳“</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须知前附表”所规定的</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。联合体</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的，由联合体中的一方提交</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，以一方名义提交</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的，对联合体各方均具有约束力。</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14.3 </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用于保护本次采购活动免受</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的行为而引起的风险。</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14.4 </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未按</w:t>
      </w:r>
      <w:r>
        <w:rPr>
          <w:rFonts w:hint="eastAsia" w:ascii="宋体" w:hAnsi="宋体" w:eastAsia="宋体" w:cs="宋体"/>
          <w:bCs/>
          <w:color w:val="auto"/>
          <w:sz w:val="21"/>
          <w:szCs w:val="21"/>
          <w:highlight w:val="none"/>
          <w:lang w:eastAsia="zh-CN"/>
        </w:rPr>
        <w:t>采购文件要求提交响应保证金</w:t>
      </w:r>
      <w:r>
        <w:rPr>
          <w:rFonts w:hint="eastAsia" w:ascii="宋体" w:hAnsi="宋体" w:eastAsia="宋体" w:cs="宋体"/>
          <w:bCs/>
          <w:color w:val="auto"/>
          <w:sz w:val="21"/>
          <w:szCs w:val="21"/>
          <w:highlight w:val="none"/>
        </w:rPr>
        <w:t>的，视为无效</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lang w:val="en-US" w:eastAsia="zh-CN"/>
        </w:rPr>
        <w:t>项目免收响应保证金的除外</w:t>
      </w:r>
      <w:r>
        <w:rPr>
          <w:rFonts w:hint="eastAsia" w:ascii="宋体" w:hAnsi="宋体" w:eastAsia="宋体" w:cs="宋体"/>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14.5</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未</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将在</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通知书发出后5个工作日内退还，</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将在合同送达</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存档及公告后5个工作日内退还。</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14.6 </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的有效期与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有效期一致。</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14.7</w:t>
      </w:r>
      <w:r>
        <w:rPr>
          <w:rFonts w:hint="eastAsia" w:ascii="宋体" w:hAnsi="宋体" w:eastAsia="宋体" w:cs="宋体"/>
          <w:bCs/>
          <w:color w:val="auto"/>
          <w:sz w:val="21"/>
          <w:szCs w:val="21"/>
          <w:highlight w:val="none"/>
          <w:lang w:eastAsia="zh-CN"/>
        </w:rPr>
        <w:t>供应商交</w:t>
      </w:r>
      <w:r>
        <w:rPr>
          <w:rFonts w:hint="eastAsia" w:ascii="宋体" w:hAnsi="宋体" w:eastAsia="宋体" w:cs="宋体"/>
          <w:bCs/>
          <w:color w:val="auto"/>
          <w:sz w:val="21"/>
          <w:szCs w:val="21"/>
          <w:highlight w:val="none"/>
        </w:rPr>
        <w:t>纳</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的单位名称须与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的单位名称一致，否则自行承担</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无效的风险。</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14.8 发生以下情况之一的，</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保证金将不予退还：</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w:t>
      </w:r>
      <w:r>
        <w:rPr>
          <w:rFonts w:hint="eastAsia" w:ascii="宋体" w:hAnsi="宋体" w:eastAsia="宋体" w:cs="宋体"/>
          <w:bCs/>
          <w:color w:val="auto"/>
          <w:sz w:val="21"/>
          <w:szCs w:val="21"/>
          <w:highlight w:val="none"/>
          <w:lang w:val="en-US" w:eastAsia="zh-CN"/>
        </w:rPr>
        <w:t>响应有效期内</w:t>
      </w:r>
      <w:r>
        <w:rPr>
          <w:rFonts w:hint="eastAsia" w:ascii="宋体" w:hAnsi="宋体" w:eastAsia="宋体" w:cs="宋体"/>
          <w:bCs/>
          <w:color w:val="auto"/>
          <w:sz w:val="21"/>
          <w:szCs w:val="21"/>
          <w:highlight w:val="none"/>
        </w:rPr>
        <w:t>撤回</w:t>
      </w:r>
      <w:r>
        <w:rPr>
          <w:rFonts w:hint="eastAsia" w:ascii="宋体" w:hAnsi="宋体" w:eastAsia="宋体" w:cs="宋体"/>
          <w:bCs/>
          <w:color w:val="auto"/>
          <w:sz w:val="21"/>
          <w:szCs w:val="21"/>
          <w:highlight w:val="none"/>
          <w:lang w:eastAsia="zh-CN"/>
        </w:rPr>
        <w:t>已提交的响应文件</w:t>
      </w:r>
      <w:r>
        <w:rPr>
          <w:rFonts w:hint="eastAsia" w:ascii="宋体" w:hAnsi="宋体" w:eastAsia="宋体" w:cs="宋体"/>
          <w:bCs/>
          <w:color w:val="auto"/>
          <w:sz w:val="21"/>
          <w:szCs w:val="21"/>
          <w:highlight w:val="none"/>
        </w:rPr>
        <w:t>的；</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供应商在响应文件</w:t>
      </w:r>
      <w:r>
        <w:rPr>
          <w:rFonts w:hint="eastAsia" w:ascii="宋体" w:hAnsi="宋体" w:eastAsia="宋体" w:cs="宋体"/>
          <w:bCs/>
          <w:color w:val="auto"/>
          <w:sz w:val="21"/>
          <w:szCs w:val="21"/>
          <w:highlight w:val="none"/>
        </w:rPr>
        <w:t>中提供虚假材料的；</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（3）除因不可抗力或</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文件认可的情形以外，</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放弃</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资格的</w:t>
      </w:r>
      <w:r>
        <w:rPr>
          <w:rFonts w:hint="eastAsia" w:ascii="宋体" w:hAnsi="宋体" w:eastAsia="宋体" w:cs="宋体"/>
          <w:bCs/>
          <w:color w:val="auto"/>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与采购人、其他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或者</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恶意串通的；</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无正当理由不与采购人签订合同的；</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）供应商有违反政府采购法律、法规和扰乱会场秩序行为的；</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拒绝履行合同义务的</w:t>
      </w:r>
      <w:r>
        <w:rPr>
          <w:rFonts w:hint="eastAsia" w:ascii="宋体" w:hAnsi="宋体" w:eastAsia="宋体" w:cs="宋体"/>
          <w:bCs/>
          <w:color w:val="auto"/>
          <w:sz w:val="21"/>
          <w:szCs w:val="21"/>
          <w:highlight w:val="none"/>
          <w:lang w:eastAsia="zh-CN"/>
        </w:rPr>
        <w:t>；</w:t>
      </w:r>
    </w:p>
    <w:p>
      <w:pPr>
        <w:widowControl w:val="0"/>
        <w:snapToGrid w:val="0"/>
        <w:spacing w:after="120" w:line="240" w:lineRule="auto"/>
        <w:ind w:left="0" w:leftChars="0" w:firstLine="420" w:firstLineChars="200"/>
        <w:jc w:val="both"/>
        <w:rPr>
          <w:rFonts w:hint="eastAsia" w:ascii="仿宋_GB2312" w:hAnsi="Times New Roman" w:eastAsia="宋体" w:cs="Times New Roman"/>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（8）法律法规及采购文件规定的其他情形。</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上述不予退还</w:t>
      </w:r>
      <w:r>
        <w:rPr>
          <w:rFonts w:hint="eastAsia" w:ascii="宋体" w:hAnsi="宋体" w:eastAsia="宋体" w:cs="宋体"/>
          <w:bCs/>
          <w:color w:val="auto"/>
          <w:sz w:val="21"/>
          <w:szCs w:val="21"/>
          <w:highlight w:val="none"/>
          <w:lang w:eastAsia="zh-CN"/>
        </w:rPr>
        <w:t>响应保证金</w:t>
      </w:r>
      <w:r>
        <w:rPr>
          <w:rFonts w:hint="eastAsia" w:ascii="宋体" w:hAnsi="宋体" w:eastAsia="宋体" w:cs="宋体"/>
          <w:bCs/>
          <w:color w:val="auto"/>
          <w:sz w:val="21"/>
          <w:szCs w:val="21"/>
          <w:highlight w:val="none"/>
        </w:rPr>
        <w:t>的情况给</w:t>
      </w:r>
      <w:r>
        <w:rPr>
          <w:rFonts w:hint="eastAsia" w:ascii="宋体" w:hAnsi="宋体" w:eastAsia="宋体" w:cs="宋体"/>
          <w:bCs/>
          <w:color w:val="auto"/>
          <w:sz w:val="21"/>
          <w:szCs w:val="21"/>
          <w:highlight w:val="none"/>
          <w:lang w:eastAsia="zh-CN"/>
        </w:rPr>
        <w:t>采购人或采购人</w:t>
      </w:r>
      <w:r>
        <w:rPr>
          <w:rFonts w:hint="eastAsia" w:ascii="宋体" w:hAnsi="宋体" w:eastAsia="宋体" w:cs="宋体"/>
          <w:bCs/>
          <w:color w:val="auto"/>
          <w:sz w:val="21"/>
          <w:szCs w:val="21"/>
          <w:highlight w:val="none"/>
        </w:rPr>
        <w:t>造成损失的，还要承担赔偿责任。</w:t>
      </w:r>
    </w:p>
    <w:p>
      <w:pPr>
        <w:pageBreakBefore w:val="0"/>
        <w:wordWrap/>
        <w:topLinePunct w:val="0"/>
        <w:bidi w:val="0"/>
        <w:adjustRightInd w:val="0"/>
        <w:snapToGrid w:val="0"/>
        <w:spacing w:line="360"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15.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的格式及签署</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15.1</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正本一份，副本若干份，电子版</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（PDF格式）U盘一个。正本、副本必须打印装订，副本可以用正本的完整复印件，并在封面标明“正本”、“副本”字样。电子版</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（PDF格式）为正本完整版的扫描件。正本与副本如有不一致，则以正本为准。</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15.2</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应当由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的法定代表人或经其正式授权的代表签字，授权代表须出具书面的法定代表人授权委托书并附载</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中，否则视为无效</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15.3</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所使用的印章必须为单位公章，且与</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单位名称完全一致，不能以其</w:t>
      </w:r>
      <w:r>
        <w:rPr>
          <w:rFonts w:hint="eastAsia" w:ascii="宋体" w:hAnsi="宋体" w:eastAsia="宋体" w:cs="宋体"/>
          <w:bCs/>
          <w:color w:val="auto"/>
          <w:sz w:val="21"/>
          <w:szCs w:val="21"/>
          <w:highlight w:val="none"/>
          <w:lang w:eastAsia="zh-CN"/>
        </w:rPr>
        <w:t>他</w:t>
      </w:r>
      <w:r>
        <w:rPr>
          <w:rFonts w:hint="eastAsia" w:ascii="宋体" w:hAnsi="宋体" w:eastAsia="宋体" w:cs="宋体"/>
          <w:bCs/>
          <w:color w:val="auto"/>
          <w:sz w:val="21"/>
          <w:szCs w:val="21"/>
          <w:highlight w:val="none"/>
        </w:rPr>
        <w:t>业务章或附属机构印章代替，否则视为无效</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15.4</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中的任何行间插字，涂改和增删，须由法定代表人或经其正式授权的代表在旁边签字方可有效；</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15.5</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应按照采购文件第六章中提供的“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格式”编制</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，如自有格式并按其格式编制的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，其内容必须包含“</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格式”中所有的实质性内容并受其约束。</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15.6</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须将</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的商务部分、技术部分和价格部分整合为一份</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，并制作详细目录、页码索引。</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15.7</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因字迹潦草或表达不清所引起的后果由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负责。</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bookmarkStart w:id="52" w:name="_Toc246826111"/>
      <w:r>
        <w:rPr>
          <w:rFonts w:hint="eastAsia" w:ascii="宋体" w:hAnsi="宋体" w:eastAsia="宋体" w:cs="宋体"/>
          <w:bCs/>
          <w:color w:val="auto"/>
          <w:sz w:val="21"/>
          <w:szCs w:val="21"/>
          <w:highlight w:val="none"/>
        </w:rPr>
        <w:t>四、</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的提交</w:t>
      </w:r>
      <w:bookmarkEnd w:id="52"/>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的密封和递交</w:t>
      </w:r>
    </w:p>
    <w:p>
      <w:pPr>
        <w:pageBreakBefore w:val="0"/>
        <w:widowControl w:val="0"/>
        <w:wordWrap/>
        <w:topLinePunct w:val="0"/>
        <w:bidi w:val="0"/>
        <w:adjustRightInd w:val="0"/>
        <w:snapToGrid w:val="0"/>
        <w:spacing w:line="360" w:lineRule="auto"/>
        <w:ind w:firstLine="420" w:firstLineChars="200"/>
        <w:jc w:val="left"/>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16.1 供应商应将纸质版响应文件</w:t>
      </w:r>
      <w:r>
        <w:rPr>
          <w:rFonts w:hint="eastAsia" w:ascii="宋体" w:hAnsi="宋体" w:eastAsia="宋体" w:cs="宋体"/>
          <w:color w:val="auto"/>
          <w:kern w:val="2"/>
          <w:sz w:val="21"/>
          <w:szCs w:val="21"/>
          <w:highlight w:val="none"/>
          <w:lang w:val="en-US" w:eastAsia="zh-CN" w:bidi="ar-SA"/>
        </w:rPr>
        <w:t>和</w:t>
      </w:r>
      <w:r>
        <w:rPr>
          <w:rFonts w:hint="eastAsia" w:ascii="宋体" w:hAnsi="宋体" w:eastAsia="宋体" w:cs="宋体"/>
          <w:bCs/>
          <w:color w:val="auto"/>
          <w:kern w:val="2"/>
          <w:sz w:val="21"/>
          <w:szCs w:val="21"/>
          <w:highlight w:val="none"/>
          <w:lang w:val="en-US" w:eastAsia="zh-CN" w:bidi="ar-SA"/>
        </w:rPr>
        <w:t>电子版响应文件（PDF格式）密封提交，响应文件密封袋上标示“供应商须知前附表”所规定的内容。</w:t>
      </w:r>
    </w:p>
    <w:p>
      <w:pPr>
        <w:pageBreakBefore w:val="0"/>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16.2</w:t>
      </w:r>
      <w:r>
        <w:rPr>
          <w:rFonts w:hint="eastAsia" w:ascii="宋体" w:hAnsi="宋体" w:eastAsia="宋体" w:cs="宋体"/>
          <w:bCs/>
          <w:color w:val="auto"/>
          <w:sz w:val="21"/>
          <w:szCs w:val="21"/>
          <w:highlight w:val="none"/>
          <w:lang w:val="en-US" w:eastAsia="zh-CN"/>
        </w:rPr>
        <w:t>电子版响应文件U盘应密封提交。</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16.3</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应将</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按照本须知正文第16.1条</w:t>
      </w:r>
      <w:r>
        <w:rPr>
          <w:rFonts w:hint="eastAsia" w:ascii="宋体" w:hAnsi="宋体" w:eastAsia="宋体" w:cs="宋体"/>
          <w:bCs/>
          <w:color w:val="auto"/>
          <w:sz w:val="21"/>
          <w:szCs w:val="21"/>
          <w:highlight w:val="none"/>
          <w:lang w:val="en-US" w:eastAsia="zh-CN"/>
        </w:rPr>
        <w:t>及16.2</w:t>
      </w:r>
      <w:r>
        <w:rPr>
          <w:rFonts w:hint="eastAsia" w:ascii="宋体" w:hAnsi="宋体" w:eastAsia="宋体" w:cs="宋体"/>
          <w:bCs/>
          <w:color w:val="auto"/>
          <w:sz w:val="21"/>
          <w:szCs w:val="21"/>
          <w:highlight w:val="none"/>
        </w:rPr>
        <w:t>的规定进行密封和标记后，按第一章/</w:t>
      </w:r>
      <w:r>
        <w:rPr>
          <w:rFonts w:hint="eastAsia" w:ascii="宋体" w:hAnsi="宋体" w:eastAsia="宋体" w:cs="宋体"/>
          <w:bCs/>
          <w:color w:val="auto"/>
          <w:sz w:val="21"/>
          <w:szCs w:val="21"/>
          <w:highlight w:val="none"/>
          <w:lang w:eastAsia="zh-CN"/>
        </w:rPr>
        <w:t>比选公告</w:t>
      </w:r>
      <w:r>
        <w:rPr>
          <w:rFonts w:hint="eastAsia" w:ascii="宋体" w:hAnsi="宋体" w:eastAsia="宋体" w:cs="宋体"/>
          <w:bCs/>
          <w:color w:val="auto"/>
          <w:sz w:val="21"/>
          <w:szCs w:val="21"/>
          <w:highlight w:val="none"/>
        </w:rPr>
        <w:t>注明的递交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地址送至</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指定地点。</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16.4如果未按上述规定进行密封和标记，</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将不承担由此造成的对</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的误投或提前拆封的责任。</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16.5</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应在第一章/</w:t>
      </w:r>
      <w:r>
        <w:rPr>
          <w:rFonts w:hint="eastAsia" w:ascii="宋体" w:hAnsi="宋体" w:eastAsia="宋体" w:cs="宋体"/>
          <w:bCs/>
          <w:color w:val="auto"/>
          <w:sz w:val="21"/>
          <w:szCs w:val="21"/>
          <w:highlight w:val="none"/>
          <w:lang w:eastAsia="zh-CN"/>
        </w:rPr>
        <w:t>比选公告</w:t>
      </w:r>
      <w:r>
        <w:rPr>
          <w:rFonts w:hint="eastAsia" w:ascii="宋体" w:hAnsi="宋体" w:eastAsia="宋体" w:cs="宋体"/>
          <w:bCs/>
          <w:color w:val="auto"/>
          <w:sz w:val="21"/>
          <w:szCs w:val="21"/>
          <w:highlight w:val="none"/>
        </w:rPr>
        <w:t>中所规定的</w:t>
      </w:r>
      <w:r>
        <w:rPr>
          <w:rFonts w:hint="eastAsia" w:ascii="宋体" w:hAnsi="宋体" w:eastAsia="宋体" w:cs="宋体"/>
          <w:bCs/>
          <w:color w:val="auto"/>
          <w:sz w:val="21"/>
          <w:szCs w:val="21"/>
          <w:highlight w:val="none"/>
          <w:lang w:eastAsia="zh-CN"/>
        </w:rPr>
        <w:t>响应文件递交截止时间</w:t>
      </w:r>
      <w:r>
        <w:rPr>
          <w:rFonts w:hint="eastAsia" w:ascii="宋体" w:hAnsi="宋体" w:eastAsia="宋体" w:cs="宋体"/>
          <w:bCs/>
          <w:color w:val="auto"/>
          <w:sz w:val="21"/>
          <w:szCs w:val="21"/>
          <w:highlight w:val="none"/>
        </w:rPr>
        <w:t>前送达，迟到的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为无效</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 将被拒收；未按照采购文件要求密封的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将被拒收。</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16.6 接受邮寄</w:t>
      </w:r>
      <w:r>
        <w:rPr>
          <w:rFonts w:hint="eastAsia" w:ascii="宋体" w:hAnsi="宋体" w:eastAsia="宋体" w:cs="宋体"/>
          <w:bCs/>
          <w:color w:val="auto"/>
          <w:sz w:val="21"/>
          <w:szCs w:val="21"/>
          <w:highlight w:val="none"/>
          <w:lang w:eastAsia="zh-CN"/>
        </w:rPr>
        <w:t>的响应文件，</w:t>
      </w:r>
      <w:r>
        <w:rPr>
          <w:rFonts w:hint="eastAsia" w:ascii="宋体" w:hAnsi="宋体" w:eastAsia="宋体" w:cs="宋体"/>
          <w:bCs/>
          <w:color w:val="auto"/>
          <w:sz w:val="21"/>
          <w:szCs w:val="21"/>
          <w:highlight w:val="none"/>
          <w:lang w:val="en-US" w:eastAsia="zh-CN"/>
        </w:rPr>
        <w:t>但必须密封完整</w:t>
      </w:r>
      <w:r>
        <w:rPr>
          <w:rFonts w:hint="eastAsia" w:ascii="宋体" w:hAnsi="宋体" w:eastAsia="宋体" w:cs="宋体"/>
          <w:bCs/>
          <w:color w:val="auto"/>
          <w:sz w:val="21"/>
          <w:szCs w:val="21"/>
          <w:highlight w:val="none"/>
        </w:rPr>
        <w:t>。</w:t>
      </w:r>
      <w:bookmarkStart w:id="53" w:name="_Toc183682365"/>
      <w:bookmarkStart w:id="54" w:name="_Toc183582228"/>
      <w:bookmarkStart w:id="55" w:name="_Toc217446055"/>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的修改和撤</w:t>
      </w:r>
      <w:bookmarkEnd w:id="53"/>
      <w:bookmarkEnd w:id="54"/>
      <w:r>
        <w:rPr>
          <w:rFonts w:hint="eastAsia" w:ascii="宋体" w:hAnsi="宋体" w:eastAsia="宋体" w:cs="宋体"/>
          <w:bCs/>
          <w:color w:val="auto"/>
          <w:sz w:val="21"/>
          <w:szCs w:val="21"/>
          <w:highlight w:val="none"/>
        </w:rPr>
        <w:t>回</w:t>
      </w:r>
      <w:bookmarkEnd w:id="55"/>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bookmarkStart w:id="56" w:name="_Toc246826112"/>
      <w:r>
        <w:rPr>
          <w:rFonts w:hint="eastAsia" w:ascii="宋体" w:hAnsi="宋体" w:eastAsia="宋体" w:cs="宋体"/>
          <w:bCs/>
          <w:color w:val="auto"/>
          <w:sz w:val="21"/>
          <w:szCs w:val="21"/>
          <w:highlight w:val="none"/>
        </w:rPr>
        <w:t xml:space="preserve">17.l </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在提交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后可对其进行修改或撤回，但必须使</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在</w:t>
      </w:r>
      <w:r>
        <w:rPr>
          <w:rFonts w:hint="eastAsia" w:ascii="宋体" w:hAnsi="宋体" w:eastAsia="宋体" w:cs="宋体"/>
          <w:bCs/>
          <w:color w:val="auto"/>
          <w:sz w:val="21"/>
          <w:szCs w:val="21"/>
          <w:highlight w:val="none"/>
          <w:lang w:eastAsia="zh-CN"/>
        </w:rPr>
        <w:t>响应文件递交截止时间</w:t>
      </w:r>
      <w:r>
        <w:rPr>
          <w:rFonts w:hint="eastAsia" w:ascii="宋体" w:hAnsi="宋体" w:eastAsia="宋体" w:cs="宋体"/>
          <w:bCs/>
          <w:color w:val="auto"/>
          <w:sz w:val="21"/>
          <w:szCs w:val="21"/>
          <w:highlight w:val="none"/>
        </w:rPr>
        <w:t>前收到该修改的书面内容或撤回的书面通知。</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17.2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的修改文件应按第15条规定签署，并按第 16.1条规定盖章及标记，还须注明“修改</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”和“开标前不得启封”字样。修改文件须在</w:t>
      </w:r>
      <w:r>
        <w:rPr>
          <w:rFonts w:hint="eastAsia" w:ascii="宋体" w:hAnsi="宋体" w:eastAsia="宋体" w:cs="宋体"/>
          <w:bCs/>
          <w:color w:val="auto"/>
          <w:sz w:val="21"/>
          <w:szCs w:val="21"/>
          <w:highlight w:val="none"/>
          <w:lang w:eastAsia="zh-CN"/>
        </w:rPr>
        <w:t>响应文件递交截止时间</w:t>
      </w:r>
      <w:r>
        <w:rPr>
          <w:rFonts w:hint="eastAsia" w:ascii="宋体" w:hAnsi="宋体" w:eastAsia="宋体" w:cs="宋体"/>
          <w:bCs/>
          <w:color w:val="auto"/>
          <w:sz w:val="21"/>
          <w:szCs w:val="21"/>
          <w:highlight w:val="none"/>
        </w:rPr>
        <w:t>前送达规定的</w:t>
      </w:r>
      <w:r>
        <w:rPr>
          <w:rFonts w:hint="eastAsia" w:ascii="宋体" w:hAnsi="宋体" w:eastAsia="宋体" w:cs="宋体"/>
          <w:bCs/>
          <w:color w:val="auto"/>
          <w:sz w:val="21"/>
          <w:szCs w:val="21"/>
          <w:highlight w:val="none"/>
          <w:lang w:val="en-US" w:eastAsia="zh-CN"/>
        </w:rPr>
        <w:t>响应文件递交</w:t>
      </w:r>
      <w:r>
        <w:rPr>
          <w:rFonts w:hint="eastAsia" w:ascii="宋体" w:hAnsi="宋体" w:eastAsia="宋体" w:cs="宋体"/>
          <w:bCs/>
          <w:color w:val="auto"/>
          <w:sz w:val="21"/>
          <w:szCs w:val="21"/>
          <w:highlight w:val="none"/>
        </w:rPr>
        <w:t>地点。上述补充或修改若涉及</w:t>
      </w: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，必须注明“最终唯一报价”字样，否则将视为有选择的报价。</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17.3 </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不得在</w:t>
      </w:r>
      <w:r>
        <w:rPr>
          <w:rFonts w:hint="eastAsia" w:ascii="宋体" w:hAnsi="宋体" w:eastAsia="宋体" w:cs="宋体"/>
          <w:bCs/>
          <w:color w:val="auto"/>
          <w:sz w:val="21"/>
          <w:szCs w:val="21"/>
          <w:highlight w:val="none"/>
          <w:lang w:eastAsia="zh-CN"/>
        </w:rPr>
        <w:t>响应文件递交截止时间</w:t>
      </w:r>
      <w:r>
        <w:rPr>
          <w:rFonts w:hint="eastAsia" w:ascii="宋体" w:hAnsi="宋体" w:eastAsia="宋体" w:cs="宋体"/>
          <w:bCs/>
          <w:color w:val="auto"/>
          <w:sz w:val="21"/>
          <w:szCs w:val="21"/>
          <w:highlight w:val="none"/>
        </w:rPr>
        <w:t>以后修改或/和撤回</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五、开标与</w:t>
      </w:r>
      <w:bookmarkEnd w:id="56"/>
      <w:r>
        <w:rPr>
          <w:rFonts w:hint="eastAsia" w:ascii="宋体" w:hAnsi="宋体" w:eastAsia="宋体" w:cs="宋体"/>
          <w:bCs/>
          <w:color w:val="auto"/>
          <w:sz w:val="21"/>
          <w:szCs w:val="21"/>
          <w:highlight w:val="none"/>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18．开标</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 在第一章/</w:t>
      </w:r>
      <w:r>
        <w:rPr>
          <w:rFonts w:hint="eastAsia" w:ascii="宋体" w:hAnsi="宋体" w:eastAsia="宋体" w:cs="宋体"/>
          <w:bCs/>
          <w:color w:val="auto"/>
          <w:sz w:val="21"/>
          <w:szCs w:val="21"/>
          <w:highlight w:val="none"/>
          <w:lang w:eastAsia="zh-CN"/>
        </w:rPr>
        <w:t>比选公告</w:t>
      </w:r>
      <w:r>
        <w:rPr>
          <w:rFonts w:hint="eastAsia" w:ascii="宋体" w:hAnsi="宋体" w:eastAsia="宋体" w:cs="宋体"/>
          <w:bCs/>
          <w:color w:val="auto"/>
          <w:sz w:val="21"/>
          <w:szCs w:val="21"/>
          <w:highlight w:val="none"/>
        </w:rPr>
        <w:t>所规定的开标时间和地点开标。</w:t>
      </w:r>
    </w:p>
    <w:p>
      <w:pPr>
        <w:pageBreakBefore w:val="0"/>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18.2开标时，供应商法定代表人或法人授权的</w:t>
      </w:r>
      <w:r>
        <w:rPr>
          <w:rFonts w:hint="eastAsia" w:ascii="宋体" w:hAnsi="宋体" w:eastAsia="宋体" w:cs="宋体"/>
          <w:bCs/>
          <w:color w:val="auto"/>
          <w:sz w:val="21"/>
          <w:szCs w:val="21"/>
          <w:highlight w:val="none"/>
          <w:lang w:eastAsia="zh-CN"/>
        </w:rPr>
        <w:t>供应商授权代表</w:t>
      </w:r>
      <w:r>
        <w:rPr>
          <w:rFonts w:hint="eastAsia" w:ascii="宋体" w:hAnsi="宋体" w:eastAsia="宋体" w:cs="宋体"/>
          <w:bCs/>
          <w:color w:val="auto"/>
          <w:sz w:val="21"/>
          <w:szCs w:val="21"/>
          <w:highlight w:val="none"/>
        </w:rPr>
        <w:t>须携带个人身份证（或其他有效证件）复印件和授权委托书原件亲自出席开标会并确认开标情况。如果不参加开标会议的，则视为认可开标情况。</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18.3 开标时，由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代表</w:t>
      </w:r>
      <w:r>
        <w:rPr>
          <w:rFonts w:hint="eastAsia" w:ascii="宋体" w:hAnsi="宋体" w:eastAsia="宋体" w:cs="宋体"/>
          <w:bCs/>
          <w:color w:val="auto"/>
          <w:sz w:val="21"/>
          <w:szCs w:val="21"/>
          <w:highlight w:val="none"/>
          <w:lang w:val="en-US" w:eastAsia="zh-CN"/>
        </w:rPr>
        <w:t>或采购人内部监督部门，</w:t>
      </w:r>
      <w:r>
        <w:rPr>
          <w:rFonts w:hint="eastAsia" w:ascii="宋体" w:hAnsi="宋体" w:eastAsia="宋体" w:cs="宋体"/>
          <w:bCs/>
          <w:color w:val="auto"/>
          <w:sz w:val="21"/>
          <w:szCs w:val="21"/>
          <w:highlight w:val="none"/>
        </w:rPr>
        <w:t>检查</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的密封情况，。</w:t>
      </w:r>
      <w:r>
        <w:rPr>
          <w:rFonts w:hint="eastAsia" w:ascii="宋体" w:hAnsi="宋体" w:eastAsia="宋体" w:cs="宋体"/>
          <w:bCs/>
          <w:color w:val="auto"/>
          <w:sz w:val="21"/>
          <w:szCs w:val="21"/>
          <w:highlight w:val="none"/>
          <w:lang w:eastAsia="zh-CN"/>
        </w:rPr>
        <w:t>供应商认为</w:t>
      </w:r>
      <w:r>
        <w:rPr>
          <w:rFonts w:hint="eastAsia" w:ascii="宋体" w:hAnsi="宋体" w:eastAsia="宋体" w:cs="宋体"/>
          <w:bCs/>
          <w:color w:val="auto"/>
          <w:sz w:val="21"/>
          <w:szCs w:val="21"/>
          <w:highlight w:val="none"/>
          <w:lang w:val="en-US" w:eastAsia="zh-CN"/>
        </w:rPr>
        <w:t>响应文件存在密封有瑕疵情形的，现场应如实记录，由评审委员会对响应文件实质性有效与否作出判断，由此产生的风险由供应商自行承担。</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18.4开标程序详见“</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18.5唱标要求详见“</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w:t>
      </w:r>
    </w:p>
    <w:p>
      <w:pPr>
        <w:pageBreakBefore w:val="0"/>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19、</w:t>
      </w:r>
      <w:r>
        <w:rPr>
          <w:rFonts w:hint="eastAsia" w:ascii="宋体" w:hAnsi="宋体" w:eastAsia="宋体" w:cs="宋体"/>
          <w:bCs/>
          <w:color w:val="auto"/>
          <w:sz w:val="21"/>
          <w:szCs w:val="21"/>
          <w:highlight w:val="none"/>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19.1</w:t>
      </w:r>
      <w:r>
        <w:rPr>
          <w:rFonts w:hint="eastAsia" w:ascii="宋体" w:hAnsi="宋体" w:eastAsia="宋体" w:cs="宋体"/>
          <w:bCs/>
          <w:color w:val="auto"/>
          <w:sz w:val="21"/>
          <w:szCs w:val="21"/>
          <w:highlight w:val="none"/>
          <w:lang w:eastAsia="zh-CN"/>
        </w:rPr>
        <w:t>评审委员会</w:t>
      </w:r>
    </w:p>
    <w:p>
      <w:pPr>
        <w:pageBreakBefore w:val="0"/>
        <w:widowControl w:val="0"/>
        <w:wordWrap/>
        <w:topLinePunct w:val="0"/>
        <w:bidi w:val="0"/>
        <w:adjustRightInd w:val="0"/>
        <w:snapToGrid w:val="0"/>
        <w:spacing w:line="360" w:lineRule="auto"/>
        <w:ind w:firstLine="420" w:firstLineChars="200"/>
        <w:jc w:val="left"/>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19.1.1评审委员会由采购人各部门代表组成，成员人数应当为3人以上单数。</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19.1.2</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委员会成</w:t>
      </w:r>
      <w:r>
        <w:rPr>
          <w:rFonts w:hint="eastAsia" w:ascii="宋体" w:hAnsi="宋体" w:eastAsia="宋体" w:cs="宋体"/>
          <w:bCs/>
          <w:color w:val="auto"/>
          <w:sz w:val="21"/>
          <w:szCs w:val="21"/>
          <w:highlight w:val="none"/>
          <w:lang w:eastAsia="zh-CN"/>
        </w:rPr>
        <w:t>员</w:t>
      </w:r>
      <w:r>
        <w:rPr>
          <w:rFonts w:hint="eastAsia" w:ascii="宋体" w:hAnsi="宋体" w:eastAsia="宋体" w:cs="宋体"/>
          <w:bCs/>
          <w:color w:val="auto"/>
          <w:sz w:val="21"/>
          <w:szCs w:val="21"/>
          <w:highlight w:val="none"/>
        </w:rPr>
        <w:t>与供应商有下列利害关系之一的，应当回避：</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参加采购活动前3年内与供应商存在劳动关系；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参加采购活动前3年内担任供应商的董事、监事；</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参加采购活动前3年内是供应商的控股股东或者实际控制人；</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与供应商的法定代表人或者负责人有夫妻、直系血亲、三代以内旁系血亲或者近姻亲关系；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与供应商有其他可能影响政府采购活动公平、公正进行的关系。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认为</w:t>
      </w:r>
      <w:r>
        <w:rPr>
          <w:rFonts w:hint="eastAsia" w:ascii="宋体" w:hAnsi="宋体" w:eastAsia="宋体" w:cs="宋体"/>
          <w:bCs/>
          <w:color w:val="auto"/>
          <w:sz w:val="21"/>
          <w:szCs w:val="21"/>
          <w:highlight w:val="none"/>
          <w:lang w:val="en-US" w:eastAsia="zh-CN"/>
        </w:rPr>
        <w:t>评审委员会成员与其</w:t>
      </w:r>
      <w:r>
        <w:rPr>
          <w:rFonts w:hint="eastAsia" w:ascii="宋体" w:hAnsi="宋体" w:eastAsia="宋体" w:cs="宋体"/>
          <w:bCs/>
          <w:color w:val="auto"/>
          <w:sz w:val="21"/>
          <w:szCs w:val="21"/>
          <w:highlight w:val="none"/>
        </w:rPr>
        <w:t>他供应商有利害关系的，可以向采购人书面提出回避申请，并说明理由。采购人应当及时询问被申请回避人员，有利害关系的被申请回避人员应当回避。</w:t>
      </w:r>
      <w:r>
        <w:rPr>
          <w:rFonts w:hint="eastAsia" w:ascii="宋体" w:hAnsi="宋体" w:eastAsia="宋体" w:cs="宋体"/>
          <w:bCs/>
          <w:color w:val="auto"/>
          <w:sz w:val="21"/>
          <w:szCs w:val="21"/>
          <w:highlight w:val="none"/>
          <w:lang w:val="en-US" w:eastAsia="zh-CN"/>
        </w:rPr>
        <w:t>评审专家发现本人与参加采购活动的供应商有利害关系的，应当主动提出回避。</w:t>
      </w:r>
    </w:p>
    <w:p>
      <w:pPr>
        <w:pageBreakBefore w:val="0"/>
        <w:widowControl w:val="0"/>
        <w:wordWrap/>
        <w:topLinePunct w:val="0"/>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19.1.3评审委员会将严格遵守评审工作纪律，按照客观、公正、审慎的原则，根据采购文件规定的评审程序、评审方法和评审标准进行独立评审。</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19.2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的评审</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19.2.1 要求</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评审委员会</w:t>
      </w:r>
      <w:r>
        <w:rPr>
          <w:rFonts w:hint="eastAsia" w:ascii="宋体" w:hAnsi="宋体" w:eastAsia="宋体" w:cs="宋体"/>
          <w:bCs/>
          <w:color w:val="auto"/>
          <w:sz w:val="21"/>
          <w:szCs w:val="21"/>
          <w:highlight w:val="none"/>
        </w:rPr>
        <w:t>对所有</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的评审，都采用相同的程序和标准并严格按照采购文件的要求和条件进行。</w:t>
      </w:r>
      <w:r>
        <w:rPr>
          <w:rFonts w:hint="eastAsia" w:ascii="宋体" w:hAnsi="宋体" w:eastAsia="宋体" w:cs="宋体"/>
          <w:bCs/>
          <w:color w:val="auto"/>
          <w:sz w:val="21"/>
          <w:szCs w:val="21"/>
          <w:highlight w:val="none"/>
          <w:lang w:eastAsia="zh-CN"/>
        </w:rPr>
        <w:t>评审委员会</w:t>
      </w:r>
      <w:r>
        <w:rPr>
          <w:rFonts w:hint="eastAsia" w:ascii="宋体" w:hAnsi="宋体" w:eastAsia="宋体" w:cs="宋体"/>
          <w:bCs/>
          <w:color w:val="auto"/>
          <w:sz w:val="21"/>
          <w:szCs w:val="21"/>
          <w:highlight w:val="none"/>
        </w:rPr>
        <w:t>决定</w:t>
      </w:r>
      <w:r>
        <w:rPr>
          <w:rFonts w:hint="eastAsia" w:ascii="宋体" w:hAnsi="宋体" w:eastAsia="宋体" w:cs="宋体"/>
          <w:bCs/>
          <w:color w:val="auto"/>
          <w:sz w:val="21"/>
          <w:szCs w:val="21"/>
          <w:highlight w:val="none"/>
          <w:lang w:val="en-US" w:eastAsia="zh-CN"/>
        </w:rPr>
        <w:t>响应文件是否</w:t>
      </w:r>
      <w:r>
        <w:rPr>
          <w:rFonts w:hint="eastAsia" w:ascii="宋体" w:hAnsi="宋体" w:eastAsia="宋体" w:cs="宋体"/>
          <w:bCs/>
          <w:color w:val="auto"/>
          <w:sz w:val="21"/>
          <w:szCs w:val="21"/>
          <w:highlight w:val="none"/>
        </w:rPr>
        <w:t>实质性响应只根据</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本身的内容，以及述标和/或演示内容（如果有），而不寻求其他的外部证据。</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19.2.2 符合性</w:t>
      </w:r>
      <w:r>
        <w:rPr>
          <w:rFonts w:hint="eastAsia" w:ascii="宋体" w:hAnsi="宋体" w:eastAsia="宋体" w:cs="宋体"/>
          <w:bCs/>
          <w:color w:val="auto"/>
          <w:sz w:val="21"/>
          <w:szCs w:val="21"/>
          <w:highlight w:val="none"/>
          <w:lang w:eastAsia="zh-CN"/>
        </w:rPr>
        <w:t>审查</w:t>
      </w:r>
      <w:r>
        <w:rPr>
          <w:rFonts w:hint="eastAsia" w:ascii="宋体" w:hAnsi="宋体" w:eastAsia="宋体" w:cs="宋体"/>
          <w:bCs/>
          <w:color w:val="auto"/>
          <w:sz w:val="21"/>
          <w:szCs w:val="21"/>
          <w:highlight w:val="none"/>
        </w:rPr>
        <w:t>：依据采购文件的规定，</w:t>
      </w:r>
      <w:r>
        <w:rPr>
          <w:rFonts w:hint="eastAsia" w:ascii="宋体" w:hAnsi="宋体" w:eastAsia="宋体" w:cs="宋体"/>
          <w:bCs/>
          <w:color w:val="auto"/>
          <w:sz w:val="21"/>
          <w:szCs w:val="21"/>
          <w:highlight w:val="none"/>
          <w:lang w:eastAsia="zh-CN"/>
        </w:rPr>
        <w:t>评审委员会</w:t>
      </w:r>
      <w:r>
        <w:rPr>
          <w:rFonts w:hint="eastAsia" w:ascii="宋体" w:hAnsi="宋体" w:eastAsia="宋体" w:cs="宋体"/>
          <w:bCs/>
          <w:color w:val="auto"/>
          <w:sz w:val="21"/>
          <w:szCs w:val="21"/>
          <w:highlight w:val="none"/>
        </w:rPr>
        <w:t>将从</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的有效性、完整性和对采购文件的响应程度进行审查，以确定是否符合对采购文件的实质性要求作出响应。</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19.2.3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 xml:space="preserve">的澄清 </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19.2.3．1对</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中含义不明确、同类问题表述不一致或者有明显文字和计算错误的内容，</w:t>
      </w:r>
      <w:r>
        <w:rPr>
          <w:rFonts w:hint="eastAsia" w:ascii="宋体" w:hAnsi="宋体" w:eastAsia="宋体" w:cs="宋体"/>
          <w:bCs/>
          <w:color w:val="auto"/>
          <w:sz w:val="21"/>
          <w:szCs w:val="21"/>
          <w:highlight w:val="none"/>
          <w:lang w:eastAsia="zh-CN"/>
        </w:rPr>
        <w:t>评审委员会</w:t>
      </w:r>
      <w:r>
        <w:rPr>
          <w:rFonts w:hint="eastAsia" w:ascii="宋体" w:hAnsi="宋体" w:eastAsia="宋体" w:cs="宋体"/>
          <w:bCs/>
          <w:color w:val="auto"/>
          <w:sz w:val="21"/>
          <w:szCs w:val="21"/>
          <w:highlight w:val="none"/>
        </w:rPr>
        <w:t>应当以书面形式要求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作出必要的澄清、说明或者补正。</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的澄清、说明或者补正应当在</w:t>
      </w:r>
      <w:r>
        <w:rPr>
          <w:rFonts w:hint="eastAsia" w:ascii="宋体" w:hAnsi="宋体" w:eastAsia="宋体" w:cs="宋体"/>
          <w:bCs/>
          <w:color w:val="auto"/>
          <w:sz w:val="21"/>
          <w:szCs w:val="21"/>
          <w:highlight w:val="none"/>
          <w:lang w:eastAsia="zh-CN"/>
        </w:rPr>
        <w:t>评审委员会</w:t>
      </w:r>
      <w:r>
        <w:rPr>
          <w:rFonts w:hint="eastAsia" w:ascii="宋体" w:hAnsi="宋体" w:eastAsia="宋体" w:cs="宋体"/>
          <w:bCs/>
          <w:color w:val="auto"/>
          <w:sz w:val="21"/>
          <w:szCs w:val="21"/>
          <w:highlight w:val="none"/>
        </w:rPr>
        <w:t>规定的时间内以书面形式作出，并加盖公章，或者由法定代表人或者其授权代表签字。</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的澄清、说明或者补正不得超出</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的范围或者改变</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的实质性内容。</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19.2.3.2算术错误将按以下方法更正：</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中开标一览表（报价表）内容与</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中相应内容不一致的，以开标一览表（报价表）为准；</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）大写金额和小写金额不一致的，以大写金额为准；</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）单价金额小数点或者百分比有明显错位的，以开标一览表的总价为准，并修改单价；</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）总价金额与按单价汇总金额不一致的，以单价金额计算结果为准；同时出现两种以上不一致的，按照前款规定的顺序修正。修正后的报价经</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确认后产生约束力，</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不确认的，其</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无效。</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19.2.4 比较与评价</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19.2.4.1 </w:t>
      </w:r>
      <w:r>
        <w:rPr>
          <w:rFonts w:hint="eastAsia" w:ascii="宋体" w:hAnsi="宋体" w:eastAsia="宋体" w:cs="宋体"/>
          <w:bCs/>
          <w:color w:val="auto"/>
          <w:sz w:val="21"/>
          <w:szCs w:val="21"/>
          <w:highlight w:val="none"/>
          <w:lang w:eastAsia="zh-CN"/>
        </w:rPr>
        <w:t>评审委员会</w:t>
      </w:r>
      <w:r>
        <w:rPr>
          <w:rFonts w:hint="eastAsia" w:ascii="宋体" w:hAnsi="宋体" w:eastAsia="宋体" w:cs="宋体"/>
          <w:bCs/>
          <w:color w:val="auto"/>
          <w:sz w:val="21"/>
          <w:szCs w:val="21"/>
          <w:highlight w:val="none"/>
        </w:rPr>
        <w:t>将按第四章所规定的</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方法与标准，对</w:t>
      </w:r>
      <w:r>
        <w:rPr>
          <w:rFonts w:hint="eastAsia" w:ascii="宋体" w:hAnsi="宋体" w:eastAsia="宋体" w:cs="宋体"/>
          <w:bCs/>
          <w:color w:val="auto"/>
          <w:sz w:val="21"/>
          <w:szCs w:val="21"/>
          <w:highlight w:val="none"/>
          <w:lang w:eastAsia="zh-CN"/>
        </w:rPr>
        <w:t>资格性审查</w:t>
      </w:r>
      <w:r>
        <w:rPr>
          <w:rFonts w:hint="eastAsia" w:ascii="宋体" w:hAnsi="宋体" w:eastAsia="宋体" w:cs="宋体"/>
          <w:bCs/>
          <w:color w:val="auto"/>
          <w:sz w:val="21"/>
          <w:szCs w:val="21"/>
          <w:highlight w:val="none"/>
        </w:rPr>
        <w:t>和符合性检查合格的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进行评审。</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19.2.4.2 </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委员会认为</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的报价明显低于其他通过符合性审查</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的报价，有可能影响产品质量或者不能诚信履约的，应当要求其在</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现场合理的时间内提供书面说明，必要时提交相关证明材料；</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不能证明其报价合理性的，经</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委员会投票认定，超过半数将以无效</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处理。</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19.2.5有下列情形之一的，视为</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串通</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，其</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无效：</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（一）不同</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由同一单位或者个人编制；</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（二）不同</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委托同一单位或者个人办理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lang w:val="en-US" w:eastAsia="zh-CN"/>
        </w:rPr>
        <w:t>相关</w:t>
      </w:r>
      <w:r>
        <w:rPr>
          <w:rFonts w:hint="eastAsia" w:ascii="宋体" w:hAnsi="宋体" w:eastAsia="宋体" w:cs="宋体"/>
          <w:bCs/>
          <w:color w:val="auto"/>
          <w:sz w:val="21"/>
          <w:szCs w:val="21"/>
          <w:highlight w:val="none"/>
        </w:rPr>
        <w:t>事宜；</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（三）不同</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载明的项目管理成员或者联系人员为同一人；</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（四）不同</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异常一致或者</w:t>
      </w: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呈规律性差异；</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（五）不同</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相互混装；</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（六）不同</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保证金从同一单位或者个人的账户转出。</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20、废标</w:t>
      </w:r>
      <w:bookmarkStart w:id="57" w:name="_Toc217446072"/>
      <w:r>
        <w:rPr>
          <w:rFonts w:hint="eastAsia" w:ascii="宋体" w:hAnsi="宋体" w:eastAsia="宋体" w:cs="宋体"/>
          <w:bCs/>
          <w:color w:val="auto"/>
          <w:sz w:val="21"/>
          <w:szCs w:val="21"/>
          <w:highlight w:val="none"/>
        </w:rPr>
        <w:t>的情形</w:t>
      </w:r>
      <w:bookmarkEnd w:id="57"/>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招标采购中，出现下列情形之一的，予以废标：</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（1）出现影响采购公正的违法、违规行为的；</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（2）供应商的报价均超过了预算，采购人不能支付的；</w:t>
      </w:r>
    </w:p>
    <w:p>
      <w:pPr>
        <w:pageBreakBefore w:val="0"/>
        <w:widowControl w:val="0"/>
        <w:wordWrap/>
        <w:topLinePunct w:val="0"/>
        <w:bidi w:val="0"/>
        <w:adjustRightInd w:val="0"/>
        <w:snapToGrid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（3）因重大变故，采购任务取消的。</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21、纪律和监督</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bookmarkStart w:id="58" w:name="_Toc246996962"/>
      <w:bookmarkStart w:id="59" w:name="_Toc179632593"/>
      <w:bookmarkStart w:id="60" w:name="_Toc247085733"/>
      <w:bookmarkStart w:id="61" w:name="_Toc144974543"/>
      <w:bookmarkStart w:id="62" w:name="_Toc152042351"/>
      <w:bookmarkStart w:id="63" w:name="_Toc246996219"/>
      <w:bookmarkStart w:id="64" w:name="_Toc296602462"/>
      <w:bookmarkStart w:id="65" w:name="_Toc296590983"/>
      <w:bookmarkStart w:id="66" w:name="_Toc152045575"/>
      <w:r>
        <w:rPr>
          <w:rFonts w:hint="eastAsia" w:ascii="宋体" w:hAnsi="宋体" w:eastAsia="宋体" w:cs="宋体"/>
          <w:bCs/>
          <w:color w:val="auto"/>
          <w:sz w:val="21"/>
          <w:szCs w:val="21"/>
          <w:highlight w:val="none"/>
        </w:rPr>
        <w:t>21.1 对</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的纪律要求</w:t>
      </w:r>
      <w:bookmarkEnd w:id="58"/>
      <w:bookmarkEnd w:id="59"/>
      <w:bookmarkEnd w:id="60"/>
      <w:bookmarkEnd w:id="61"/>
      <w:bookmarkEnd w:id="62"/>
      <w:bookmarkEnd w:id="63"/>
      <w:bookmarkEnd w:id="64"/>
      <w:bookmarkEnd w:id="65"/>
      <w:bookmarkEnd w:id="66"/>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不得泄漏招标</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活动中应当保密的情况和资料，不得与</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串通损害国家利益、社会公共利益或者他人合法权益。</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bookmarkStart w:id="67" w:name="_Toc152045576"/>
      <w:bookmarkStart w:id="68" w:name="_Toc144974544"/>
      <w:bookmarkStart w:id="69" w:name="_Toc152042352"/>
      <w:bookmarkStart w:id="70" w:name="_Toc247085734"/>
      <w:bookmarkStart w:id="71" w:name="_Toc179632594"/>
      <w:bookmarkStart w:id="72" w:name="_Toc246996220"/>
      <w:bookmarkStart w:id="73" w:name="_Toc246996963"/>
      <w:bookmarkStart w:id="74" w:name="_Toc296602463"/>
      <w:r>
        <w:rPr>
          <w:rFonts w:hint="eastAsia" w:ascii="宋体" w:hAnsi="宋体" w:eastAsia="宋体" w:cs="宋体"/>
          <w:bCs/>
          <w:color w:val="auto"/>
          <w:sz w:val="21"/>
          <w:szCs w:val="21"/>
          <w:highlight w:val="none"/>
        </w:rPr>
        <w:t>21.2对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的纪律要求</w:t>
      </w:r>
      <w:bookmarkEnd w:id="67"/>
      <w:bookmarkEnd w:id="68"/>
      <w:bookmarkEnd w:id="69"/>
      <w:bookmarkEnd w:id="70"/>
      <w:bookmarkEnd w:id="71"/>
      <w:bookmarkEnd w:id="72"/>
      <w:bookmarkEnd w:id="73"/>
      <w:bookmarkEnd w:id="74"/>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不得相互串通</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或者与</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串通</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，不得向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或者</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委员会成员行贿谋取</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，不得以他人名义</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或者以其他方式弄虚作假骗取</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不得以任何方式干扰、影响</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工作。</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bookmarkStart w:id="75" w:name="_Toc144974545"/>
      <w:bookmarkStart w:id="76" w:name="_Toc152045577"/>
      <w:bookmarkStart w:id="77" w:name="_Toc296602464"/>
      <w:bookmarkStart w:id="78" w:name="_Toc179632595"/>
      <w:bookmarkStart w:id="79" w:name="_Toc246996964"/>
      <w:bookmarkStart w:id="80" w:name="_Toc152042353"/>
      <w:bookmarkStart w:id="81" w:name="_Toc247085735"/>
      <w:bookmarkStart w:id="82" w:name="_Toc246996221"/>
      <w:r>
        <w:rPr>
          <w:rFonts w:hint="eastAsia" w:ascii="宋体" w:hAnsi="宋体" w:eastAsia="宋体" w:cs="宋体"/>
          <w:bCs/>
          <w:color w:val="auto"/>
          <w:sz w:val="21"/>
          <w:szCs w:val="21"/>
          <w:highlight w:val="none"/>
        </w:rPr>
        <w:t>21.3对</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委员会成员的纪律要求</w:t>
      </w:r>
      <w:bookmarkEnd w:id="75"/>
      <w:bookmarkEnd w:id="76"/>
      <w:bookmarkEnd w:id="77"/>
      <w:bookmarkEnd w:id="78"/>
      <w:bookmarkEnd w:id="79"/>
      <w:bookmarkEnd w:id="80"/>
      <w:bookmarkEnd w:id="81"/>
      <w:bookmarkEnd w:id="82"/>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委员会成员不得收受他人的财物或者其他好处，不得向他人透漏对</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的评审和比较、</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候选人的推荐情况以及</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有关的其他情况。在</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活动中，</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委员会成员应当客观、公正地履行职责</w:t>
      </w:r>
      <w:r>
        <w:rPr>
          <w:rFonts w:hint="eastAsia" w:ascii="宋体" w:hAnsi="宋体" w:eastAsia="宋体" w:cs="宋体"/>
          <w:bCs/>
          <w:color w:val="auto"/>
          <w:sz w:val="21"/>
          <w:szCs w:val="21"/>
          <w:highlight w:val="none"/>
          <w:lang w:eastAsia="zh-CN"/>
        </w:rPr>
        <w:t>，独立评审，</w:t>
      </w:r>
      <w:r>
        <w:rPr>
          <w:rFonts w:hint="eastAsia" w:ascii="宋体" w:hAnsi="宋体" w:eastAsia="宋体" w:cs="宋体"/>
          <w:bCs/>
          <w:color w:val="auto"/>
          <w:sz w:val="21"/>
          <w:szCs w:val="21"/>
          <w:highlight w:val="none"/>
        </w:rPr>
        <w:t>遵守职业道德，不得擅离职守，影响</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程序正常进行，不得使用采购文件没有规定的评审因素和标准进行</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bookmarkStart w:id="83" w:name="_Toc246996965"/>
      <w:bookmarkStart w:id="84" w:name="_Toc152042354"/>
      <w:bookmarkStart w:id="85" w:name="_Toc179632596"/>
      <w:bookmarkStart w:id="86" w:name="_Toc296602465"/>
      <w:bookmarkStart w:id="87" w:name="_Toc152045578"/>
      <w:bookmarkStart w:id="88" w:name="_Toc246996222"/>
      <w:bookmarkStart w:id="89" w:name="_Toc247085736"/>
      <w:r>
        <w:rPr>
          <w:rFonts w:hint="eastAsia" w:ascii="宋体" w:hAnsi="宋体" w:eastAsia="宋体" w:cs="宋体"/>
          <w:bCs/>
          <w:color w:val="auto"/>
          <w:sz w:val="21"/>
          <w:szCs w:val="21"/>
          <w:highlight w:val="none"/>
        </w:rPr>
        <w:t>21.4对与</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活动有关的工作人员的纪律要求</w:t>
      </w:r>
      <w:bookmarkEnd w:id="83"/>
      <w:bookmarkEnd w:id="84"/>
      <w:bookmarkEnd w:id="85"/>
      <w:bookmarkEnd w:id="86"/>
      <w:bookmarkEnd w:id="87"/>
      <w:bookmarkEnd w:id="88"/>
      <w:bookmarkEnd w:id="89"/>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bookmarkStart w:id="90" w:name="_Toc152042355"/>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活动有关的工作人员不得收受他人的财物或者其他好处，不得向他人透漏对</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的评审和比较、</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候选人的推荐情况以及</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有关的其他情况。在</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活动中，与</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活动有关的工作人员不得擅离职守，影响</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程序正常进行。</w:t>
      </w:r>
      <w:bookmarkEnd w:id="90"/>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bookmarkStart w:id="91" w:name="_Toc246826113"/>
      <w:r>
        <w:rPr>
          <w:rFonts w:hint="eastAsia" w:ascii="宋体" w:hAnsi="宋体" w:eastAsia="宋体" w:cs="宋体"/>
          <w:bCs/>
          <w:color w:val="auto"/>
          <w:sz w:val="21"/>
          <w:szCs w:val="21"/>
          <w:highlight w:val="none"/>
        </w:rPr>
        <w:t>六、定标、合同</w:t>
      </w:r>
      <w:bookmarkEnd w:id="91"/>
      <w:r>
        <w:rPr>
          <w:rFonts w:hint="eastAsia" w:ascii="宋体" w:hAnsi="宋体" w:eastAsia="宋体" w:cs="宋体"/>
          <w:bCs/>
          <w:color w:val="auto"/>
          <w:sz w:val="21"/>
          <w:szCs w:val="21"/>
          <w:highlight w:val="none"/>
        </w:rPr>
        <w:t>与验收</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22、定标准则</w:t>
      </w:r>
    </w:p>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22.1任何单项因素的最优不能作为</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的保证。</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22.2</w:t>
      </w:r>
      <w:r>
        <w:rPr>
          <w:rFonts w:hint="eastAsia" w:ascii="宋体" w:hAnsi="宋体" w:eastAsia="宋体" w:cs="宋体"/>
          <w:bCs/>
          <w:color w:val="auto"/>
          <w:sz w:val="21"/>
          <w:szCs w:val="21"/>
          <w:highlight w:val="none"/>
          <w:lang w:eastAsia="zh-CN"/>
        </w:rPr>
        <w:t>评审委员会</w:t>
      </w:r>
      <w:r>
        <w:rPr>
          <w:rFonts w:hint="eastAsia" w:ascii="宋体" w:hAnsi="宋体" w:eastAsia="宋体" w:cs="宋体"/>
          <w:bCs/>
          <w:color w:val="auto"/>
          <w:sz w:val="21"/>
          <w:szCs w:val="21"/>
          <w:highlight w:val="none"/>
        </w:rPr>
        <w:t>推荐排名第一且经采购人确认的供应商即为</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w:t>
      </w:r>
    </w:p>
    <w:p>
      <w:pPr>
        <w:pageBreakBefore w:val="0"/>
        <w:wordWrap/>
        <w:topLinePunct w:val="0"/>
        <w:bidi w:val="0"/>
        <w:adjustRightInd w:val="0"/>
        <w:snapToGrid w:val="0"/>
        <w:spacing w:line="360" w:lineRule="auto"/>
        <w:ind w:left="420" w:left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通知</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23.1由</w:t>
      </w:r>
      <w:r>
        <w:rPr>
          <w:rFonts w:hint="eastAsia" w:ascii="宋体" w:hAnsi="宋体" w:eastAsia="宋体" w:cs="宋体"/>
          <w:bCs/>
          <w:color w:val="auto"/>
          <w:sz w:val="21"/>
          <w:szCs w:val="21"/>
          <w:highlight w:val="none"/>
          <w:lang w:eastAsia="zh-CN"/>
        </w:rPr>
        <w:t>采购人在</w:t>
      </w:r>
      <w:r>
        <w:rPr>
          <w:rFonts w:hint="eastAsia" w:ascii="宋体" w:hAnsi="宋体" w:eastAsia="宋体" w:cs="宋体"/>
          <w:bCs/>
          <w:color w:val="auto"/>
          <w:sz w:val="21"/>
          <w:szCs w:val="21"/>
          <w:highlight w:val="none"/>
          <w:lang w:val="en-US" w:eastAsia="zh-CN"/>
        </w:rPr>
        <w:t>比选公告发布</w:t>
      </w:r>
      <w:r>
        <w:rPr>
          <w:rFonts w:hint="eastAsia" w:ascii="宋体" w:hAnsi="宋体" w:eastAsia="宋体" w:cs="宋体"/>
          <w:bCs/>
          <w:color w:val="auto"/>
          <w:sz w:val="21"/>
          <w:szCs w:val="21"/>
          <w:highlight w:val="none"/>
        </w:rPr>
        <w:t>媒体上公布</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结果，并向</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发送《</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通知书》。</w:t>
      </w:r>
    </w:p>
    <w:p>
      <w:pPr>
        <w:pageBreakBefore w:val="0"/>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23.2</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通知书为签订政府采购合同的依据，是合同的有效组成部分</w:t>
      </w:r>
      <w:r>
        <w:rPr>
          <w:rFonts w:hint="eastAsia" w:ascii="宋体" w:hAnsi="宋体" w:eastAsia="宋体" w:cs="宋体"/>
          <w:bCs/>
          <w:color w:val="auto"/>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23.3</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通知书对采购人和</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人均具有法律效力。</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通知书发出后，采购人改变</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结果，或者</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人无正当理由放弃</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的，应当承担相应的法律责任</w:t>
      </w:r>
      <w:r>
        <w:rPr>
          <w:rFonts w:hint="eastAsia" w:ascii="宋体" w:hAnsi="宋体" w:eastAsia="宋体" w:cs="宋体"/>
          <w:bCs/>
          <w:color w:val="auto"/>
          <w:sz w:val="21"/>
          <w:szCs w:val="21"/>
          <w:highlight w:val="none"/>
          <w:lang w:eastAsia="zh-CN"/>
        </w:rPr>
        <w:t>。</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24、合同签订</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24.1</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人在收到《</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通知书》后，应在规定的时间内与采购人签订采购合同。由于</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人的原因逾期未与采购人签订采购合同的，将视为放弃</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，取消其</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资格并将按相关规定进行处理。</w:t>
      </w:r>
    </w:p>
    <w:p>
      <w:pPr>
        <w:pageBreakBefore w:val="0"/>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24.2采购人不得向</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人提出任何不合理的要求作为签订合同的条件，不得与</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人私下订立背离合同实质性内容的任何协议，所签订的合同不得对采购文件和</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人</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作实质性修改。</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bookmarkStart w:id="92" w:name="_Toc217446069"/>
      <w:r>
        <w:rPr>
          <w:rFonts w:hint="eastAsia" w:ascii="宋体" w:hAnsi="宋体" w:eastAsia="宋体" w:cs="宋体"/>
          <w:bCs/>
          <w:color w:val="auto"/>
          <w:sz w:val="21"/>
          <w:szCs w:val="21"/>
          <w:highlight w:val="none"/>
        </w:rPr>
        <w:t>25、合同</w:t>
      </w:r>
      <w:bookmarkEnd w:id="92"/>
      <w:r>
        <w:rPr>
          <w:rFonts w:hint="eastAsia" w:ascii="宋体" w:hAnsi="宋体" w:eastAsia="宋体" w:cs="宋体"/>
          <w:bCs/>
          <w:color w:val="auto"/>
          <w:sz w:val="21"/>
          <w:szCs w:val="21"/>
          <w:highlight w:val="none"/>
        </w:rPr>
        <w:t>履行</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人与采购人签订合同后，合同双方应严格执行合同条款，履行合同规定的义务，保证合同的顺利完成。</w:t>
      </w:r>
    </w:p>
    <w:p>
      <w:pPr>
        <w:pageBreakBefore w:val="0"/>
        <w:wordWrap/>
        <w:topLinePunct w:val="0"/>
        <w:bidi w:val="0"/>
        <w:adjustRightInd w:val="0"/>
        <w:snapToGrid w:val="0"/>
        <w:spacing w:line="360" w:lineRule="auto"/>
        <w:ind w:firstLine="420" w:firstLineChars="200"/>
        <w:textAlignment w:val="auto"/>
        <w:outlineLvl w:val="1"/>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25.2</w:t>
      </w:r>
      <w:r>
        <w:rPr>
          <w:rFonts w:hint="eastAsia" w:ascii="宋体" w:hAnsi="宋体" w:eastAsia="宋体" w:cs="宋体"/>
          <w:bCs/>
          <w:color w:val="auto"/>
          <w:sz w:val="21"/>
          <w:szCs w:val="21"/>
          <w:highlight w:val="none"/>
          <w:lang w:val="en-US" w:eastAsia="zh-CN"/>
        </w:rPr>
        <w:t>采购人应严格按照合同约定事项，制定科学合理的验收方案开展验收；</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25.3</w:t>
      </w:r>
      <w:r>
        <w:rPr>
          <w:rFonts w:hint="eastAsia" w:ascii="宋体" w:hAnsi="宋体" w:eastAsia="宋体" w:cs="宋体"/>
          <w:bCs/>
          <w:color w:val="auto"/>
          <w:sz w:val="21"/>
          <w:szCs w:val="21"/>
          <w:highlight w:val="none"/>
        </w:rPr>
        <w:t>在合同履行过程中，如发生合同纠纷，合同双方应按照《</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》的有关规定进行处理。</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方法</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26、采购</w:t>
      </w:r>
      <w:r>
        <w:rPr>
          <w:rFonts w:hint="eastAsia" w:ascii="宋体" w:hAnsi="宋体" w:eastAsia="宋体" w:cs="宋体"/>
          <w:bCs/>
          <w:color w:val="auto"/>
          <w:sz w:val="21"/>
          <w:szCs w:val="21"/>
          <w:highlight w:val="none"/>
          <w:lang w:val="en-US" w:eastAsia="zh-CN"/>
        </w:rPr>
        <w:t>比选</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方法分为:综合评分法。</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综合评分法，是指</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满足采购文件全部实质性要求且按照评审因素的量化指标评审得分最高的供应商为</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候选人的</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方法。</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总得分＝F1×A1＋F2×A2＋……＋Fn×An</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F1、F2……Fn分别为价格、商务和技术部分评分因素的汇总得分；A1、A2、……An分别为价格、商务和技术部分评分因素所占的权重(A1＋A2＋......＋An＝1)。</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其中价格分统一采用低价优先法计算，即满足采购文件要求且</w:t>
      </w:r>
      <w:r>
        <w:rPr>
          <w:rFonts w:hint="eastAsia" w:ascii="宋体" w:hAnsi="宋体" w:eastAsia="宋体" w:cs="宋体"/>
          <w:bCs/>
          <w:color w:val="auto"/>
          <w:sz w:val="21"/>
          <w:szCs w:val="21"/>
          <w:highlight w:val="none"/>
          <w:lang w:eastAsia="zh-CN"/>
        </w:rPr>
        <w:t>响应价格</w:t>
      </w:r>
      <w:r>
        <w:rPr>
          <w:rFonts w:hint="eastAsia" w:ascii="宋体" w:hAnsi="宋体" w:eastAsia="宋体" w:cs="宋体"/>
          <w:bCs/>
          <w:color w:val="auto"/>
          <w:sz w:val="21"/>
          <w:szCs w:val="21"/>
          <w:highlight w:val="none"/>
        </w:rPr>
        <w:t>最低的</w:t>
      </w: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基准价，其价格分为满分。其他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得分＝（</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基准价／</w:t>
      </w: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）×价格权值×100　　</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八、质疑</w:t>
      </w:r>
    </w:p>
    <w:p>
      <w:pPr>
        <w:pageBreakBefore w:val="0"/>
        <w:wordWrap/>
        <w:topLinePunct w:val="0"/>
        <w:bidi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27、供应商认为采购文件、采购过程和</w:t>
      </w:r>
      <w:r>
        <w:rPr>
          <w:rFonts w:hint="eastAsia" w:ascii="宋体" w:hAnsi="宋体" w:eastAsia="宋体" w:cs="宋体"/>
          <w:bCs/>
          <w:color w:val="auto"/>
          <w:sz w:val="21"/>
          <w:szCs w:val="21"/>
          <w:highlight w:val="none"/>
          <w:lang w:eastAsia="zh-CN"/>
        </w:rPr>
        <w:t>成交或者成交</w:t>
      </w:r>
      <w:r>
        <w:rPr>
          <w:rFonts w:hint="eastAsia" w:ascii="宋体" w:hAnsi="宋体" w:eastAsia="宋体" w:cs="宋体"/>
          <w:bCs/>
          <w:color w:val="auto"/>
          <w:sz w:val="21"/>
          <w:szCs w:val="21"/>
          <w:highlight w:val="none"/>
        </w:rPr>
        <w:t>结果使自己的合法权益受到损害的，应当在知道或者应知其权益受到损害之日起七个工作日（质疑有效期）内，向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提出询问或以书面形式向其质疑。</w:t>
      </w:r>
      <w:r>
        <w:rPr>
          <w:rFonts w:hint="eastAsia" w:ascii="宋体" w:hAnsi="宋体" w:eastAsia="宋体" w:cs="宋体"/>
          <w:bCs/>
          <w:color w:val="auto"/>
          <w:sz w:val="21"/>
          <w:szCs w:val="21"/>
          <w:highlight w:val="none"/>
          <w:lang w:val="en-US" w:eastAsia="zh-CN"/>
        </w:rPr>
        <w:t xml:space="preserve"> </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29、质疑有效期的计算</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采购文件的质疑有效期为采购文件公告期限届满之日起</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个工作日内；采购过程的质疑有效期为各采购程序环节结束之日起</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个工作日内；采购结果的质疑有效期为采购结果公告期限届满之日起</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个工作日内。</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的其他有关规定：</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30、除符合采购文件中载明的无效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规定外，如果发现下列情况之一者，同样作无效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处理，其中30.1至30.3款情形的所有相关</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均作无效</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处理。因此产生其他法律责任的由供应商自行承担：</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30.1不同</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的法定代表人、委托代理人等由同一个单位缴纳社会保险的；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30.2由同一人携带两个及以上</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的企业资料参与开标会议的；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30.3单位负责人为同一人或者存在直接控股、管理关系的不同供应商，同时参加同一合同项下的政府采购活动的；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30.4为采购项目提供整体设计、规范编制或者项目管理、监理、检测等服务的供应商，再参加该采购项目的其他采购活动的；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30.5属于采购人任何不具有独立法人资格的附属机构（单位）；</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30.6没有按要求提供补充文件，或调整补充内容超出规定范围。</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30.7</w:t>
      </w:r>
      <w:r>
        <w:rPr>
          <w:rFonts w:hint="default" w:ascii="宋体" w:hAnsi="宋体" w:eastAsia="宋体" w:cs="宋体"/>
          <w:bCs/>
          <w:color w:val="auto"/>
          <w:sz w:val="21"/>
          <w:szCs w:val="21"/>
          <w:highlight w:val="none"/>
        </w:rPr>
        <w:t>未按照</w:t>
      </w:r>
      <w:r>
        <w:rPr>
          <w:rFonts w:hint="eastAsia" w:ascii="宋体" w:hAnsi="宋体" w:eastAsia="宋体" w:cs="宋体"/>
          <w:bCs/>
          <w:color w:val="auto"/>
          <w:sz w:val="21"/>
          <w:szCs w:val="21"/>
          <w:highlight w:val="none"/>
          <w:lang w:eastAsia="zh-CN"/>
        </w:rPr>
        <w:t>采购</w:t>
      </w:r>
      <w:r>
        <w:rPr>
          <w:rFonts w:hint="default" w:ascii="宋体" w:hAnsi="宋体" w:eastAsia="宋体" w:cs="宋体"/>
          <w:bCs/>
          <w:color w:val="auto"/>
          <w:sz w:val="21"/>
          <w:szCs w:val="21"/>
          <w:highlight w:val="none"/>
        </w:rPr>
        <w:t>文件的规定提交</w:t>
      </w:r>
      <w:r>
        <w:rPr>
          <w:rFonts w:hint="eastAsia" w:ascii="宋体" w:hAnsi="宋体" w:eastAsia="宋体" w:cs="宋体"/>
          <w:bCs/>
          <w:color w:val="auto"/>
          <w:sz w:val="21"/>
          <w:szCs w:val="21"/>
          <w:highlight w:val="none"/>
          <w:lang w:val="en-US" w:eastAsia="zh-CN"/>
        </w:rPr>
        <w:t>响应</w:t>
      </w:r>
      <w:r>
        <w:rPr>
          <w:rFonts w:hint="default" w:ascii="宋体" w:hAnsi="宋体" w:eastAsia="宋体" w:cs="宋体"/>
          <w:bCs/>
          <w:color w:val="auto"/>
          <w:sz w:val="21"/>
          <w:szCs w:val="21"/>
          <w:highlight w:val="none"/>
        </w:rPr>
        <w:t>保证金的；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30.8</w:t>
      </w:r>
      <w:r>
        <w:rPr>
          <w:rFonts w:hint="eastAsia" w:ascii="宋体" w:hAnsi="宋体" w:eastAsia="宋体" w:cs="宋体"/>
          <w:bCs/>
          <w:color w:val="auto"/>
          <w:sz w:val="21"/>
          <w:szCs w:val="21"/>
          <w:highlight w:val="none"/>
          <w:lang w:eastAsia="zh-CN"/>
        </w:rPr>
        <w:t>响应文件</w:t>
      </w:r>
      <w:r>
        <w:rPr>
          <w:rFonts w:hint="default" w:ascii="宋体" w:hAnsi="宋体" w:eastAsia="宋体" w:cs="宋体"/>
          <w:bCs/>
          <w:color w:val="auto"/>
          <w:sz w:val="21"/>
          <w:szCs w:val="21"/>
          <w:highlight w:val="none"/>
        </w:rPr>
        <w:t>未按</w:t>
      </w:r>
      <w:r>
        <w:rPr>
          <w:rFonts w:hint="eastAsia" w:ascii="宋体" w:hAnsi="宋体" w:eastAsia="宋体" w:cs="宋体"/>
          <w:bCs/>
          <w:color w:val="auto"/>
          <w:sz w:val="21"/>
          <w:szCs w:val="21"/>
          <w:highlight w:val="none"/>
          <w:lang w:eastAsia="zh-CN"/>
        </w:rPr>
        <w:t>采购</w:t>
      </w:r>
      <w:r>
        <w:rPr>
          <w:rFonts w:hint="default" w:ascii="宋体" w:hAnsi="宋体" w:eastAsia="宋体" w:cs="宋体"/>
          <w:bCs/>
          <w:color w:val="auto"/>
          <w:sz w:val="21"/>
          <w:szCs w:val="21"/>
          <w:highlight w:val="none"/>
        </w:rPr>
        <w:t>文件要求签署、盖章的；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30.9</w:t>
      </w:r>
      <w:r>
        <w:rPr>
          <w:rFonts w:hint="default" w:ascii="宋体" w:hAnsi="宋体" w:eastAsia="宋体" w:cs="宋体"/>
          <w:bCs/>
          <w:color w:val="auto"/>
          <w:sz w:val="21"/>
          <w:szCs w:val="21"/>
          <w:highlight w:val="none"/>
        </w:rPr>
        <w:t>不具备</w:t>
      </w:r>
      <w:r>
        <w:rPr>
          <w:rFonts w:hint="eastAsia" w:ascii="宋体" w:hAnsi="宋体" w:eastAsia="宋体" w:cs="宋体"/>
          <w:bCs/>
          <w:color w:val="auto"/>
          <w:sz w:val="21"/>
          <w:szCs w:val="21"/>
          <w:highlight w:val="none"/>
          <w:lang w:eastAsia="zh-CN"/>
        </w:rPr>
        <w:t>采购</w:t>
      </w:r>
      <w:r>
        <w:rPr>
          <w:rFonts w:hint="default" w:ascii="宋体" w:hAnsi="宋体" w:eastAsia="宋体" w:cs="宋体"/>
          <w:bCs/>
          <w:color w:val="auto"/>
          <w:sz w:val="21"/>
          <w:szCs w:val="21"/>
          <w:highlight w:val="none"/>
        </w:rPr>
        <w:t>文件中规定的资格要求的；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30.10</w:t>
      </w:r>
      <w:r>
        <w:rPr>
          <w:rFonts w:hint="default" w:ascii="宋体" w:hAnsi="宋体" w:eastAsia="宋体" w:cs="宋体"/>
          <w:bCs/>
          <w:color w:val="auto"/>
          <w:sz w:val="21"/>
          <w:szCs w:val="21"/>
          <w:highlight w:val="none"/>
        </w:rPr>
        <w:t>报价超过</w:t>
      </w:r>
      <w:r>
        <w:rPr>
          <w:rFonts w:hint="eastAsia" w:ascii="宋体" w:hAnsi="宋体" w:eastAsia="宋体" w:cs="宋体"/>
          <w:bCs/>
          <w:color w:val="auto"/>
          <w:sz w:val="21"/>
          <w:szCs w:val="21"/>
          <w:highlight w:val="none"/>
          <w:lang w:eastAsia="zh-CN"/>
        </w:rPr>
        <w:t>采购</w:t>
      </w:r>
      <w:r>
        <w:rPr>
          <w:rFonts w:hint="default" w:ascii="宋体" w:hAnsi="宋体" w:eastAsia="宋体" w:cs="宋体"/>
          <w:bCs/>
          <w:color w:val="auto"/>
          <w:sz w:val="21"/>
          <w:szCs w:val="21"/>
          <w:highlight w:val="none"/>
        </w:rPr>
        <w:t>文件中规定的预算金额或者最高限价的；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30.11</w:t>
      </w:r>
      <w:r>
        <w:rPr>
          <w:rFonts w:hint="eastAsia" w:ascii="宋体" w:hAnsi="宋体" w:eastAsia="宋体" w:cs="宋体"/>
          <w:bCs/>
          <w:color w:val="auto"/>
          <w:sz w:val="21"/>
          <w:szCs w:val="21"/>
          <w:highlight w:val="none"/>
          <w:lang w:eastAsia="zh-CN"/>
        </w:rPr>
        <w:t>响应文件</w:t>
      </w:r>
      <w:r>
        <w:rPr>
          <w:rFonts w:hint="default" w:ascii="宋体" w:hAnsi="宋体" w:eastAsia="宋体" w:cs="宋体"/>
          <w:bCs/>
          <w:color w:val="auto"/>
          <w:sz w:val="21"/>
          <w:szCs w:val="21"/>
          <w:highlight w:val="none"/>
        </w:rPr>
        <w:t>含有采购人不能接受的附加条件的；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30.12</w:t>
      </w:r>
      <w:r>
        <w:rPr>
          <w:rFonts w:hint="default" w:ascii="宋体" w:hAnsi="宋体" w:eastAsia="宋体" w:cs="宋体"/>
          <w:bCs/>
          <w:color w:val="auto"/>
          <w:sz w:val="21"/>
          <w:szCs w:val="21"/>
          <w:highlight w:val="none"/>
        </w:rPr>
        <w:t>法律、法规和</w:t>
      </w:r>
      <w:r>
        <w:rPr>
          <w:rFonts w:hint="eastAsia" w:ascii="宋体" w:hAnsi="宋体" w:eastAsia="宋体" w:cs="宋体"/>
          <w:bCs/>
          <w:color w:val="auto"/>
          <w:sz w:val="21"/>
          <w:szCs w:val="21"/>
          <w:highlight w:val="none"/>
          <w:lang w:eastAsia="zh-CN"/>
        </w:rPr>
        <w:t>采购</w:t>
      </w:r>
      <w:r>
        <w:rPr>
          <w:rFonts w:hint="default" w:ascii="宋体" w:hAnsi="宋体" w:eastAsia="宋体" w:cs="宋体"/>
          <w:bCs/>
          <w:color w:val="auto"/>
          <w:sz w:val="21"/>
          <w:szCs w:val="21"/>
          <w:highlight w:val="none"/>
        </w:rPr>
        <w:t>文件规定的其他无效情形。</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31、其他法律法规及规章制度认定参加政府采购无效的情形等。</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31.1存在恶意串通</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行为的；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31.2参与政府采购活动有不良行为记录且正处于处罚期内并适用于海口行政区域的；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31.3企业在经营活动中存在不诚信记录且正处于处罚期内并适用于海口行政区域政府采购领域的；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31.4其他法律法规及规章制度认定参加政府采购活动无效并适用海口行政区域的情形等。</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十、适用法律</w:t>
      </w:r>
    </w:p>
    <w:p>
      <w:pPr>
        <w:pageBreakBefore w:val="0"/>
        <w:wordWrap/>
        <w:topLinePunct w:val="0"/>
        <w:bidi w:val="0"/>
        <w:adjustRightInd w:val="0"/>
        <w:snapToGrid w:val="0"/>
        <w:spacing w:line="360" w:lineRule="auto"/>
        <w:ind w:firstLine="420" w:firstLineChars="200"/>
        <w:textAlignment w:val="auto"/>
        <w:outlineLvl w:val="1"/>
        <w:rPr>
          <w:rFonts w:hint="eastAsia" w:ascii="宋体" w:hAnsi="宋体" w:eastAsia="宋体" w:cs="宋体"/>
          <w:bCs/>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宋体" w:hAnsi="宋体" w:eastAsia="宋体" w:cs="宋体"/>
          <w:bCs/>
          <w:color w:val="auto"/>
          <w:sz w:val="21"/>
          <w:szCs w:val="21"/>
          <w:highlight w:val="none"/>
        </w:rPr>
        <w:t>32、采购人、</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及</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的一切</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活动均适用《政府采购法》、《政府采购法实施条例》及其配套的法规、规章、政策。</w:t>
      </w:r>
    </w:p>
    <w:p>
      <w:pPr>
        <w:pageBreakBefore w:val="0"/>
        <w:widowControl w:val="0"/>
        <w:wordWrap/>
        <w:topLinePunct w:val="0"/>
        <w:bidi w:val="0"/>
        <w:adjustRightInd w:val="0"/>
        <w:snapToGrid w:val="0"/>
        <w:spacing w:line="360" w:lineRule="auto"/>
        <w:ind w:firstLine="0"/>
        <w:jc w:val="center"/>
        <w:textAlignment w:val="auto"/>
        <w:outlineLvl w:val="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 xml:space="preserve">第四章  </w:t>
      </w:r>
      <w:bookmarkEnd w:id="31"/>
      <w:r>
        <w:rPr>
          <w:rFonts w:hint="eastAsia" w:ascii="宋体" w:hAnsi="宋体" w:eastAsia="宋体" w:cs="宋体"/>
          <w:b/>
          <w:color w:val="auto"/>
          <w:kern w:val="2"/>
          <w:sz w:val="21"/>
          <w:szCs w:val="21"/>
          <w:highlight w:val="none"/>
          <w:lang w:val="en-US" w:eastAsia="zh-CN" w:bidi="ar-SA"/>
        </w:rPr>
        <w:t>审查标准和</w:t>
      </w:r>
      <w:bookmarkStart w:id="93" w:name="_Toc246826116"/>
      <w:r>
        <w:rPr>
          <w:rFonts w:hint="eastAsia" w:ascii="宋体" w:hAnsi="宋体" w:eastAsia="宋体" w:cs="宋体"/>
          <w:b/>
          <w:color w:val="auto"/>
          <w:kern w:val="2"/>
          <w:sz w:val="21"/>
          <w:szCs w:val="21"/>
          <w:highlight w:val="none"/>
          <w:lang w:val="en-US" w:eastAsia="zh-CN" w:bidi="ar-SA"/>
        </w:rPr>
        <w:t>评审标准</w:t>
      </w:r>
    </w:p>
    <w:bookmarkEnd w:id="93"/>
    <w:p>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highlight w:val="none"/>
        </w:rPr>
      </w:pPr>
      <w:bookmarkStart w:id="94" w:name="_Toc246826117"/>
      <w:r>
        <w:rPr>
          <w:rFonts w:hint="eastAsia" w:ascii="宋体" w:hAnsi="宋体" w:eastAsia="宋体" w:cs="宋体"/>
          <w:b/>
          <w:color w:val="auto"/>
          <w:sz w:val="21"/>
          <w:szCs w:val="21"/>
          <w:highlight w:val="none"/>
        </w:rPr>
        <w:t>一、基本要求：</w:t>
      </w:r>
    </w:p>
    <w:p>
      <w:pPr>
        <w:pageBreakBefore w:val="0"/>
        <w:widowControl w:val="0"/>
        <w:wordWrap/>
        <w:topLinePunct w:val="0"/>
        <w:bidi w:val="0"/>
        <w:snapToGrid w:val="0"/>
        <w:spacing w:line="360" w:lineRule="auto"/>
        <w:ind w:firstLine="420" w:firstLineChars="200"/>
        <w:jc w:val="both"/>
        <w:textAlignment w:val="auto"/>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（一）资格审查、符合性审查或评审标准中凡涉及到提供针对本项目授权书、承诺书的，均须以原件为准，否则不予认可。</w:t>
      </w:r>
    </w:p>
    <w:p>
      <w:pPr>
        <w:pageBreakBefore w:val="0"/>
        <w:widowControl w:val="0"/>
        <w:wordWrap/>
        <w:topLinePunct w:val="0"/>
        <w:bidi w:val="0"/>
        <w:snapToGrid w:val="0"/>
        <w:spacing w:line="360" w:lineRule="auto"/>
        <w:ind w:firstLine="420"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（三）凡小微型企业或视同小微企业参与</w:t>
      </w:r>
      <w:r>
        <w:rPr>
          <w:rFonts w:hint="eastAsia" w:ascii="宋体" w:hAnsi="宋体" w:eastAsia="宋体" w:cs="宋体"/>
          <w:bCs/>
          <w:color w:val="auto"/>
          <w:sz w:val="21"/>
          <w:szCs w:val="21"/>
          <w:highlight w:val="none"/>
          <w:lang w:val="en-US" w:eastAsia="zh-CN"/>
        </w:rPr>
        <w:t>采购活动</w:t>
      </w:r>
      <w:r>
        <w:rPr>
          <w:rFonts w:hint="eastAsia" w:ascii="宋体" w:hAnsi="宋体" w:eastAsia="宋体" w:cs="宋体"/>
          <w:bCs/>
          <w:color w:val="auto"/>
          <w:sz w:val="21"/>
          <w:szCs w:val="21"/>
          <w:highlight w:val="none"/>
        </w:rPr>
        <w:t>的，依照第三章5.1款规定执行。</w:t>
      </w:r>
    </w:p>
    <w:p>
      <w:pPr>
        <w:pageBreakBefore w:val="0"/>
        <w:widowControl w:val="0"/>
        <w:wordWrap/>
        <w:topLinePunct w:val="0"/>
        <w:bidi w:val="0"/>
        <w:snapToGrid w:val="0"/>
        <w:spacing w:line="360" w:lineRule="auto"/>
        <w:ind w:firstLine="422" w:firstLineChars="200"/>
        <w:jc w:val="both"/>
        <w:textAlignment w:val="auto"/>
        <w:outlineLvl w:val="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二、审查标准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1、资格审查表和符合性审查表中所列内容全部审查意见为“合格”，方视为“合格”，其中有一项不合格，将视为不合格供应商。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2、在审查意见汇总的过程中，如存在不同审查意见，则按照少数服从多数的原则做出结论。</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3、本表格“审查意见”栏默认“√”视为合格标示，“×”视为不合格标示。</w:t>
      </w:r>
    </w:p>
    <w:p>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（一）资格审查表</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465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widowControl w:val="0"/>
              <w:snapToGrid w:val="0"/>
              <w:spacing w:line="36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val="0"/>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zh-CN" w:eastAsia="zh-CN" w:bidi="ar-SA"/>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widowControl w:val="0"/>
              <w:snapToGrid w:val="0"/>
              <w:spacing w:line="360" w:lineRule="auto"/>
              <w:jc w:val="both"/>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val="0"/>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zh-CN" w:eastAsia="zh-CN" w:bidi="ar-SA"/>
              </w:rPr>
              <w:t>提供</w:t>
            </w:r>
            <w:r>
              <w:rPr>
                <w:rFonts w:hint="eastAsia" w:ascii="宋体" w:hAnsi="宋体" w:eastAsia="宋体" w:cs="宋体"/>
                <w:bCs/>
                <w:color w:val="auto"/>
                <w:kern w:val="0"/>
                <w:sz w:val="21"/>
                <w:szCs w:val="21"/>
                <w:highlight w:val="none"/>
                <w:lang w:val="en-US" w:eastAsia="zh-CN" w:bidi="ar-SA"/>
              </w:rPr>
              <w:t>比选公告发布时间后</w:t>
            </w:r>
            <w:r>
              <w:rPr>
                <w:rFonts w:hint="eastAsia" w:ascii="宋体" w:hAnsi="宋体" w:eastAsia="宋体" w:cs="宋体"/>
                <w:bCs/>
                <w:color w:val="auto"/>
                <w:kern w:val="0"/>
                <w:sz w:val="21"/>
                <w:szCs w:val="21"/>
                <w:highlight w:val="none"/>
                <w:lang w:val="zh-CN" w:eastAsia="zh-CN" w:bidi="ar-SA"/>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pPr>
              <w:widowControl w:val="0"/>
              <w:snapToGrid w:val="0"/>
              <w:spacing w:line="360" w:lineRule="auto"/>
              <w:jc w:val="both"/>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供应商应具有合法有效的乙级或以上测绘资质证书</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val="0"/>
              <w:snapToGrid w:val="0"/>
              <w:spacing w:line="360" w:lineRule="auto"/>
              <w:jc w:val="left"/>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提供资质证书复印件。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highlight w:val="none"/>
              </w:rPr>
            </w:pPr>
          </w:p>
        </w:tc>
      </w:tr>
    </w:tbl>
    <w:p>
      <w:pPr>
        <w:rPr>
          <w:rFonts w:hint="eastAsia"/>
          <w:color w:val="auto"/>
          <w:highlight w:val="none"/>
        </w:rPr>
        <w:sectPr>
          <w:pgSz w:w="11906" w:h="16838"/>
          <w:pgMar w:top="1440" w:right="1800" w:bottom="1440" w:left="1800" w:header="794" w:footer="992" w:gutter="0"/>
          <w:pgNumType w:fmt="decimal"/>
          <w:cols w:space="425" w:num="1"/>
          <w:docGrid w:type="lines" w:linePitch="312" w:charSpace="0"/>
        </w:sectPr>
      </w:pPr>
    </w:p>
    <w:p>
      <w:pPr>
        <w:rPr>
          <w:rFonts w:hint="eastAsia" w:ascii="Times New Roman" w:hAnsi="Times New Roman" w:eastAsia="宋体" w:cs="Times New Roman"/>
          <w:color w:val="auto"/>
          <w:szCs w:val="24"/>
          <w:highlight w:val="none"/>
        </w:rPr>
      </w:pPr>
    </w:p>
    <w:p>
      <w:pPr>
        <w:pageBreakBefore w:val="0"/>
        <w:wordWrap/>
        <w:topLinePunct w:val="0"/>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符合性审查表</w:t>
      </w:r>
    </w:p>
    <w:tbl>
      <w:tblPr>
        <w:tblStyle w:val="10"/>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129"/>
        <w:gridCol w:w="266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4129"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符合性审查内容</w:t>
            </w:r>
          </w:p>
        </w:tc>
        <w:tc>
          <w:tcPr>
            <w:tcW w:w="266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4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供应商名称。</w:t>
            </w:r>
          </w:p>
        </w:tc>
        <w:tc>
          <w:tcPr>
            <w:tcW w:w="26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2</w:t>
            </w:r>
          </w:p>
        </w:tc>
        <w:tc>
          <w:tcPr>
            <w:tcW w:w="4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响应文件的有效性、完整性。</w:t>
            </w:r>
          </w:p>
        </w:tc>
        <w:tc>
          <w:tcPr>
            <w:tcW w:w="2666"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4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服务期限。</w:t>
            </w:r>
          </w:p>
        </w:tc>
        <w:tc>
          <w:tcPr>
            <w:tcW w:w="26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4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质量标准。</w:t>
            </w:r>
          </w:p>
        </w:tc>
        <w:tc>
          <w:tcPr>
            <w:tcW w:w="2666"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c>
          <w:tcPr>
            <w:tcW w:w="4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报价。</w:t>
            </w:r>
          </w:p>
        </w:tc>
        <w:tc>
          <w:tcPr>
            <w:tcW w:w="2666"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6</w:t>
            </w:r>
          </w:p>
        </w:tc>
        <w:tc>
          <w:tcPr>
            <w:tcW w:w="4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响应有效期</w:t>
            </w:r>
          </w:p>
        </w:tc>
        <w:tc>
          <w:tcPr>
            <w:tcW w:w="26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7</w:t>
            </w:r>
          </w:p>
        </w:tc>
        <w:tc>
          <w:tcPr>
            <w:tcW w:w="4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采购比选文件规定的其它条件</w:t>
            </w:r>
          </w:p>
        </w:tc>
        <w:tc>
          <w:tcPr>
            <w:tcW w:w="2666"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p>
        </w:tc>
      </w:tr>
    </w:tbl>
    <w:p>
      <w:pPr>
        <w:widowControl w:val="0"/>
        <w:snapToGrid w:val="0"/>
        <w:spacing w:after="120" w:line="240" w:lineRule="auto"/>
        <w:ind w:left="0" w:leftChars="0" w:firstLine="0" w:firstLineChars="0"/>
        <w:jc w:val="both"/>
        <w:rPr>
          <w:rFonts w:hint="eastAsia" w:ascii="仿宋_GB2312" w:hAnsi="Times New Roman" w:eastAsia="仿宋_GB2312" w:cs="Times New Roman"/>
          <w:bCs/>
          <w:color w:val="auto"/>
          <w:kern w:val="2"/>
          <w:sz w:val="21"/>
          <w:szCs w:val="21"/>
          <w:highlight w:val="none"/>
          <w:lang w:val="en-US" w:eastAsia="zh-CN" w:bidi="ar-SA"/>
        </w:rPr>
      </w:pPr>
    </w:p>
    <w:p>
      <w:pPr>
        <w:pageBreakBefore w:val="0"/>
        <w:wordWrap/>
        <w:topLinePunct w:val="0"/>
        <w:bidi w:val="0"/>
        <w:adjustRightInd w:val="0"/>
        <w:snapToGrid w:val="0"/>
        <w:spacing w:line="360" w:lineRule="auto"/>
        <w:textAlignment w:val="auto"/>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评审标准</w:t>
      </w:r>
    </w:p>
    <w:p>
      <w:pPr>
        <w:pageBreakBefore w:val="0"/>
        <w:wordWrap/>
        <w:topLinePunct w:val="0"/>
        <w:bidi w:val="0"/>
        <w:adjustRightInd w:val="0"/>
        <w:snapToGrid w:val="0"/>
        <w:spacing w:line="360" w:lineRule="auto"/>
        <w:ind w:firstLine="422" w:firstLineChars="200"/>
        <w:textAlignment w:val="auto"/>
        <w:outlineLvl w:val="1"/>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方法及</w:t>
      </w: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结果排列顺序规定如下：</w:t>
      </w:r>
    </w:p>
    <w:p>
      <w:pPr>
        <w:pageBreakBefore w:val="0"/>
        <w:widowControl w:val="0"/>
        <w:kinsoku/>
        <w:wordWrap/>
        <w:overflowPunct/>
        <w:topLinePunct w:val="0"/>
        <w:bidi w:val="0"/>
        <w:spacing w:line="360" w:lineRule="auto"/>
        <w:ind w:firstLine="420" w:firstLineChars="200"/>
        <w:jc w:val="both"/>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采用综合评分法的，评审结果按评审后得分由高到低顺序排列。得分相同的，按响应报价由低到高顺序排列。得分且响应报价相同的并列或者评审委员会根据响应情况推荐评审结果排列顺序或予以授标建议。</w:t>
      </w:r>
    </w:p>
    <w:p>
      <w:pPr>
        <w:pageBreakBefore w:val="0"/>
        <w:numPr>
          <w:ilvl w:val="0"/>
          <w:numId w:val="2"/>
        </w:numPr>
        <w:wordWrap/>
        <w:topLinePunct w:val="0"/>
        <w:bidi w:val="0"/>
        <w:adjustRightInd w:val="0"/>
        <w:snapToGrid w:val="0"/>
        <w:spacing w:line="360" w:lineRule="auto"/>
        <w:ind w:left="-2" w:leftChars="0" w:firstLine="422"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评审因素及分值分配</w:t>
      </w:r>
    </w:p>
    <w:tbl>
      <w:tblPr>
        <w:tblStyle w:val="10"/>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90</w:t>
            </w:r>
            <w:r>
              <w:rPr>
                <w:rFonts w:hint="eastAsia" w:ascii="宋体" w:hAnsi="宋体" w:eastAsia="宋体" w:cs="宋体"/>
                <w:b w:val="0"/>
                <w:bCs/>
                <w:color w:val="auto"/>
                <w:sz w:val="21"/>
                <w:szCs w:val="21"/>
                <w:highlight w:val="none"/>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tc>
      </w:tr>
      <w:bookmarkEnd w:id="94"/>
    </w:tbl>
    <w:p>
      <w:pPr>
        <w:pageBreakBefore w:val="0"/>
        <w:wordWrap/>
        <w:topLinePunct w:val="0"/>
        <w:bidi w:val="0"/>
        <w:adjustRightInd w:val="0"/>
        <w:snapToGrid w:val="0"/>
        <w:spacing w:line="360" w:lineRule="auto"/>
        <w:ind w:firstLine="422" w:firstLineChars="200"/>
        <w:textAlignment w:val="auto"/>
        <w:outlineLvl w:val="1"/>
        <w:rPr>
          <w:rFonts w:ascii="宋体" w:hAnsi="宋体" w:eastAsia="宋体" w:cs="宋体"/>
          <w:b/>
          <w:color w:val="auto"/>
          <w:sz w:val="21"/>
          <w:szCs w:val="21"/>
          <w:highlight w:val="none"/>
        </w:rPr>
      </w:pPr>
      <w:bookmarkStart w:id="95" w:name="_Toc246826118"/>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响应报价</w:t>
      </w:r>
      <w:r>
        <w:rPr>
          <w:rFonts w:hint="eastAsia" w:ascii="宋体" w:hAnsi="宋体" w:eastAsia="宋体" w:cs="宋体"/>
          <w:b/>
          <w:color w:val="auto"/>
          <w:sz w:val="21"/>
          <w:szCs w:val="21"/>
          <w:highlight w:val="none"/>
        </w:rPr>
        <w:t>的评审要求</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价格核准：</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委员会对符合性审查合格的</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明细进行复核，看其是否有计算错误，如有则按</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须知有关规定修正或澄清。</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价格评审：</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综合评分法，价格分统一采用低价优先法计算，即满足采购文件要求（通过资格审查和符合性审查）且</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价(指修正及价格扣除后的价格，下同)最低的为</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基准价，其价格分为满分。其他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价格评分=（</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基准价／</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价）×价格分值</w:t>
      </w:r>
    </w:p>
    <w:p>
      <w:pPr>
        <w:pageBreakBefore w:val="0"/>
        <w:wordWrap/>
        <w:topLinePunct w:val="0"/>
        <w:bidi w:val="0"/>
        <w:adjustRightInd w:val="0"/>
        <w:snapToGrid w:val="0"/>
        <w:spacing w:line="360" w:lineRule="auto"/>
        <w:ind w:firstLine="420" w:firstLineChars="200"/>
        <w:textAlignment w:val="auto"/>
        <w:outlineLvl w:val="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、响应报价</w:t>
      </w:r>
      <w:r>
        <w:rPr>
          <w:rFonts w:hint="eastAsia" w:ascii="宋体" w:hAnsi="宋体" w:eastAsia="宋体" w:cs="宋体"/>
          <w:bCs/>
          <w:color w:val="auto"/>
          <w:sz w:val="21"/>
          <w:szCs w:val="21"/>
          <w:highlight w:val="none"/>
        </w:rPr>
        <w:t>对小型、微型企业或者视同小型、微企业参与</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的参照第三章5.1款的规定以扣除后的价格参与评审。</w:t>
      </w:r>
    </w:p>
    <w:p>
      <w:pPr>
        <w:pageBreakBefore w:val="0"/>
        <w:wordWrap/>
        <w:topLinePunct w:val="0"/>
        <w:bidi w:val="0"/>
        <w:adjustRightInd w:val="0"/>
        <w:snapToGrid w:val="0"/>
        <w:spacing w:line="360" w:lineRule="auto"/>
        <w:ind w:firstLine="561"/>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细则</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016"/>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条款号</w:t>
            </w: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评审因素</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10" w:type="pct"/>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分值构成</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rPr>
              <w:t>(总分100分)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价格评审</w:t>
            </w:r>
            <w:r>
              <w:rPr>
                <w:rFonts w:hint="eastAsia" w:ascii="宋体" w:hAnsi="宋体" w:eastAsia="宋体" w:cs="宋体"/>
                <w:color w:val="auto"/>
                <w:sz w:val="18"/>
                <w:szCs w:val="18"/>
                <w:highlight w:val="none"/>
                <w:u w:val="single"/>
                <w:lang w:val="en-US" w:eastAsia="zh-CN"/>
              </w:rPr>
              <w:t>10</w:t>
            </w:r>
            <w:r>
              <w:rPr>
                <w:rFonts w:hint="eastAsia" w:ascii="宋体" w:hAnsi="宋体" w:eastAsia="宋体" w:cs="宋体"/>
                <w:color w:val="auto"/>
                <w:sz w:val="18"/>
                <w:szCs w:val="18"/>
                <w:highlight w:val="none"/>
              </w:rPr>
              <w:t>分</w:t>
            </w:r>
          </w:p>
          <w:p>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技术部分</w:t>
            </w:r>
            <w:r>
              <w:rPr>
                <w:rFonts w:hint="eastAsia" w:ascii="宋体" w:hAnsi="宋体" w:eastAsia="宋体" w:cs="宋体"/>
                <w:color w:val="auto"/>
                <w:sz w:val="18"/>
                <w:szCs w:val="18"/>
                <w:highlight w:val="none"/>
                <w:u w:val="single"/>
                <w:lang w:val="en-US" w:eastAsia="zh-CN"/>
              </w:rPr>
              <w:t>67</w:t>
            </w:r>
            <w:r>
              <w:rPr>
                <w:rFonts w:hint="eastAsia" w:ascii="宋体" w:hAnsi="宋体" w:eastAsia="宋体" w:cs="宋体"/>
                <w:color w:val="auto"/>
                <w:sz w:val="18"/>
                <w:szCs w:val="18"/>
                <w:highlight w:val="none"/>
              </w:rPr>
              <w:t>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rPr>
              <w:t>商务部分</w:t>
            </w:r>
            <w:r>
              <w:rPr>
                <w:rFonts w:hint="eastAsia" w:ascii="宋体" w:hAnsi="宋体" w:eastAsia="宋体" w:cs="宋体"/>
                <w:color w:val="auto"/>
                <w:sz w:val="18"/>
                <w:szCs w:val="18"/>
                <w:highlight w:val="none"/>
                <w:u w:val="single"/>
                <w:lang w:val="en-US" w:eastAsia="zh-CN"/>
              </w:rPr>
              <w:t>23</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10" w:type="pct"/>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价格评审</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响应报价</w:t>
            </w:r>
            <w:r>
              <w:rPr>
                <w:rFonts w:hint="eastAsia" w:ascii="宋体" w:hAnsi="宋体" w:eastAsia="宋体" w:cs="宋体"/>
                <w:color w:val="auto"/>
                <w:sz w:val="18"/>
                <w:szCs w:val="18"/>
                <w:highlight w:val="none"/>
              </w:rPr>
              <w:t>得分以满分</w:t>
            </w:r>
            <w:r>
              <w:rPr>
                <w:rFonts w:hint="eastAsia" w:ascii="宋体" w:hAnsi="宋体" w:eastAsia="宋体" w:cs="宋体"/>
                <w:color w:val="auto"/>
                <w:sz w:val="18"/>
                <w:szCs w:val="18"/>
                <w:highlight w:val="none"/>
                <w:u w:val="single"/>
                <w:lang w:val="en-US" w:eastAsia="zh-CN"/>
              </w:rPr>
              <w:t>10</w:t>
            </w:r>
            <w:r>
              <w:rPr>
                <w:rFonts w:hint="eastAsia" w:ascii="宋体" w:hAnsi="宋体" w:eastAsia="宋体" w:cs="宋体"/>
                <w:color w:val="auto"/>
                <w:sz w:val="18"/>
                <w:szCs w:val="18"/>
                <w:highlight w:val="none"/>
                <w:u w:val="single"/>
              </w:rPr>
              <w:t>分</w:t>
            </w:r>
            <w:r>
              <w:rPr>
                <w:rFonts w:hint="eastAsia" w:ascii="宋体" w:hAnsi="宋体" w:eastAsia="宋体" w:cs="宋体"/>
                <w:color w:val="auto"/>
                <w:sz w:val="18"/>
                <w:szCs w:val="18"/>
                <w:highlight w:val="none"/>
              </w:rPr>
              <w:t>计算。满足</w:t>
            </w:r>
            <w:r>
              <w:rPr>
                <w:rFonts w:hint="eastAsia" w:ascii="宋体" w:hAnsi="宋体" w:eastAsia="宋体" w:cs="宋体"/>
                <w:color w:val="auto"/>
                <w:sz w:val="18"/>
                <w:szCs w:val="18"/>
                <w:highlight w:val="none"/>
                <w:lang w:val="en-US" w:eastAsia="zh-CN"/>
              </w:rPr>
              <w:t>比选</w:t>
            </w:r>
            <w:r>
              <w:rPr>
                <w:rFonts w:hint="eastAsia" w:ascii="宋体" w:hAnsi="宋体" w:eastAsia="宋体" w:cs="宋体"/>
                <w:color w:val="auto"/>
                <w:sz w:val="18"/>
                <w:szCs w:val="18"/>
                <w:highlight w:val="none"/>
              </w:rPr>
              <w:t>文件要求且</w:t>
            </w:r>
            <w:r>
              <w:rPr>
                <w:rFonts w:hint="eastAsia" w:ascii="宋体" w:hAnsi="宋体" w:eastAsia="宋体" w:cs="宋体"/>
                <w:color w:val="auto"/>
                <w:sz w:val="18"/>
                <w:szCs w:val="18"/>
                <w:highlight w:val="none"/>
                <w:lang w:eastAsia="zh-CN"/>
              </w:rPr>
              <w:t>响应报价</w:t>
            </w:r>
            <w:r>
              <w:rPr>
                <w:rFonts w:hint="eastAsia" w:ascii="宋体" w:hAnsi="宋体" w:eastAsia="宋体" w:cs="宋体"/>
                <w:color w:val="auto"/>
                <w:sz w:val="18"/>
                <w:szCs w:val="18"/>
                <w:highlight w:val="none"/>
              </w:rPr>
              <w:t>最低的</w:t>
            </w:r>
            <w:r>
              <w:rPr>
                <w:rFonts w:hint="eastAsia" w:ascii="宋体" w:hAnsi="宋体" w:eastAsia="宋体" w:cs="宋体"/>
                <w:color w:val="auto"/>
                <w:sz w:val="18"/>
                <w:szCs w:val="18"/>
                <w:highlight w:val="none"/>
                <w:lang w:eastAsia="zh-CN"/>
              </w:rPr>
              <w:t>响应报价</w:t>
            </w:r>
            <w:r>
              <w:rPr>
                <w:rFonts w:hint="eastAsia" w:ascii="宋体" w:hAnsi="宋体" w:eastAsia="宋体" w:cs="宋体"/>
                <w:color w:val="auto"/>
                <w:sz w:val="18"/>
                <w:szCs w:val="18"/>
                <w:highlight w:val="none"/>
              </w:rPr>
              <w:t>为</w:t>
            </w:r>
            <w:r>
              <w:rPr>
                <w:rFonts w:hint="eastAsia" w:ascii="宋体" w:hAnsi="宋体" w:eastAsia="宋体" w:cs="宋体"/>
                <w:color w:val="auto"/>
                <w:sz w:val="18"/>
                <w:szCs w:val="18"/>
                <w:highlight w:val="none"/>
                <w:lang w:eastAsia="zh-CN"/>
              </w:rPr>
              <w:t>评审</w:t>
            </w:r>
            <w:r>
              <w:rPr>
                <w:rFonts w:hint="eastAsia" w:ascii="宋体" w:hAnsi="宋体" w:eastAsia="宋体" w:cs="宋体"/>
                <w:color w:val="auto"/>
                <w:sz w:val="18"/>
                <w:szCs w:val="18"/>
                <w:highlight w:val="none"/>
              </w:rPr>
              <w:t>基准价，其价格分为满分。其他</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的价格分统一按照下列公式计算：</w:t>
            </w:r>
          </w:p>
          <w:p>
            <w:pPr>
              <w:spacing w:line="24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响应报价</w:t>
            </w:r>
            <w:r>
              <w:rPr>
                <w:rFonts w:hint="eastAsia" w:ascii="宋体" w:hAnsi="宋体" w:eastAsia="宋体" w:cs="宋体"/>
                <w:color w:val="auto"/>
                <w:sz w:val="18"/>
                <w:szCs w:val="18"/>
                <w:highlight w:val="none"/>
              </w:rPr>
              <w:t>得分=（</w:t>
            </w:r>
            <w:r>
              <w:rPr>
                <w:rFonts w:hint="eastAsia" w:ascii="宋体" w:hAnsi="宋体" w:eastAsia="宋体" w:cs="宋体"/>
                <w:color w:val="auto"/>
                <w:sz w:val="18"/>
                <w:szCs w:val="18"/>
                <w:highlight w:val="none"/>
                <w:lang w:eastAsia="zh-CN"/>
              </w:rPr>
              <w:t>评审</w:t>
            </w:r>
            <w:r>
              <w:rPr>
                <w:rFonts w:hint="eastAsia" w:ascii="宋体" w:hAnsi="宋体" w:eastAsia="宋体" w:cs="宋体"/>
                <w:color w:val="auto"/>
                <w:sz w:val="18"/>
                <w:szCs w:val="18"/>
                <w:highlight w:val="none"/>
              </w:rPr>
              <w:t>基准价/</w:t>
            </w:r>
            <w:r>
              <w:rPr>
                <w:rFonts w:hint="eastAsia" w:ascii="宋体" w:hAnsi="宋体" w:eastAsia="宋体" w:cs="宋体"/>
                <w:color w:val="auto"/>
                <w:sz w:val="18"/>
                <w:szCs w:val="18"/>
                <w:highlight w:val="none"/>
                <w:lang w:eastAsia="zh-CN"/>
              </w:rPr>
              <w:t>响应报价</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10</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rPr>
              <w:t>财政部印发财政部令87号《政府采购货物和服务招标投标管理办法》</w:t>
            </w:r>
            <w:r>
              <w:rPr>
                <w:rFonts w:hint="eastAsia" w:ascii="宋体" w:hAnsi="宋体" w:eastAsia="宋体" w:cs="宋体"/>
                <w:color w:val="auto"/>
                <w:sz w:val="18"/>
                <w:szCs w:val="18"/>
                <w:highlight w:val="none"/>
                <w:lang w:val="en-US" w:eastAsia="zh-CN"/>
              </w:rPr>
              <w:t>第六十条</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eastAsia="zh-CN"/>
              </w:rPr>
              <w:t>评审委员会</w:t>
            </w:r>
            <w:r>
              <w:rPr>
                <w:rFonts w:hint="eastAsia" w:ascii="宋体" w:hAnsi="宋体" w:eastAsia="宋体" w:cs="宋体"/>
                <w:color w:val="auto"/>
                <w:sz w:val="18"/>
                <w:szCs w:val="18"/>
                <w:highlight w:val="none"/>
              </w:rPr>
              <w:t>认为</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的报价明显低于其他通过符合性审查</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的报价，有可能影响服务质量或者不能诚信履约的，应当要求其在</w:t>
            </w:r>
            <w:r>
              <w:rPr>
                <w:rFonts w:hint="eastAsia" w:ascii="宋体" w:hAnsi="宋体" w:eastAsia="宋体" w:cs="宋体"/>
                <w:color w:val="auto"/>
                <w:sz w:val="18"/>
                <w:szCs w:val="18"/>
                <w:highlight w:val="none"/>
                <w:lang w:eastAsia="zh-CN"/>
              </w:rPr>
              <w:t>评审</w:t>
            </w:r>
            <w:r>
              <w:rPr>
                <w:rFonts w:hint="eastAsia" w:ascii="宋体" w:hAnsi="宋体" w:eastAsia="宋体" w:cs="宋体"/>
                <w:color w:val="auto"/>
                <w:sz w:val="18"/>
                <w:szCs w:val="18"/>
                <w:highlight w:val="none"/>
              </w:rPr>
              <w:t>现场合理的时间内提供书面说明，必要时提交相关证明材料；</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不能证明其报价合理性的，</w:t>
            </w:r>
            <w:r>
              <w:rPr>
                <w:rFonts w:hint="eastAsia" w:ascii="宋体" w:hAnsi="宋体" w:eastAsia="宋体" w:cs="宋体"/>
                <w:color w:val="auto"/>
                <w:sz w:val="18"/>
                <w:szCs w:val="18"/>
                <w:highlight w:val="none"/>
                <w:lang w:eastAsia="zh-CN"/>
              </w:rPr>
              <w:t>评审委员会</w:t>
            </w:r>
            <w:r>
              <w:rPr>
                <w:rFonts w:hint="eastAsia" w:ascii="宋体" w:hAnsi="宋体" w:eastAsia="宋体" w:cs="宋体"/>
                <w:color w:val="auto"/>
                <w:sz w:val="18"/>
                <w:szCs w:val="18"/>
                <w:highlight w:val="none"/>
              </w:rPr>
              <w:t>应当将其作为</w:t>
            </w:r>
            <w:r>
              <w:rPr>
                <w:rFonts w:hint="eastAsia" w:ascii="宋体" w:hAnsi="宋体" w:eastAsia="宋体" w:cs="宋体"/>
                <w:color w:val="auto"/>
                <w:sz w:val="18"/>
                <w:szCs w:val="18"/>
                <w:highlight w:val="none"/>
                <w:lang w:eastAsia="zh-CN"/>
              </w:rPr>
              <w:t>无效响应</w:t>
            </w:r>
            <w:r>
              <w:rPr>
                <w:rFonts w:hint="eastAsia" w:ascii="宋体" w:hAnsi="宋体" w:eastAsia="宋体" w:cs="宋体"/>
                <w:color w:val="auto"/>
                <w:sz w:val="18"/>
                <w:szCs w:val="1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07" w:type="pct"/>
            <w:vMerge w:val="restart"/>
            <w:tcBorders>
              <w:top w:val="single" w:color="auto" w:sz="4" w:space="0"/>
              <w:left w:val="single" w:color="auto" w:sz="4" w:space="0"/>
              <w:right w:val="single" w:color="auto" w:sz="4" w:space="0"/>
            </w:tcBorders>
            <w:noWrap/>
            <w:vAlign w:val="center"/>
          </w:tcPr>
          <w:p>
            <w:pPr>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技术部分</w:t>
            </w:r>
          </w:p>
          <w:p>
            <w:pPr>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67</w:t>
            </w:r>
            <w:r>
              <w:rPr>
                <w:rFonts w:hint="eastAsia" w:ascii="宋体" w:hAnsi="宋体" w:eastAsia="宋体" w:cs="宋体"/>
                <w:color w:val="auto"/>
                <w:sz w:val="20"/>
                <w:szCs w:val="20"/>
                <w:highlight w:val="none"/>
              </w:rPr>
              <w:t>分）</w:t>
            </w:r>
          </w:p>
          <w:p>
            <w:pPr>
              <w:spacing w:line="240" w:lineRule="auto"/>
              <w:jc w:val="center"/>
              <w:rPr>
                <w:rFonts w:ascii="宋体" w:hAnsi="宋体" w:eastAsia="宋体" w:cs="宋体"/>
                <w:color w:val="auto"/>
                <w:sz w:val="20"/>
                <w:szCs w:val="20"/>
                <w:highlight w:val="none"/>
              </w:rPr>
            </w:pPr>
          </w:p>
          <w:p>
            <w:pPr>
              <w:spacing w:line="240" w:lineRule="auto"/>
              <w:jc w:val="center"/>
              <w:rPr>
                <w:rFonts w:ascii="宋体" w:hAnsi="宋体" w:eastAsia="宋体" w:cs="宋体"/>
                <w:color w:val="auto"/>
                <w:sz w:val="20"/>
                <w:szCs w:val="20"/>
                <w:highlight w:val="none"/>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对项目的理解度与认识度评价</w:t>
            </w:r>
            <w:r>
              <w:rPr>
                <w:rFonts w:hint="eastAsia" w:ascii="宋体" w:hAnsi="宋体" w:eastAsia="宋体" w:cs="宋体"/>
                <w:color w:val="auto"/>
                <w:sz w:val="20"/>
                <w:szCs w:val="20"/>
                <w:highlight w:val="none"/>
                <w:lang w:val="en-US" w:eastAsia="zh-CN"/>
              </w:rPr>
              <w:t>（26分）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对江东新区已完工未移交排水管网排查项目是否有全面准确了解、对存在问题分析是否准确、对项目需求理解是否透彻到位等进行横向比较。</w:t>
            </w:r>
          </w:p>
          <w:p>
            <w:pPr>
              <w:spacing w:line="240" w:lineRule="auto"/>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现状、存在问题分析准确，需求理解透彻</w:t>
            </w:r>
            <w:r>
              <w:rPr>
                <w:rFonts w:hint="default" w:ascii="宋体" w:hAnsi="宋体" w:eastAsia="宋体" w:cs="宋体"/>
                <w:color w:val="auto"/>
                <w:sz w:val="18"/>
                <w:szCs w:val="18"/>
                <w:highlight w:val="none"/>
                <w:lang w:val="en-US" w:eastAsia="zh-CN"/>
              </w:rPr>
              <w:t>，得</w:t>
            </w:r>
            <w:r>
              <w:rPr>
                <w:rFonts w:hint="eastAsia" w:ascii="宋体" w:hAnsi="宋体" w:eastAsia="宋体" w:cs="宋体"/>
                <w:color w:val="auto"/>
                <w:sz w:val="18"/>
                <w:szCs w:val="18"/>
                <w:highlight w:val="none"/>
                <w:lang w:val="en-US" w:eastAsia="zh-CN"/>
              </w:rPr>
              <w:t xml:space="preserve"> 20</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 xml:space="preserve">26 </w:t>
            </w:r>
            <w:r>
              <w:rPr>
                <w:rFonts w:hint="default" w:ascii="宋体" w:hAnsi="宋体" w:eastAsia="宋体" w:cs="宋体"/>
                <w:color w:val="auto"/>
                <w:sz w:val="18"/>
                <w:szCs w:val="18"/>
                <w:highlight w:val="none"/>
                <w:lang w:val="en-US" w:eastAsia="zh-CN"/>
              </w:rPr>
              <w:t>分</w:t>
            </w:r>
            <w:r>
              <w:rPr>
                <w:rFonts w:hint="eastAsia" w:ascii="宋体" w:hAnsi="宋体" w:eastAsia="宋体" w:cs="宋体"/>
                <w:color w:val="auto"/>
                <w:sz w:val="18"/>
                <w:szCs w:val="18"/>
                <w:highlight w:val="none"/>
                <w:lang w:val="en-US" w:eastAsia="zh-CN"/>
              </w:rPr>
              <w:t>；</w:t>
            </w:r>
          </w:p>
          <w:p>
            <w:pPr>
              <w:spacing w:line="240" w:lineRule="auto"/>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现状、存在问题分析较准确，需求理解较透彻</w:t>
            </w:r>
            <w:r>
              <w:rPr>
                <w:rFonts w:hint="default" w:ascii="宋体" w:hAnsi="宋体" w:eastAsia="宋体" w:cs="宋体"/>
                <w:color w:val="auto"/>
                <w:sz w:val="18"/>
                <w:szCs w:val="18"/>
                <w:highlight w:val="none"/>
                <w:lang w:val="en-US" w:eastAsia="zh-CN"/>
              </w:rPr>
              <w:t>，得</w:t>
            </w:r>
            <w:r>
              <w:rPr>
                <w:rFonts w:hint="eastAsia" w:ascii="宋体" w:hAnsi="宋体" w:eastAsia="宋体" w:cs="宋体"/>
                <w:color w:val="auto"/>
                <w:sz w:val="18"/>
                <w:szCs w:val="18"/>
                <w:highlight w:val="none"/>
                <w:lang w:val="en-US" w:eastAsia="zh-CN"/>
              </w:rPr>
              <w:t>13</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19</w:t>
            </w:r>
            <w:r>
              <w:rPr>
                <w:rFonts w:hint="default" w:ascii="宋体" w:hAnsi="宋体" w:eastAsia="宋体" w:cs="宋体"/>
                <w:color w:val="auto"/>
                <w:sz w:val="18"/>
                <w:szCs w:val="18"/>
                <w:highlight w:val="none"/>
                <w:lang w:val="en-US" w:eastAsia="zh-CN"/>
              </w:rPr>
              <w:t xml:space="preserve"> 分</w:t>
            </w:r>
            <w:r>
              <w:rPr>
                <w:rFonts w:hint="eastAsia" w:ascii="宋体" w:hAnsi="宋体" w:eastAsia="宋体" w:cs="宋体"/>
                <w:color w:val="auto"/>
                <w:sz w:val="18"/>
                <w:szCs w:val="18"/>
                <w:highlight w:val="none"/>
                <w:lang w:val="en-US" w:eastAsia="zh-CN"/>
              </w:rPr>
              <w:t>；</w:t>
            </w:r>
          </w:p>
          <w:p>
            <w:pPr>
              <w:spacing w:line="240" w:lineRule="auto"/>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3</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现状、存在问题分析及需求理解</w:t>
            </w:r>
            <w:r>
              <w:rPr>
                <w:rFonts w:hint="default" w:ascii="宋体" w:hAnsi="宋体" w:eastAsia="宋体" w:cs="宋体"/>
                <w:color w:val="auto"/>
                <w:sz w:val="18"/>
                <w:szCs w:val="18"/>
                <w:highlight w:val="none"/>
                <w:lang w:val="en-US" w:eastAsia="zh-CN"/>
              </w:rPr>
              <w:t xml:space="preserve">一般，得 </w:t>
            </w:r>
            <w:r>
              <w:rPr>
                <w:rFonts w:hint="eastAsia" w:ascii="宋体" w:hAnsi="宋体" w:eastAsia="宋体" w:cs="宋体"/>
                <w:color w:val="auto"/>
                <w:sz w:val="18"/>
                <w:szCs w:val="18"/>
                <w:highlight w:val="none"/>
                <w:lang w:val="en-US" w:eastAsia="zh-CN"/>
              </w:rPr>
              <w:t>6</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12</w:t>
            </w:r>
            <w:r>
              <w:rPr>
                <w:rFonts w:hint="default" w:ascii="宋体" w:hAnsi="宋体" w:eastAsia="宋体" w:cs="宋体"/>
                <w:color w:val="auto"/>
                <w:sz w:val="18"/>
                <w:szCs w:val="18"/>
                <w:highlight w:val="none"/>
                <w:lang w:val="en-US" w:eastAsia="zh-CN"/>
              </w:rPr>
              <w:t xml:space="preserve"> 分</w:t>
            </w:r>
            <w:r>
              <w:rPr>
                <w:rFonts w:hint="eastAsia" w:ascii="宋体" w:hAnsi="宋体" w:eastAsia="宋体" w:cs="宋体"/>
                <w:color w:val="auto"/>
                <w:sz w:val="18"/>
                <w:szCs w:val="18"/>
                <w:highlight w:val="none"/>
                <w:lang w:val="en-US" w:eastAsia="zh-CN"/>
              </w:rPr>
              <w:t>；</w:t>
            </w:r>
          </w:p>
          <w:p>
            <w:pPr>
              <w:spacing w:line="240" w:lineRule="auto"/>
              <w:rPr>
                <w:rFonts w:hint="eastAsia" w:ascii="宋体" w:hAnsi="宋体" w:eastAsia="宋体" w:cs="宋体"/>
                <w:color w:val="auto"/>
                <w:sz w:val="18"/>
                <w:szCs w:val="18"/>
                <w:highlight w:val="none"/>
                <w:lang w:eastAsia="zh-CN"/>
              </w:rPr>
            </w:pP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4</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现状、存在问题分析及需求理解</w:t>
            </w:r>
            <w:r>
              <w:rPr>
                <w:rFonts w:hint="default" w:ascii="宋体" w:hAnsi="宋体" w:eastAsia="宋体" w:cs="宋体"/>
                <w:color w:val="auto"/>
                <w:sz w:val="18"/>
                <w:szCs w:val="18"/>
                <w:highlight w:val="none"/>
                <w:lang w:val="en-US" w:eastAsia="zh-CN"/>
              </w:rPr>
              <w:t xml:space="preserve">较弱，得 </w:t>
            </w:r>
            <w:r>
              <w:rPr>
                <w:rFonts w:hint="eastAsia" w:ascii="宋体" w:hAnsi="宋体" w:eastAsia="宋体" w:cs="宋体"/>
                <w:color w:val="auto"/>
                <w:sz w:val="18"/>
                <w:szCs w:val="18"/>
                <w:highlight w:val="none"/>
                <w:lang w:val="en-US" w:eastAsia="zh-CN"/>
              </w:rPr>
              <w:t>1</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5</w:t>
            </w:r>
            <w:r>
              <w:rPr>
                <w:rFonts w:hint="default" w:ascii="宋体" w:hAnsi="宋体" w:eastAsia="宋体" w:cs="宋体"/>
                <w:color w:val="auto"/>
                <w:sz w:val="18"/>
                <w:szCs w:val="18"/>
                <w:highlight w:val="none"/>
                <w:lang w:val="en-US" w:eastAsia="zh-CN"/>
              </w:rPr>
              <w:t xml:space="preserve"> 分</w:t>
            </w:r>
          </w:p>
          <w:p>
            <w:pPr>
              <w:spacing w:line="240" w:lineRule="auto"/>
              <w:rPr>
                <w:rFonts w:hint="default" w:ascii="Times New Roman" w:hAnsi="Times New Roman" w:eastAsia="宋体" w:cs="Times New Roman"/>
                <w:color w:val="auto"/>
                <w:szCs w:val="24"/>
                <w:highlight w:val="none"/>
                <w:lang w:val="en-US" w:eastAsia="zh-CN"/>
              </w:rPr>
            </w:pPr>
            <w:r>
              <w:rPr>
                <w:rFonts w:hint="eastAsia" w:ascii="宋体" w:hAnsi="宋体" w:eastAsia="宋体" w:cs="宋体"/>
                <w:color w:val="auto"/>
                <w:sz w:val="18"/>
                <w:szCs w:val="18"/>
                <w:highlight w:val="none"/>
                <w:lang w:val="en-US" w:eastAsia="zh-CN"/>
              </w:rPr>
              <w:t>.</w:t>
            </w:r>
            <w:r>
              <w:rPr>
                <w:rFonts w:hint="default" w:ascii="宋体" w:hAnsi="宋体" w:eastAsia="宋体" w:cs="宋体"/>
                <w:color w:val="auto"/>
                <w:sz w:val="18"/>
                <w:szCs w:val="18"/>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ascii="宋体" w:hAnsi="宋体" w:eastAsia="宋体" w:cs="宋体"/>
                <w:color w:val="auto"/>
                <w:sz w:val="20"/>
                <w:szCs w:val="20"/>
                <w:highlight w:val="none"/>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18"/>
                <w:szCs w:val="18"/>
                <w:highlight w:val="none"/>
              </w:rPr>
              <w:t>项目</w:t>
            </w:r>
            <w:r>
              <w:rPr>
                <w:rFonts w:hint="eastAsia" w:ascii="宋体" w:hAnsi="宋体" w:eastAsia="宋体" w:cs="宋体"/>
                <w:color w:val="auto"/>
                <w:sz w:val="18"/>
                <w:szCs w:val="18"/>
                <w:highlight w:val="none"/>
                <w:lang w:val="en-US" w:eastAsia="zh-CN"/>
              </w:rPr>
              <w:t>排查思路</w:t>
            </w:r>
            <w:r>
              <w:rPr>
                <w:rFonts w:hint="eastAsia" w:ascii="宋体" w:hAnsi="宋体" w:eastAsia="宋体" w:cs="宋体"/>
                <w:color w:val="auto"/>
                <w:sz w:val="18"/>
                <w:szCs w:val="18"/>
                <w:highlight w:val="none"/>
              </w:rPr>
              <w:t>与</w:t>
            </w:r>
            <w:r>
              <w:rPr>
                <w:rFonts w:hint="eastAsia" w:ascii="宋体" w:hAnsi="宋体" w:eastAsia="宋体" w:cs="宋体"/>
                <w:color w:val="auto"/>
                <w:sz w:val="18"/>
                <w:szCs w:val="18"/>
                <w:highlight w:val="none"/>
                <w:lang w:val="en-US" w:eastAsia="zh-CN"/>
              </w:rPr>
              <w:t>技术措施</w:t>
            </w:r>
            <w:r>
              <w:rPr>
                <w:rFonts w:hint="eastAsia" w:ascii="宋体" w:hAnsi="宋体" w:eastAsia="宋体" w:cs="宋体"/>
                <w:color w:val="auto"/>
                <w:sz w:val="20"/>
                <w:szCs w:val="20"/>
                <w:highlight w:val="none"/>
                <w:lang w:val="en-US" w:eastAsia="zh-CN"/>
              </w:rPr>
              <w:t>（14分）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对</w:t>
            </w:r>
            <w:r>
              <w:rPr>
                <w:rFonts w:hint="eastAsia" w:ascii="宋体" w:hAnsi="宋体" w:eastAsia="宋体" w:cs="宋体"/>
                <w:color w:val="auto"/>
                <w:sz w:val="18"/>
                <w:szCs w:val="18"/>
                <w:highlight w:val="none"/>
                <w:lang w:val="en-US" w:eastAsia="zh-CN"/>
              </w:rPr>
              <w:t>本项目排查思路是否清晰，技术措施是否全面进行横向比较:。</w:t>
            </w:r>
          </w:p>
          <w:p>
            <w:pPr>
              <w:spacing w:line="240" w:lineRule="auto"/>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以上内容全面且有针对性</w:t>
            </w:r>
            <w:r>
              <w:rPr>
                <w:rFonts w:hint="default" w:ascii="宋体" w:hAnsi="宋体" w:eastAsia="宋体" w:cs="宋体"/>
                <w:color w:val="auto"/>
                <w:sz w:val="18"/>
                <w:szCs w:val="18"/>
                <w:highlight w:val="none"/>
                <w:lang w:val="en-US" w:eastAsia="zh-CN"/>
              </w:rPr>
              <w:t>，得</w:t>
            </w:r>
            <w:r>
              <w:rPr>
                <w:rFonts w:hint="eastAsia" w:ascii="宋体" w:hAnsi="宋体" w:eastAsia="宋体" w:cs="宋体"/>
                <w:color w:val="auto"/>
                <w:sz w:val="18"/>
                <w:szCs w:val="18"/>
                <w:highlight w:val="none"/>
                <w:lang w:val="en-US" w:eastAsia="zh-CN"/>
              </w:rPr>
              <w:t>12</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14</w:t>
            </w:r>
            <w:r>
              <w:rPr>
                <w:rFonts w:hint="default" w:ascii="宋体" w:hAnsi="宋体" w:eastAsia="宋体" w:cs="宋体"/>
                <w:color w:val="auto"/>
                <w:sz w:val="18"/>
                <w:szCs w:val="18"/>
                <w:highlight w:val="none"/>
                <w:lang w:val="en-US" w:eastAsia="zh-CN"/>
              </w:rPr>
              <w:t>分</w:t>
            </w:r>
            <w:r>
              <w:rPr>
                <w:rFonts w:hint="eastAsia" w:ascii="宋体" w:hAnsi="宋体" w:eastAsia="宋体" w:cs="宋体"/>
                <w:color w:val="auto"/>
                <w:sz w:val="18"/>
                <w:szCs w:val="18"/>
                <w:highlight w:val="none"/>
                <w:lang w:val="en-US" w:eastAsia="zh-CN"/>
              </w:rPr>
              <w:t>；</w:t>
            </w:r>
          </w:p>
          <w:p>
            <w:pPr>
              <w:spacing w:line="240" w:lineRule="auto"/>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以上内容较全面，有一定针对性</w:t>
            </w:r>
            <w:r>
              <w:rPr>
                <w:rFonts w:hint="default" w:ascii="宋体" w:hAnsi="宋体" w:eastAsia="宋体" w:cs="宋体"/>
                <w:color w:val="auto"/>
                <w:sz w:val="18"/>
                <w:szCs w:val="18"/>
                <w:highlight w:val="none"/>
                <w:lang w:val="en-US" w:eastAsia="zh-CN"/>
              </w:rPr>
              <w:t>，得</w:t>
            </w:r>
            <w:r>
              <w:rPr>
                <w:rFonts w:hint="eastAsia" w:ascii="宋体" w:hAnsi="宋体" w:eastAsia="宋体" w:cs="宋体"/>
                <w:color w:val="auto"/>
                <w:sz w:val="18"/>
                <w:szCs w:val="18"/>
                <w:highlight w:val="none"/>
                <w:lang w:val="en-US" w:eastAsia="zh-CN"/>
              </w:rPr>
              <w:t>9</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11</w:t>
            </w:r>
            <w:r>
              <w:rPr>
                <w:rFonts w:hint="default" w:ascii="宋体" w:hAnsi="宋体" w:eastAsia="宋体" w:cs="宋体"/>
                <w:color w:val="auto"/>
                <w:sz w:val="18"/>
                <w:szCs w:val="18"/>
                <w:highlight w:val="none"/>
                <w:lang w:val="en-US" w:eastAsia="zh-CN"/>
              </w:rPr>
              <w:t xml:space="preserve"> 分</w:t>
            </w:r>
            <w:r>
              <w:rPr>
                <w:rFonts w:hint="eastAsia" w:ascii="宋体" w:hAnsi="宋体" w:eastAsia="宋体" w:cs="宋体"/>
                <w:color w:val="auto"/>
                <w:sz w:val="18"/>
                <w:szCs w:val="18"/>
                <w:highlight w:val="none"/>
                <w:lang w:val="en-US" w:eastAsia="zh-CN"/>
              </w:rPr>
              <w:t>；</w:t>
            </w:r>
          </w:p>
          <w:p>
            <w:pPr>
              <w:spacing w:line="240" w:lineRule="auto"/>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3</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涉及以上内容，针对性一般</w:t>
            </w:r>
            <w:r>
              <w:rPr>
                <w:rFonts w:hint="default" w:ascii="宋体" w:hAnsi="宋体" w:eastAsia="宋体" w:cs="宋体"/>
                <w:color w:val="auto"/>
                <w:sz w:val="18"/>
                <w:szCs w:val="18"/>
                <w:highlight w:val="none"/>
                <w:lang w:val="en-US" w:eastAsia="zh-CN"/>
              </w:rPr>
              <w:t xml:space="preserve">，得 </w:t>
            </w:r>
            <w:r>
              <w:rPr>
                <w:rFonts w:hint="eastAsia" w:ascii="宋体" w:hAnsi="宋体" w:eastAsia="宋体" w:cs="宋体"/>
                <w:color w:val="auto"/>
                <w:sz w:val="18"/>
                <w:szCs w:val="18"/>
                <w:highlight w:val="none"/>
                <w:lang w:val="en-US" w:eastAsia="zh-CN"/>
              </w:rPr>
              <w:t>6</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8</w:t>
            </w:r>
            <w:r>
              <w:rPr>
                <w:rFonts w:hint="default" w:ascii="宋体" w:hAnsi="宋体" w:eastAsia="宋体" w:cs="宋体"/>
                <w:color w:val="auto"/>
                <w:sz w:val="18"/>
                <w:szCs w:val="18"/>
                <w:highlight w:val="none"/>
                <w:lang w:val="en-US" w:eastAsia="zh-CN"/>
              </w:rPr>
              <w:t xml:space="preserve"> 分</w:t>
            </w:r>
            <w:r>
              <w:rPr>
                <w:rFonts w:hint="eastAsia" w:ascii="宋体" w:hAnsi="宋体" w:eastAsia="宋体" w:cs="宋体"/>
                <w:color w:val="auto"/>
                <w:sz w:val="18"/>
                <w:szCs w:val="18"/>
                <w:highlight w:val="none"/>
                <w:lang w:val="en-US" w:eastAsia="zh-CN"/>
              </w:rPr>
              <w:t>；</w:t>
            </w:r>
          </w:p>
          <w:p>
            <w:pPr>
              <w:spacing w:line="240" w:lineRule="auto"/>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4</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涉及以上内容，针对性</w:t>
            </w:r>
            <w:r>
              <w:rPr>
                <w:rFonts w:hint="default" w:ascii="宋体" w:hAnsi="宋体" w:eastAsia="宋体" w:cs="宋体"/>
                <w:color w:val="auto"/>
                <w:sz w:val="18"/>
                <w:szCs w:val="18"/>
                <w:highlight w:val="none"/>
                <w:lang w:val="en-US" w:eastAsia="zh-CN"/>
              </w:rPr>
              <w:t>较弱，得</w:t>
            </w:r>
            <w:r>
              <w:rPr>
                <w:rFonts w:hint="eastAsia" w:ascii="宋体" w:hAnsi="宋体" w:eastAsia="宋体" w:cs="宋体"/>
                <w:color w:val="auto"/>
                <w:sz w:val="18"/>
                <w:szCs w:val="18"/>
                <w:highlight w:val="none"/>
                <w:lang w:val="en-US" w:eastAsia="zh-CN"/>
              </w:rPr>
              <w:t>1</w:t>
            </w: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5</w:t>
            </w:r>
            <w:r>
              <w:rPr>
                <w:rFonts w:hint="default" w:ascii="宋体" w:hAnsi="宋体" w:eastAsia="宋体" w:cs="宋体"/>
                <w:color w:val="auto"/>
                <w:sz w:val="18"/>
                <w:szCs w:val="18"/>
                <w:highlight w:val="none"/>
                <w:lang w:val="en-US" w:eastAsia="zh-CN"/>
              </w:rPr>
              <w:t xml:space="preserve"> 分</w:t>
            </w:r>
            <w:r>
              <w:rPr>
                <w:rFonts w:hint="eastAsia" w:ascii="宋体" w:hAnsi="宋体" w:eastAsia="宋体" w:cs="宋体"/>
                <w:color w:val="auto"/>
                <w:sz w:val="18"/>
                <w:szCs w:val="18"/>
                <w:highlight w:val="none"/>
                <w:lang w:val="en-US" w:eastAsia="zh-CN"/>
              </w:rPr>
              <w:t>；</w:t>
            </w:r>
          </w:p>
          <w:p>
            <w:pPr>
              <w:spacing w:line="240" w:lineRule="auto"/>
              <w:rPr>
                <w:rFonts w:hint="default" w:ascii="Times New Roman" w:hAnsi="Times New Roman" w:eastAsia="宋体" w:cs="Times New Roman"/>
                <w:color w:val="auto"/>
                <w:szCs w:val="24"/>
                <w:highlight w:val="none"/>
                <w:lang w:val="en-US" w:eastAsia="zh-CN"/>
              </w:rPr>
            </w:pPr>
            <w:r>
              <w:rPr>
                <w:rFonts w:hint="default" w:ascii="宋体" w:hAnsi="宋体" w:eastAsia="宋体" w:cs="宋体"/>
                <w:color w:val="auto"/>
                <w:sz w:val="18"/>
                <w:szCs w:val="18"/>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项目实施方案及质量保障措施</w:t>
            </w:r>
            <w:r>
              <w:rPr>
                <w:rFonts w:hint="eastAsia" w:ascii="宋体" w:hAnsi="宋体" w:eastAsia="宋体" w:cs="宋体"/>
                <w:color w:val="auto"/>
                <w:sz w:val="20"/>
                <w:szCs w:val="20"/>
                <w:highlight w:val="none"/>
                <w:lang w:val="en-US" w:eastAsia="zh-CN"/>
              </w:rPr>
              <w:t>（15分）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18"/>
                <w:szCs w:val="18"/>
                <w:highlight w:val="none"/>
                <w:lang w:val="en-US" w:eastAsia="zh-CN"/>
              </w:rPr>
              <w:t>本项目实施方案的组织管理、工作流程、进度安排、质量保障措施、应急情况处理措施响应情况进行综合评审：</w:t>
            </w:r>
          </w:p>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(1)内容全面、可操作性强，得11-15分；</w:t>
            </w:r>
          </w:p>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(2)内容较全面、可操作性较强，得6-10分；</w:t>
            </w:r>
          </w:p>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(3)内容及可操作性一般，得1-5分；</w:t>
            </w:r>
          </w:p>
          <w:p>
            <w:pPr>
              <w:spacing w:line="240" w:lineRule="auto"/>
              <w:rPr>
                <w:rFonts w:hint="eastAsia" w:ascii="宋体" w:hAnsi="宋体" w:eastAsia="宋体" w:cs="宋体"/>
                <w:color w:val="auto"/>
                <w:sz w:val="21"/>
                <w:szCs w:val="21"/>
                <w:highlight w:val="none"/>
              </w:rPr>
            </w:pPr>
            <w:r>
              <w:rPr>
                <w:rFonts w:hint="default" w:ascii="宋体" w:hAnsi="宋体" w:eastAsia="宋体" w:cs="宋体"/>
                <w:color w:val="auto"/>
                <w:sz w:val="18"/>
                <w:szCs w:val="18"/>
                <w:highlight w:val="none"/>
                <w:lang w:val="en-US" w:eastAsia="zh-CN"/>
              </w:rPr>
              <w:t>未提供不得分</w:t>
            </w:r>
            <w:r>
              <w:rPr>
                <w:rFonts w:hint="eastAsia" w:ascii="宋体" w:hAnsi="宋体" w:eastAsia="宋体" w:cs="宋体"/>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应急处理方案（12分）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根据投标人提供的应急处理方案（包括但不限于突发事件分析及应对措施、应急人员安排）进行综合评审：</w:t>
            </w:r>
          </w:p>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val="en-GB" w:eastAsia="zh-CN"/>
              </w:rPr>
              <w:t>应急处理方案</w:t>
            </w:r>
            <w:r>
              <w:rPr>
                <w:rFonts w:hint="eastAsia" w:ascii="宋体" w:hAnsi="宋体" w:eastAsia="宋体" w:cs="宋体"/>
                <w:color w:val="auto"/>
                <w:sz w:val="18"/>
                <w:szCs w:val="18"/>
                <w:highlight w:val="none"/>
                <w:lang w:val="en-US" w:eastAsia="zh-CN"/>
              </w:rPr>
              <w:t>全面详细，方案切实可行，实施过程务实，得9-12分；</w:t>
            </w:r>
          </w:p>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val="en-GB" w:eastAsia="zh-CN"/>
              </w:rPr>
              <w:t>应急处理方案</w:t>
            </w:r>
            <w:r>
              <w:rPr>
                <w:rFonts w:hint="eastAsia" w:ascii="宋体" w:hAnsi="宋体" w:eastAsia="宋体" w:cs="宋体"/>
                <w:color w:val="auto"/>
                <w:sz w:val="18"/>
                <w:szCs w:val="18"/>
                <w:highlight w:val="none"/>
                <w:lang w:val="en-US" w:eastAsia="zh-CN"/>
              </w:rPr>
              <w:t>详细，方案可行性较好，实施过程较务实，得4-8分；</w:t>
            </w:r>
          </w:p>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val="en-GB" w:eastAsia="zh-CN"/>
              </w:rPr>
              <w:t>应急处理方案</w:t>
            </w:r>
            <w:r>
              <w:rPr>
                <w:rFonts w:hint="eastAsia" w:ascii="宋体" w:hAnsi="宋体" w:eastAsia="宋体" w:cs="宋体"/>
                <w:color w:val="auto"/>
                <w:sz w:val="18"/>
                <w:szCs w:val="18"/>
                <w:highlight w:val="none"/>
                <w:lang w:val="en-US" w:eastAsia="zh-CN"/>
              </w:rPr>
              <w:t>详细程度一般，方案可行性一般，实施过程一般，得1-3分；</w:t>
            </w:r>
          </w:p>
          <w:p>
            <w:pPr>
              <w:spacing w:line="24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7" w:type="pct"/>
            <w:vMerge w:val="restart"/>
            <w:tcBorders>
              <w:left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商务部分（23分）</w:t>
            </w: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项目负责人情况（仅限1人）（6分）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拟安排本项目的项目负责人，必须为供应商自有员工，具备以下资质条件：</w:t>
            </w:r>
          </w:p>
          <w:p>
            <w:pPr>
              <w:spacing w:line="24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具有测绘专业工程师，得3分；测绘专业高级工程师，得6分</w:t>
            </w:r>
            <w:r>
              <w:rPr>
                <w:rFonts w:hint="eastAsia" w:ascii="宋体" w:hAnsi="宋体" w:eastAsia="宋体" w:cs="宋体"/>
                <w:color w:val="auto"/>
                <w:sz w:val="18"/>
                <w:szCs w:val="18"/>
                <w:highlight w:val="none"/>
                <w:lang w:val="en-GB" w:eastAsia="zh-CN"/>
              </w:rPr>
              <w:t>；</w:t>
            </w:r>
          </w:p>
          <w:p>
            <w:p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US" w:eastAsia="zh-CN"/>
              </w:rPr>
              <w:t>注：项目负责人须提供</w:t>
            </w:r>
            <w:r>
              <w:rPr>
                <w:rFonts w:hint="eastAsia" w:ascii="宋体" w:hAnsi="宋体" w:eastAsia="宋体" w:cs="宋体"/>
                <w:color w:val="auto"/>
                <w:sz w:val="18"/>
                <w:szCs w:val="18"/>
                <w:highlight w:val="none"/>
                <w:lang w:val="en-GB" w:eastAsia="zh-CN"/>
              </w:rPr>
              <w:t>在</w:t>
            </w:r>
            <w:r>
              <w:rPr>
                <w:rFonts w:hint="eastAsia" w:ascii="宋体" w:hAnsi="宋体" w:eastAsia="宋体" w:cs="宋体"/>
                <w:color w:val="auto"/>
                <w:sz w:val="18"/>
                <w:szCs w:val="18"/>
                <w:highlight w:val="none"/>
                <w:lang w:val="en-US" w:eastAsia="zh-CN"/>
              </w:rPr>
              <w:t>本</w:t>
            </w:r>
            <w:r>
              <w:rPr>
                <w:rFonts w:hint="eastAsia" w:ascii="宋体" w:hAnsi="宋体" w:eastAsia="宋体" w:cs="宋体"/>
                <w:color w:val="auto"/>
                <w:sz w:val="18"/>
                <w:szCs w:val="18"/>
                <w:highlight w:val="none"/>
                <w:lang w:val="en-GB" w:eastAsia="zh-CN"/>
              </w:rPr>
              <w:t>单位</w:t>
            </w:r>
            <w:r>
              <w:rPr>
                <w:rFonts w:hint="eastAsia" w:ascii="宋体" w:hAnsi="宋体" w:eastAsia="宋体" w:cs="宋体"/>
                <w:color w:val="auto"/>
                <w:sz w:val="18"/>
                <w:szCs w:val="18"/>
                <w:highlight w:val="none"/>
                <w:lang w:val="en-US" w:eastAsia="zh-CN"/>
              </w:rPr>
              <w:t>2024年第一季度</w:t>
            </w:r>
            <w:r>
              <w:rPr>
                <w:rFonts w:hint="eastAsia" w:ascii="宋体" w:hAnsi="宋体" w:eastAsia="宋体" w:cs="宋体"/>
                <w:color w:val="auto"/>
                <w:sz w:val="18"/>
                <w:szCs w:val="18"/>
                <w:highlight w:val="none"/>
                <w:lang w:val="en-GB" w:eastAsia="zh-CN"/>
              </w:rPr>
              <w:t>缴纳的社保证明</w:t>
            </w:r>
            <w:r>
              <w:rPr>
                <w:rFonts w:hint="eastAsia" w:ascii="宋体" w:hAnsi="宋体" w:eastAsia="宋体" w:cs="宋体"/>
                <w:color w:val="auto"/>
                <w:sz w:val="18"/>
                <w:szCs w:val="18"/>
                <w:highlight w:val="none"/>
                <w:lang w:val="en-US" w:eastAsia="zh-CN"/>
              </w:rPr>
              <w:t>和资质证书</w:t>
            </w:r>
            <w:r>
              <w:rPr>
                <w:rFonts w:hint="eastAsia" w:ascii="宋体" w:hAnsi="宋体" w:eastAsia="宋体" w:cs="宋体"/>
                <w:color w:val="auto"/>
                <w:sz w:val="18"/>
                <w:szCs w:val="18"/>
                <w:highlight w:val="none"/>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lang w:val="en-US" w:eastAsia="zh-CN"/>
              </w:rPr>
            </w:pPr>
          </w:p>
        </w:tc>
        <w:tc>
          <w:tcPr>
            <w:tcW w:w="120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项目组人员情况（项目</w:t>
            </w:r>
          </w:p>
          <w:p>
            <w:pPr>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负责人除外）（12分）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拟安排本项的项目组人员，必须为供应商自有员工，团队具备以下资质条件：</w:t>
            </w:r>
          </w:p>
          <w:p>
            <w:pPr>
              <w:numPr>
                <w:ilvl w:val="0"/>
                <w:numId w:val="3"/>
              </w:num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US" w:eastAsia="zh-CN"/>
              </w:rPr>
              <w:t>具有专业技术（给排水专业）中级工程师及以上职称，</w:t>
            </w:r>
            <w:r>
              <w:rPr>
                <w:rFonts w:hint="eastAsia" w:ascii="宋体" w:hAnsi="宋体" w:eastAsia="宋体" w:cs="宋体"/>
                <w:color w:val="auto"/>
                <w:sz w:val="18"/>
                <w:szCs w:val="18"/>
                <w:highlight w:val="none"/>
                <w:lang w:val="en-GB" w:eastAsia="zh-CN"/>
              </w:rPr>
              <w:t>每符合一个资质要求得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val="en-GB" w:eastAsia="zh-CN"/>
              </w:rPr>
              <w:t>分，最高得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en-GB" w:eastAsia="zh-CN"/>
              </w:rPr>
              <w:t>分；</w:t>
            </w:r>
          </w:p>
          <w:p>
            <w:pPr>
              <w:numPr>
                <w:ilvl w:val="0"/>
                <w:numId w:val="3"/>
              </w:num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US" w:eastAsia="zh-CN"/>
              </w:rPr>
              <w:t>具有专业技术（工程测绘专业）中级工程师及以上职称，</w:t>
            </w:r>
            <w:r>
              <w:rPr>
                <w:rFonts w:hint="eastAsia" w:ascii="宋体" w:hAnsi="宋体" w:eastAsia="宋体" w:cs="宋体"/>
                <w:color w:val="auto"/>
                <w:sz w:val="18"/>
                <w:szCs w:val="18"/>
                <w:highlight w:val="none"/>
                <w:lang w:val="en-GB" w:eastAsia="zh-CN"/>
              </w:rPr>
              <w:t>每符合一个资质要求得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val="en-GB" w:eastAsia="zh-CN"/>
              </w:rPr>
              <w:t>分，最高得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en-GB" w:eastAsia="zh-CN"/>
              </w:rPr>
              <w:t>分。</w:t>
            </w:r>
          </w:p>
          <w:p>
            <w:p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注：</w:t>
            </w:r>
            <w:r>
              <w:rPr>
                <w:rFonts w:hint="eastAsia" w:ascii="宋体" w:hAnsi="宋体" w:eastAsia="宋体" w:cs="宋体"/>
                <w:color w:val="auto"/>
                <w:sz w:val="18"/>
                <w:szCs w:val="18"/>
                <w:highlight w:val="none"/>
                <w:lang w:val="en-US" w:eastAsia="zh-CN"/>
              </w:rPr>
              <w:t>项目组</w:t>
            </w:r>
            <w:r>
              <w:rPr>
                <w:rFonts w:hint="eastAsia" w:ascii="宋体" w:hAnsi="宋体" w:eastAsia="宋体" w:cs="宋体"/>
                <w:color w:val="auto"/>
                <w:sz w:val="18"/>
                <w:szCs w:val="18"/>
                <w:highlight w:val="none"/>
                <w:lang w:val="en-GB" w:eastAsia="zh-CN"/>
              </w:rPr>
              <w:t>人员需提供：①对应有效的证书复印件；②上述人员在</w:t>
            </w:r>
            <w:r>
              <w:rPr>
                <w:rFonts w:hint="eastAsia" w:ascii="宋体" w:hAnsi="宋体" w:eastAsia="宋体" w:cs="宋体"/>
                <w:color w:val="auto"/>
                <w:sz w:val="18"/>
                <w:szCs w:val="18"/>
                <w:highlight w:val="none"/>
                <w:lang w:val="en-US" w:eastAsia="zh-CN"/>
              </w:rPr>
              <w:t>本</w:t>
            </w:r>
            <w:r>
              <w:rPr>
                <w:rFonts w:hint="eastAsia" w:ascii="宋体" w:hAnsi="宋体" w:eastAsia="宋体" w:cs="宋体"/>
                <w:color w:val="auto"/>
                <w:sz w:val="18"/>
                <w:szCs w:val="18"/>
                <w:highlight w:val="none"/>
                <w:lang w:val="en-GB" w:eastAsia="zh-CN"/>
              </w:rPr>
              <w:t>单位</w:t>
            </w:r>
            <w:r>
              <w:rPr>
                <w:rFonts w:hint="eastAsia" w:ascii="宋体" w:hAnsi="宋体" w:eastAsia="宋体" w:cs="宋体"/>
                <w:color w:val="auto"/>
                <w:sz w:val="18"/>
                <w:szCs w:val="18"/>
                <w:highlight w:val="none"/>
                <w:lang w:val="en-US" w:eastAsia="zh-CN"/>
              </w:rPr>
              <w:t>2024年第一季度</w:t>
            </w:r>
            <w:r>
              <w:rPr>
                <w:rFonts w:hint="eastAsia" w:ascii="宋体" w:hAnsi="宋体" w:eastAsia="宋体" w:cs="宋体"/>
                <w:color w:val="auto"/>
                <w:sz w:val="18"/>
                <w:szCs w:val="18"/>
                <w:highlight w:val="none"/>
                <w:lang w:val="en-GB" w:eastAsia="zh-CN"/>
              </w:rPr>
              <w:t>缴纳的社保证明</w:t>
            </w:r>
            <w:r>
              <w:rPr>
                <w:rFonts w:hint="eastAsia" w:ascii="宋体" w:hAnsi="宋体" w:eastAsia="宋体" w:cs="宋体"/>
                <w:color w:val="auto"/>
                <w:sz w:val="18"/>
                <w:szCs w:val="18"/>
                <w:highlight w:val="none"/>
                <w:lang w:val="en-US" w:eastAsia="zh-CN"/>
              </w:rPr>
              <w:t>和资质证书</w:t>
            </w:r>
            <w:r>
              <w:rPr>
                <w:rFonts w:hint="eastAsia" w:ascii="宋体" w:hAnsi="宋体" w:eastAsia="宋体" w:cs="宋体"/>
                <w:color w:val="auto"/>
                <w:sz w:val="18"/>
                <w:szCs w:val="18"/>
                <w:highlight w:val="none"/>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607" w:type="pct"/>
            <w:vMerge w:val="continue"/>
            <w:tcBorders>
              <w:left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lang w:val="en-US" w:eastAsia="zh-CN"/>
              </w:rPr>
            </w:pPr>
          </w:p>
        </w:tc>
        <w:tc>
          <w:tcPr>
            <w:tcW w:w="1202" w:type="pct"/>
            <w:tcBorders>
              <w:top w:val="single" w:color="auto" w:sz="4" w:space="0"/>
              <w:left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w:t>
            </w:r>
            <w:r>
              <w:rPr>
                <w:rFonts w:hint="default" w:ascii="宋体" w:hAnsi="宋体" w:eastAsia="宋体" w:cs="宋体"/>
                <w:color w:val="auto"/>
                <w:sz w:val="20"/>
                <w:szCs w:val="20"/>
                <w:highlight w:val="none"/>
                <w:lang w:val="en-US" w:eastAsia="zh-CN"/>
              </w:rPr>
              <w:t>项目经验情况</w:t>
            </w:r>
            <w:r>
              <w:rPr>
                <w:rFonts w:hint="eastAsia" w:ascii="宋体" w:hAnsi="宋体" w:eastAsia="宋体" w:cs="宋体"/>
                <w:color w:val="auto"/>
                <w:sz w:val="20"/>
                <w:szCs w:val="20"/>
                <w:highlight w:val="none"/>
                <w:lang w:val="en-US" w:eastAsia="zh-CN"/>
              </w:rPr>
              <w:t>（5分）</w:t>
            </w:r>
          </w:p>
        </w:tc>
        <w:tc>
          <w:tcPr>
            <w:tcW w:w="3189"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供应商20</w:t>
            </w:r>
            <w:r>
              <w:rPr>
                <w:rFonts w:hint="eastAsia" w:ascii="宋体" w:hAnsi="宋体" w:eastAsia="宋体" w:cs="宋体"/>
                <w:color w:val="auto"/>
                <w:sz w:val="18"/>
                <w:szCs w:val="18"/>
                <w:highlight w:val="none"/>
                <w:lang w:val="en-US" w:eastAsia="zh-CN"/>
              </w:rPr>
              <w:t>18</w:t>
            </w:r>
            <w:r>
              <w:rPr>
                <w:rFonts w:hint="eastAsia" w:ascii="宋体" w:hAnsi="宋体" w:eastAsia="宋体" w:cs="宋体"/>
                <w:color w:val="auto"/>
                <w:sz w:val="18"/>
                <w:szCs w:val="18"/>
                <w:highlight w:val="none"/>
                <w:lang w:val="en-GB" w:eastAsia="zh-CN"/>
              </w:rPr>
              <w:t>年以来完成的项目业绩（</w:t>
            </w:r>
            <w:r>
              <w:rPr>
                <w:rFonts w:hint="eastAsia" w:ascii="宋体" w:hAnsi="宋体" w:eastAsia="宋体" w:cs="宋体"/>
                <w:color w:val="auto"/>
                <w:sz w:val="18"/>
                <w:szCs w:val="18"/>
                <w:highlight w:val="none"/>
                <w:lang w:val="en-US" w:eastAsia="zh-CN"/>
              </w:rPr>
              <w:t>管网排查检测、管道清淤疏浚、</w:t>
            </w:r>
            <w:r>
              <w:rPr>
                <w:rFonts w:hint="eastAsia" w:ascii="宋体" w:hAnsi="宋体" w:eastAsia="宋体" w:cs="宋体"/>
                <w:color w:val="auto"/>
                <w:sz w:val="18"/>
                <w:szCs w:val="18"/>
                <w:highlight w:val="none"/>
                <w:lang w:val="en-GB" w:eastAsia="zh-CN"/>
              </w:rPr>
              <w:t>需提供合同复印件</w:t>
            </w:r>
            <w:r>
              <w:rPr>
                <w:rFonts w:hint="eastAsia" w:ascii="宋体" w:hAnsi="宋体" w:eastAsia="宋体" w:cs="宋体"/>
                <w:color w:val="auto"/>
                <w:sz w:val="18"/>
                <w:szCs w:val="18"/>
                <w:highlight w:val="none"/>
                <w:lang w:val="en-US" w:eastAsia="zh-CN"/>
              </w:rPr>
              <w:t>并</w:t>
            </w:r>
            <w:r>
              <w:rPr>
                <w:rFonts w:hint="eastAsia" w:ascii="宋体" w:hAnsi="宋体" w:eastAsia="宋体" w:cs="宋体"/>
                <w:color w:val="auto"/>
                <w:sz w:val="18"/>
                <w:szCs w:val="18"/>
                <w:highlight w:val="none"/>
                <w:lang w:val="en-GB" w:eastAsia="zh-CN"/>
              </w:rPr>
              <w:t>加盖公章）</w:t>
            </w:r>
          </w:p>
          <w:p>
            <w:p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1、具有与本项目</w:t>
            </w:r>
            <w:r>
              <w:rPr>
                <w:rFonts w:hint="eastAsia" w:ascii="宋体" w:hAnsi="宋体" w:eastAsia="宋体" w:cs="宋体"/>
                <w:color w:val="auto"/>
                <w:sz w:val="18"/>
                <w:szCs w:val="18"/>
                <w:highlight w:val="none"/>
                <w:lang w:val="en-US" w:eastAsia="zh-CN"/>
              </w:rPr>
              <w:t>类似的工作</w:t>
            </w:r>
            <w:r>
              <w:rPr>
                <w:rFonts w:hint="eastAsia" w:ascii="宋体" w:hAnsi="宋体" w:eastAsia="宋体" w:cs="宋体"/>
                <w:color w:val="auto"/>
                <w:sz w:val="18"/>
                <w:szCs w:val="18"/>
                <w:highlight w:val="none"/>
                <w:lang w:val="en-GB" w:eastAsia="zh-CN"/>
              </w:rPr>
              <w:t>业绩，每个得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val="en-GB" w:eastAsia="zh-CN"/>
              </w:rPr>
              <w:t>分</w:t>
            </w:r>
            <w:r>
              <w:rPr>
                <w:rFonts w:hint="eastAsia" w:ascii="宋体" w:hAnsi="宋体" w:eastAsia="宋体" w:cs="宋体"/>
                <w:color w:val="auto"/>
                <w:sz w:val="18"/>
                <w:szCs w:val="18"/>
                <w:highlight w:val="none"/>
                <w:lang w:val="en-US" w:eastAsia="zh-CN"/>
              </w:rPr>
              <w:t>。</w:t>
            </w:r>
          </w:p>
        </w:tc>
      </w:tr>
    </w:tbl>
    <w:p>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p>
    <w:p>
      <w:pPr>
        <w:widowControl w:val="0"/>
        <w:snapToGrid w:val="0"/>
        <w:spacing w:after="120" w:line="240" w:lineRule="auto"/>
        <w:ind w:left="0" w:leftChars="0" w:firstLine="0" w:firstLineChars="0"/>
        <w:jc w:val="both"/>
        <w:rPr>
          <w:rFonts w:hint="eastAsia" w:ascii="宋体" w:hAnsi="宋体" w:eastAsia="宋体" w:cs="宋体"/>
          <w:b/>
          <w:bCs/>
          <w:color w:val="auto"/>
          <w:kern w:val="2"/>
          <w:sz w:val="21"/>
          <w:szCs w:val="21"/>
          <w:highlight w:val="none"/>
          <w:lang w:val="en-US" w:eastAsia="zh-CN" w:bidi="ar-SA"/>
        </w:rPr>
      </w:pPr>
    </w:p>
    <w:p>
      <w:pPr>
        <w:rPr>
          <w:rFonts w:hint="eastAsia" w:ascii="Times New Roman" w:hAnsi="Times New Roman" w:eastAsia="宋体" w:cs="Times New Roman"/>
          <w:color w:val="auto"/>
          <w:szCs w:val="24"/>
          <w:highlight w:val="none"/>
        </w:rPr>
      </w:pPr>
    </w:p>
    <w:p>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p>
    <w:p>
      <w:pPr>
        <w:rPr>
          <w:rFonts w:hint="eastAsia" w:ascii="Times New Roman" w:hAnsi="Times New Roman" w:eastAsia="宋体" w:cs="Times New Roman"/>
          <w:color w:val="auto"/>
          <w:szCs w:val="24"/>
          <w:highlight w:val="none"/>
        </w:rPr>
      </w:pPr>
    </w:p>
    <w:p>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p>
    <w:p>
      <w:pPr>
        <w:rPr>
          <w:rFonts w:hint="eastAsia" w:ascii="Times New Roman" w:hAnsi="Times New Roman" w:eastAsia="宋体" w:cs="Times New Roman"/>
          <w:color w:val="auto"/>
          <w:szCs w:val="24"/>
          <w:highlight w:val="none"/>
        </w:rPr>
      </w:pPr>
    </w:p>
    <w:p>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p>
    <w:p>
      <w:pPr>
        <w:rPr>
          <w:rFonts w:hint="eastAsia" w:ascii="Times New Roman" w:hAnsi="Times New Roman" w:eastAsia="宋体" w:cs="Times New Roman"/>
          <w:color w:val="auto"/>
          <w:szCs w:val="24"/>
          <w:highlight w:val="none"/>
        </w:rPr>
      </w:pPr>
    </w:p>
    <w:p>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p>
    <w:p>
      <w:pPr>
        <w:rPr>
          <w:rFonts w:hint="eastAsia" w:ascii="Times New Roman" w:hAnsi="Times New Roman" w:eastAsia="宋体" w:cs="Times New Roman"/>
          <w:color w:val="auto"/>
          <w:szCs w:val="24"/>
          <w:highlight w:val="none"/>
        </w:rPr>
      </w:pPr>
    </w:p>
    <w:p>
      <w:pPr>
        <w:pageBreakBefore w:val="0"/>
        <w:wordWrap/>
        <w:topLinePunct w:val="0"/>
        <w:bidi w:val="0"/>
        <w:adjustRightInd w:val="0"/>
        <w:snapToGrid w:val="0"/>
        <w:spacing w:line="360" w:lineRule="auto"/>
        <w:jc w:val="both"/>
        <w:textAlignment w:val="auto"/>
        <w:outlineLvl w:val="1"/>
        <w:rPr>
          <w:rFonts w:hint="eastAsia" w:ascii="宋体" w:hAnsi="宋体" w:eastAsia="宋体" w:cs="宋体"/>
          <w:b/>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p>
    <w:p>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p>
    <w:p>
      <w:pPr>
        <w:pageBreakBefore w:val="0"/>
        <w:numPr>
          <w:ilvl w:val="0"/>
          <w:numId w:val="4"/>
        </w:numPr>
        <w:wordWrap/>
        <w:topLinePunct w:val="0"/>
        <w:bidi w:val="0"/>
        <w:adjustRightInd w:val="0"/>
        <w:snapToGrid w:val="0"/>
        <w:spacing w:line="360" w:lineRule="auto"/>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采购合同</w:t>
      </w:r>
      <w:bookmarkEnd w:id="95"/>
      <w:r>
        <w:rPr>
          <w:rFonts w:hint="eastAsia" w:ascii="宋体" w:hAnsi="宋体" w:eastAsia="宋体" w:cs="宋体"/>
          <w:b/>
          <w:color w:val="auto"/>
          <w:sz w:val="21"/>
          <w:szCs w:val="21"/>
          <w:highlight w:val="none"/>
        </w:rPr>
        <w:t>格式</w:t>
      </w:r>
    </w:p>
    <w:p>
      <w:pPr>
        <w:rPr>
          <w:rFonts w:hint="eastAsia" w:ascii="Times New Roman" w:hAnsi="Times New Roman" w:eastAsia="宋体" w:cs="Times New Roman"/>
          <w:color w:val="auto"/>
          <w:szCs w:val="24"/>
          <w:highlight w:val="none"/>
        </w:rPr>
      </w:pPr>
    </w:p>
    <w:p>
      <w:pPr>
        <w:jc w:val="center"/>
        <w:rPr>
          <w:rFonts w:hint="eastAsia" w:ascii="仿宋_GB2312" w:hAnsi="仿宋_GB2312" w:eastAsia="仿宋_GB2312" w:cs="仿宋_GB2312"/>
          <w:color w:val="auto"/>
          <w:sz w:val="48"/>
          <w:szCs w:val="48"/>
          <w:highlight w:val="none"/>
        </w:rPr>
      </w:pPr>
    </w:p>
    <w:p>
      <w:pPr>
        <w:jc w:val="center"/>
        <w:rPr>
          <w:rFonts w:hint="eastAsia" w:ascii="仿宋_GB2312" w:hAnsi="仿宋_GB2312" w:eastAsia="仿宋_GB2312" w:cs="仿宋_GB2312"/>
          <w:color w:val="auto"/>
          <w:sz w:val="48"/>
          <w:szCs w:val="48"/>
          <w:highlight w:val="none"/>
          <w:lang w:val="en-US" w:eastAsia="zh-CN"/>
        </w:rPr>
      </w:pPr>
      <w:r>
        <w:rPr>
          <w:rFonts w:hint="eastAsia" w:ascii="仿宋_GB2312" w:hAnsi="仿宋_GB2312" w:eastAsia="仿宋_GB2312" w:cs="仿宋_GB2312"/>
          <w:color w:val="auto"/>
          <w:sz w:val="48"/>
          <w:szCs w:val="48"/>
          <w:highlight w:val="none"/>
          <w:lang w:val="en-US" w:eastAsia="zh-CN"/>
        </w:rPr>
        <w:t>江东新区已完工未移交排水管网</w:t>
      </w:r>
    </w:p>
    <w:p>
      <w:pPr>
        <w:jc w:val="center"/>
        <w:rPr>
          <w:rFonts w:hint="eastAsia" w:ascii="仿宋_GB2312" w:hAnsi="仿宋_GB2312" w:eastAsia="仿宋_GB2312" w:cs="仿宋_GB2312"/>
          <w:color w:val="auto"/>
          <w:sz w:val="48"/>
          <w:szCs w:val="48"/>
          <w:highlight w:val="none"/>
        </w:rPr>
      </w:pPr>
      <w:r>
        <w:rPr>
          <w:rFonts w:hint="eastAsia" w:ascii="仿宋_GB2312" w:hAnsi="仿宋_GB2312" w:eastAsia="仿宋_GB2312" w:cs="仿宋_GB2312"/>
          <w:color w:val="auto"/>
          <w:sz w:val="48"/>
          <w:szCs w:val="48"/>
          <w:highlight w:val="none"/>
          <w:lang w:val="en-US" w:eastAsia="zh-CN"/>
        </w:rPr>
        <w:t>排查项目</w:t>
      </w:r>
      <w:r>
        <w:rPr>
          <w:rFonts w:hint="eastAsia" w:ascii="仿宋_GB2312" w:hAnsi="仿宋_GB2312" w:eastAsia="仿宋_GB2312" w:cs="仿宋_GB2312"/>
          <w:color w:val="auto"/>
          <w:sz w:val="48"/>
          <w:szCs w:val="48"/>
          <w:highlight w:val="none"/>
        </w:rPr>
        <w:t>合同</w:t>
      </w:r>
    </w:p>
    <w:p>
      <w:pPr>
        <w:jc w:val="center"/>
        <w:rPr>
          <w:rFonts w:hint="eastAsia" w:ascii="仿宋_GB2312" w:hAnsi="仿宋_GB2312" w:eastAsia="仿宋_GB2312" w:cs="仿宋_GB2312"/>
          <w:color w:val="auto"/>
          <w:sz w:val="30"/>
          <w:szCs w:val="30"/>
          <w:highlight w:val="none"/>
        </w:rPr>
      </w:pPr>
    </w:p>
    <w:p>
      <w:pPr>
        <w:rPr>
          <w:rFonts w:hint="eastAsia" w:ascii="仿宋_GB2312" w:hAnsi="仿宋_GB2312" w:eastAsia="仿宋_GB2312" w:cs="仿宋_GB2312"/>
          <w:color w:val="auto"/>
          <w:sz w:val="30"/>
          <w:szCs w:val="30"/>
          <w:highlight w:val="none"/>
        </w:rPr>
      </w:pPr>
    </w:p>
    <w:p>
      <w:pPr>
        <w:spacing w:line="640" w:lineRule="exact"/>
        <w:ind w:firstLine="838" w:firstLineChars="262"/>
        <w:rPr>
          <w:rFonts w:hint="eastAsia" w:ascii="仿宋_GB2312" w:hAnsi="仿宋_GB2312" w:eastAsia="仿宋_GB2312" w:cs="仿宋_GB2312"/>
          <w:color w:val="auto"/>
          <w:sz w:val="32"/>
          <w:szCs w:val="32"/>
          <w:highlight w:val="none"/>
        </w:rPr>
      </w:pPr>
    </w:p>
    <w:p>
      <w:pPr>
        <w:spacing w:line="640" w:lineRule="exact"/>
        <w:ind w:firstLine="838" w:firstLineChars="262"/>
        <w:rPr>
          <w:rFonts w:hint="eastAsia" w:ascii="仿宋_GB2312" w:hAnsi="仿宋_GB2312" w:eastAsia="仿宋_GB2312" w:cs="仿宋_GB2312"/>
          <w:color w:val="auto"/>
          <w:sz w:val="32"/>
          <w:szCs w:val="32"/>
          <w:highlight w:val="none"/>
        </w:rPr>
      </w:pPr>
    </w:p>
    <w:p>
      <w:pPr>
        <w:spacing w:line="720" w:lineRule="auto"/>
        <w:ind w:firstLine="838" w:firstLineChars="262"/>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rPr>
        <w:t>工 程 名 称：</w:t>
      </w:r>
      <w:r>
        <w:rPr>
          <w:rFonts w:hint="eastAsia" w:ascii="仿宋_GB2312" w:hAnsi="仿宋_GB2312" w:eastAsia="仿宋_GB2312" w:cs="仿宋_GB2312"/>
          <w:color w:val="auto"/>
          <w:sz w:val="32"/>
          <w:szCs w:val="32"/>
          <w:highlight w:val="none"/>
          <w:u w:val="single"/>
          <w:lang w:eastAsia="zh-CN"/>
        </w:rPr>
        <w:t>江东新区已完工未移交排水管网</w:t>
      </w:r>
    </w:p>
    <w:p>
      <w:pPr>
        <w:spacing w:line="720" w:lineRule="auto"/>
        <w:ind w:firstLine="3068" w:firstLineChars="959"/>
        <w:rPr>
          <w:rFonts w:hint="eastAsia" w:ascii="仿宋_GB2312" w:hAnsi="仿宋_GB2312" w:eastAsia="仿宋_GB2312" w:cs="仿宋_GB2312"/>
          <w:color w:val="auto"/>
          <w:spacing w:val="-10"/>
          <w:sz w:val="32"/>
          <w:szCs w:val="32"/>
          <w:highlight w:val="none"/>
          <w:u w:val="single"/>
          <w:lang w:eastAsia="zh-CN"/>
        </w:rPr>
      </w:pPr>
      <w:r>
        <w:rPr>
          <w:rFonts w:hint="eastAsia" w:ascii="仿宋_GB2312" w:hAnsi="仿宋_GB2312" w:eastAsia="仿宋_GB2312" w:cs="仿宋_GB2312"/>
          <w:color w:val="auto"/>
          <w:sz w:val="32"/>
          <w:szCs w:val="32"/>
          <w:highlight w:val="none"/>
          <w:u w:val="single"/>
          <w:lang w:eastAsia="zh-CN"/>
        </w:rPr>
        <w:t>排查项目</w:t>
      </w:r>
    </w:p>
    <w:p>
      <w:pPr>
        <w:spacing w:line="720" w:lineRule="auto"/>
        <w:ind w:firstLine="838" w:firstLineChars="262"/>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工 程 地 点：</w:t>
      </w:r>
      <w:r>
        <w:rPr>
          <w:rFonts w:hint="eastAsia" w:ascii="仿宋_GB2312" w:hAnsi="仿宋_GB2312" w:eastAsia="仿宋_GB2312" w:cs="仿宋_GB2312"/>
          <w:color w:val="auto"/>
          <w:sz w:val="32"/>
          <w:szCs w:val="32"/>
          <w:highlight w:val="none"/>
          <w:u w:val="single"/>
        </w:rPr>
        <w:t xml:space="preserve">          海口市            </w:t>
      </w:r>
    </w:p>
    <w:p>
      <w:pPr>
        <w:spacing w:line="720" w:lineRule="auto"/>
        <w:ind w:firstLine="838" w:firstLineChars="262"/>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合 同 编 号：</w:t>
      </w:r>
      <w:r>
        <w:rPr>
          <w:rFonts w:hint="eastAsia" w:ascii="仿宋_GB2312" w:hAnsi="仿宋_GB2312" w:eastAsia="仿宋_GB2312" w:cs="仿宋_GB2312"/>
          <w:color w:val="auto"/>
          <w:sz w:val="32"/>
          <w:szCs w:val="32"/>
          <w:highlight w:val="none"/>
          <w:u w:val="single"/>
        </w:rPr>
        <w:t xml:space="preserve">                            </w:t>
      </w:r>
    </w:p>
    <w:p>
      <w:pPr>
        <w:spacing w:line="720" w:lineRule="auto"/>
        <w:ind w:firstLine="838" w:firstLineChars="262"/>
        <w:rPr>
          <w:rFonts w:hint="eastAsia" w:ascii="仿宋_GB2312" w:hAnsi="仿宋_GB2312" w:eastAsia="仿宋_GB2312" w:cs="仿宋_GB2312"/>
          <w:color w:val="auto"/>
          <w:spacing w:val="-10"/>
          <w:sz w:val="32"/>
          <w:szCs w:val="32"/>
          <w:highlight w:val="none"/>
          <w:u w:val="single"/>
        </w:rPr>
      </w:pPr>
      <w:r>
        <w:rPr>
          <w:rFonts w:hint="eastAsia" w:ascii="仿宋_GB2312" w:hAnsi="仿宋_GB2312" w:eastAsia="仿宋_GB2312" w:cs="仿宋_GB2312"/>
          <w:color w:val="auto"/>
          <w:sz w:val="32"/>
          <w:szCs w:val="32"/>
          <w:highlight w:val="none"/>
        </w:rPr>
        <w:t>发   包   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海口江东新区管理局    </w:t>
      </w:r>
    </w:p>
    <w:p>
      <w:pPr>
        <w:spacing w:line="720" w:lineRule="auto"/>
        <w:ind w:firstLine="838" w:firstLineChars="262"/>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承   包   人：</w:t>
      </w:r>
      <w:r>
        <w:rPr>
          <w:rFonts w:hint="eastAsia" w:ascii="仿宋_GB2312" w:hAnsi="仿宋_GB2312" w:eastAsia="仿宋_GB2312" w:cs="仿宋_GB2312"/>
          <w:color w:val="auto"/>
          <w:sz w:val="32"/>
          <w:szCs w:val="32"/>
          <w:highlight w:val="none"/>
          <w:u w:val="single"/>
        </w:rPr>
        <w:t xml:space="preserve">                           </w:t>
      </w:r>
    </w:p>
    <w:p>
      <w:pPr>
        <w:spacing w:line="720" w:lineRule="auto"/>
        <w:ind w:firstLine="838" w:firstLineChars="26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2"/>
          <w:szCs w:val="32"/>
          <w:highlight w:val="none"/>
        </w:rPr>
        <w:t>签 订 日 期 ：</w:t>
      </w:r>
      <w:r>
        <w:rPr>
          <w:rFonts w:hint="eastAsia" w:ascii="仿宋_GB2312" w:hAnsi="仿宋_GB2312" w:eastAsia="仿宋_GB2312" w:cs="仿宋_GB2312"/>
          <w:color w:val="auto"/>
          <w:sz w:val="32"/>
          <w:szCs w:val="32"/>
          <w:highlight w:val="none"/>
          <w:u w:val="single"/>
        </w:rPr>
        <w:t xml:space="preserve">      年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月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日       </w:t>
      </w:r>
    </w:p>
    <w:p>
      <w:pPr>
        <w:rPr>
          <w:rFonts w:ascii="Times New Roman" w:hAnsi="Times New Roman" w:eastAsia="宋体" w:cs="Times New Roman"/>
          <w:color w:val="auto"/>
          <w:sz w:val="30"/>
          <w:szCs w:val="30"/>
          <w:highlight w:val="none"/>
        </w:rPr>
      </w:pPr>
    </w:p>
    <w:p>
      <w:pPr>
        <w:rPr>
          <w:rFonts w:hint="eastAsia" w:ascii="Times New Roman" w:hAnsi="Times New Roman" w:eastAsia="宋体" w:cs="Times New Roman"/>
          <w:color w:val="auto"/>
          <w:sz w:val="30"/>
          <w:szCs w:val="30"/>
          <w:highlight w:val="none"/>
        </w:rPr>
      </w:pPr>
    </w:p>
    <w:p>
      <w:pPr>
        <w:widowControl w:val="0"/>
        <w:autoSpaceDE w:val="0"/>
        <w:autoSpaceDN w:val="0"/>
        <w:adjustRightInd w:val="0"/>
        <w:rPr>
          <w:rFonts w:hint="eastAsia" w:ascii="宋体" w:hAnsi="Calibri" w:eastAsia="宋体" w:cs="宋体"/>
          <w:color w:val="auto"/>
          <w:sz w:val="24"/>
          <w:szCs w:val="24"/>
          <w:highlight w:val="none"/>
          <w:lang w:val="en-US" w:eastAsia="en-US" w:bidi="ar-SA"/>
        </w:rPr>
      </w:pPr>
    </w:p>
    <w:p>
      <w:pPr>
        <w:spacing w:line="360" w:lineRule="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发包人：</w:t>
      </w:r>
      <w:r>
        <w:rPr>
          <w:rFonts w:hint="eastAsia" w:ascii="仿宋_GB2312" w:hAnsi="宋体" w:eastAsia="仿宋_GB2312" w:cs="Times New Roman"/>
          <w:color w:val="auto"/>
          <w:sz w:val="24"/>
          <w:szCs w:val="24"/>
          <w:highlight w:val="none"/>
          <w:u w:val="single"/>
        </w:rPr>
        <w:t>海口江东新区管理局</w:t>
      </w:r>
      <w:r>
        <w:rPr>
          <w:rFonts w:hint="eastAsia" w:ascii="仿宋_GB2312" w:hAnsi="宋体" w:eastAsia="仿宋_GB2312" w:cs="Times New Roman"/>
          <w:color w:val="auto"/>
          <w:spacing w:val="-10"/>
          <w:sz w:val="24"/>
          <w:szCs w:val="24"/>
          <w:highlight w:val="none"/>
          <w:u w:val="single"/>
        </w:rPr>
        <w:t xml:space="preserve">       </w:t>
      </w:r>
    </w:p>
    <w:p>
      <w:pPr>
        <w:spacing w:line="360" w:lineRule="auto"/>
        <w:rPr>
          <w:rFonts w:hint="default" w:ascii="仿宋_GB2312" w:hAnsi="宋体" w:eastAsia="仿宋_GB2312" w:cs="Times New Roman"/>
          <w:color w:val="auto"/>
          <w:sz w:val="24"/>
          <w:szCs w:val="24"/>
          <w:highlight w:val="none"/>
          <w:u w:val="single"/>
        </w:rPr>
      </w:pPr>
      <w:r>
        <w:rPr>
          <w:rFonts w:hint="eastAsia" w:ascii="仿宋_GB2312" w:hAnsi="宋体" w:eastAsia="仿宋_GB2312" w:cs="Times New Roman"/>
          <w:color w:val="auto"/>
          <w:sz w:val="24"/>
          <w:szCs w:val="24"/>
          <w:highlight w:val="none"/>
        </w:rPr>
        <w:t>承包人：</w:t>
      </w:r>
      <w:r>
        <w:rPr>
          <w:rFonts w:hint="eastAsia" w:ascii="仿宋_GB2312" w:hAnsi="宋体" w:eastAsia="仿宋_GB2312" w:cs="Times New Roman"/>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pPr>
        <w:spacing w:line="360" w:lineRule="auto"/>
        <w:ind w:firstLine="480" w:firstLineChars="2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根据《中华人民共和国</w:t>
      </w:r>
      <w:r>
        <w:rPr>
          <w:rFonts w:hint="eastAsia" w:ascii="仿宋_GB2312" w:hAnsi="宋体" w:eastAsia="仿宋_GB2312" w:cs="Times New Roman"/>
          <w:color w:val="auto"/>
          <w:sz w:val="24"/>
          <w:szCs w:val="24"/>
          <w:highlight w:val="none"/>
          <w:lang w:val="en-US" w:eastAsia="zh-CN"/>
        </w:rPr>
        <w:t>民法典</w:t>
      </w:r>
      <w:r>
        <w:rPr>
          <w:rFonts w:hint="eastAsia" w:ascii="仿宋_GB2312" w:hAnsi="宋体" w:eastAsia="仿宋_GB2312" w:cs="Times New Roman"/>
          <w:color w:val="auto"/>
          <w:sz w:val="24"/>
          <w:szCs w:val="24"/>
          <w:highlight w:val="none"/>
        </w:rPr>
        <w:t>》</w:t>
      </w:r>
      <w:r>
        <w:rPr>
          <w:rFonts w:hint="eastAsia" w:ascii="仿宋_GB2312" w:hAnsi="Times New Roman" w:eastAsia="仿宋_GB2312" w:cs="Times New Roman"/>
          <w:color w:val="auto"/>
          <w:sz w:val="24"/>
          <w:szCs w:val="24"/>
          <w:highlight w:val="none"/>
        </w:rPr>
        <w:t>《中华人民共和国测绘法》</w:t>
      </w:r>
      <w:r>
        <w:rPr>
          <w:rFonts w:hint="eastAsia" w:ascii="仿宋_GB2312" w:hAnsi="宋体" w:eastAsia="仿宋_GB2312" w:cs="Times New Roman"/>
          <w:color w:val="auto"/>
          <w:sz w:val="24"/>
          <w:szCs w:val="24"/>
          <w:highlight w:val="none"/>
        </w:rPr>
        <w:t>及国家有关法规规定，发包人委托承包人承担</w:t>
      </w:r>
      <w:r>
        <w:rPr>
          <w:rFonts w:hint="eastAsia" w:ascii="仿宋_GB2312" w:hAnsi="仿宋_GB2312" w:eastAsia="仿宋_GB2312" w:cs="仿宋_GB2312"/>
          <w:color w:val="auto"/>
          <w:sz w:val="24"/>
          <w:szCs w:val="24"/>
          <w:highlight w:val="none"/>
          <w:u w:val="single"/>
          <w:lang w:eastAsia="zh-CN"/>
        </w:rPr>
        <w:t>江东新区已完工未移交排水管网排查项目</w:t>
      </w:r>
      <w:r>
        <w:rPr>
          <w:rFonts w:hint="eastAsia" w:ascii="仿宋_GB2312" w:hAnsi="宋体" w:eastAsia="仿宋_GB2312" w:cs="Times New Roman"/>
          <w:color w:val="auto"/>
          <w:sz w:val="24"/>
          <w:szCs w:val="24"/>
          <w:highlight w:val="none"/>
          <w:u w:val="single"/>
        </w:rPr>
        <w:t>。</w:t>
      </w:r>
      <w:r>
        <w:rPr>
          <w:rFonts w:hint="eastAsia" w:ascii="仿宋_GB2312" w:hAnsi="宋体" w:eastAsia="仿宋_GB2312" w:cs="Times New Roman"/>
          <w:color w:val="auto"/>
          <w:sz w:val="24"/>
          <w:szCs w:val="24"/>
          <w:highlight w:val="none"/>
        </w:rPr>
        <w:t>结合本工程的具体情况，为明确责任，协作配合，确保排查检测工程质量，经发包人、承包人协商一致，签订本合同，共同遵守。</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 xml:space="preserve">第一条 </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工程概况</w:t>
      </w:r>
    </w:p>
    <w:p>
      <w:pPr>
        <w:spacing w:line="360" w:lineRule="auto"/>
        <w:ind w:firstLine="600"/>
        <w:rPr>
          <w:rFonts w:hint="eastAsia" w:ascii="仿宋_GB2312" w:hAnsi="宋体" w:eastAsia="仿宋_GB2312" w:cs="Times New Roman"/>
          <w:color w:val="auto"/>
          <w:spacing w:val="-10"/>
          <w:sz w:val="24"/>
          <w:szCs w:val="24"/>
          <w:highlight w:val="none"/>
          <w:u w:val="single"/>
          <w:lang w:eastAsia="zh-CN"/>
        </w:rPr>
      </w:pPr>
      <w:r>
        <w:rPr>
          <w:rFonts w:hint="eastAsia" w:ascii="仿宋_GB2312" w:hAnsi="宋体" w:eastAsia="仿宋_GB2312" w:cs="Times New Roman"/>
          <w:color w:val="auto"/>
          <w:sz w:val="24"/>
          <w:szCs w:val="24"/>
          <w:highlight w:val="none"/>
        </w:rPr>
        <w:t>1.1</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工程名称：</w:t>
      </w:r>
      <w:r>
        <w:rPr>
          <w:rFonts w:hint="eastAsia" w:ascii="仿宋_GB2312" w:hAnsi="宋体" w:eastAsia="仿宋_GB2312" w:cs="Times New Roman"/>
          <w:color w:val="auto"/>
          <w:sz w:val="24"/>
          <w:szCs w:val="24"/>
          <w:highlight w:val="none"/>
          <w:u w:val="single"/>
          <w:lang w:eastAsia="zh-CN"/>
        </w:rPr>
        <w:t>江东新区已完工未移交排水管网排查项目</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1.2</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工程建设地点：</w:t>
      </w:r>
      <w:r>
        <w:rPr>
          <w:rFonts w:hint="eastAsia" w:ascii="仿宋_GB2312" w:hAnsi="宋体" w:eastAsia="仿宋_GB2312" w:cs="Times New Roman"/>
          <w:color w:val="auto"/>
          <w:spacing w:val="-10"/>
          <w:sz w:val="24"/>
          <w:szCs w:val="24"/>
          <w:highlight w:val="none"/>
          <w:u w:val="single"/>
        </w:rPr>
        <w:t xml:space="preserve"> 海口市</w:t>
      </w:r>
      <w:r>
        <w:rPr>
          <w:rFonts w:hint="eastAsia" w:ascii="仿宋_GB2312" w:hAnsi="宋体" w:eastAsia="仿宋_GB2312" w:cs="Times New Roman"/>
          <w:color w:val="auto"/>
          <w:spacing w:val="-10"/>
          <w:sz w:val="24"/>
          <w:szCs w:val="24"/>
          <w:highlight w:val="none"/>
          <w:u w:val="single"/>
          <w:lang w:val="en-US" w:eastAsia="zh-CN"/>
        </w:rPr>
        <w:t>江东新区</w:t>
      </w:r>
      <w:r>
        <w:rPr>
          <w:rFonts w:hint="eastAsia" w:ascii="仿宋_GB2312" w:hAnsi="宋体" w:eastAsia="仿宋_GB2312" w:cs="Times New Roman"/>
          <w:color w:val="auto"/>
          <w:sz w:val="24"/>
          <w:szCs w:val="24"/>
          <w:highlight w:val="none"/>
          <w:u w:val="single"/>
        </w:rPr>
        <w:t xml:space="preserve"> </w:t>
      </w:r>
    </w:p>
    <w:p>
      <w:pPr>
        <w:spacing w:line="360" w:lineRule="auto"/>
        <w:ind w:firstLine="600"/>
        <w:rPr>
          <w:rFonts w:hint="eastAsia" w:ascii="仿宋_GB2312" w:hAnsi="宋体" w:eastAsia="仿宋_GB2312" w:cs="Times New Roman"/>
          <w:color w:val="auto"/>
          <w:sz w:val="24"/>
          <w:szCs w:val="24"/>
          <w:highlight w:val="none"/>
          <w:u w:val="single"/>
        </w:rPr>
      </w:pPr>
      <w:r>
        <w:rPr>
          <w:rFonts w:hint="eastAsia" w:ascii="仿宋_GB2312" w:hAnsi="宋体" w:eastAsia="仿宋_GB2312" w:cs="Times New Roman"/>
          <w:color w:val="auto"/>
          <w:sz w:val="24"/>
          <w:szCs w:val="24"/>
          <w:highlight w:val="none"/>
        </w:rPr>
        <w:t>1.3</w:t>
      </w:r>
      <w:r>
        <w:rPr>
          <w:rFonts w:ascii="仿宋_GB2312" w:hAnsi="宋体"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排查范围</w:t>
      </w: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pacing w:val="-4"/>
          <w:sz w:val="24"/>
          <w:szCs w:val="24"/>
          <w:highlight w:val="none"/>
          <w:u w:val="single"/>
          <w:lang w:val="en-US" w:eastAsia="zh-CN"/>
        </w:rPr>
        <w:t xml:space="preserve"> 本项目涉及江东市政排水管网已完工未移交项目15个，污水管线28km、雨水管线50km；江东大道二期（桂林样段10km），污水管线10km、雨水管线20km。共计需排查管线108km。</w:t>
      </w:r>
    </w:p>
    <w:p>
      <w:pPr>
        <w:spacing w:line="360" w:lineRule="auto"/>
        <w:ind w:firstLine="600"/>
        <w:rPr>
          <w:rFonts w:hint="eastAsia" w:ascii="仿宋_GB2312" w:hAnsi="宋体" w:eastAsia="仿宋_GB2312" w:cs="Times New Roman"/>
          <w:color w:val="auto"/>
          <w:spacing w:val="-4"/>
          <w:sz w:val="24"/>
          <w:szCs w:val="24"/>
          <w:highlight w:val="none"/>
          <w:u w:val="single"/>
          <w:lang w:val="en-US" w:eastAsia="zh-CN"/>
        </w:rPr>
      </w:pPr>
      <w:r>
        <w:rPr>
          <w:rFonts w:hint="eastAsia" w:ascii="仿宋_GB2312" w:hAnsi="宋体" w:eastAsia="仿宋_GB2312" w:cs="Times New Roman"/>
          <w:color w:val="auto"/>
          <w:spacing w:val="-4"/>
          <w:sz w:val="24"/>
          <w:szCs w:val="24"/>
          <w:highlight w:val="none"/>
        </w:rPr>
        <w:t>1.</w:t>
      </w:r>
      <w:r>
        <w:rPr>
          <w:rFonts w:hint="eastAsia" w:ascii="仿宋_GB2312" w:hAnsi="宋体" w:eastAsia="仿宋_GB2312" w:cs="Times New Roman"/>
          <w:color w:val="auto"/>
          <w:spacing w:val="-4"/>
          <w:sz w:val="24"/>
          <w:szCs w:val="24"/>
          <w:highlight w:val="none"/>
          <w:lang w:val="en-US" w:eastAsia="zh-CN"/>
        </w:rPr>
        <w:t>4</w:t>
      </w:r>
      <w:r>
        <w:rPr>
          <w:rFonts w:ascii="仿宋_GB2312" w:hAnsi="宋体" w:eastAsia="仿宋_GB2312" w:cs="Times New Roman"/>
          <w:color w:val="auto"/>
          <w:spacing w:val="-4"/>
          <w:sz w:val="24"/>
          <w:szCs w:val="24"/>
          <w:highlight w:val="none"/>
        </w:rPr>
        <w:t xml:space="preserve"> </w:t>
      </w:r>
      <w:r>
        <w:rPr>
          <w:rFonts w:hint="eastAsia" w:ascii="仿宋_GB2312" w:hAnsi="Times New Roman" w:eastAsia="仿宋_GB2312" w:cs="Times New Roman"/>
          <w:color w:val="auto"/>
          <w:spacing w:val="-4"/>
          <w:sz w:val="24"/>
          <w:szCs w:val="24"/>
          <w:highlight w:val="none"/>
        </w:rPr>
        <w:t>排查内容</w:t>
      </w:r>
      <w:r>
        <w:rPr>
          <w:rFonts w:hint="eastAsia" w:ascii="仿宋_GB2312" w:hAnsi="宋体" w:eastAsia="仿宋_GB2312" w:cs="Times New Roman"/>
          <w:color w:val="auto"/>
          <w:spacing w:val="-4"/>
          <w:sz w:val="24"/>
          <w:szCs w:val="24"/>
          <w:highlight w:val="none"/>
        </w:rPr>
        <w:t>：</w:t>
      </w:r>
      <w:r>
        <w:rPr>
          <w:rFonts w:hint="eastAsia" w:ascii="仿宋_GB2312" w:hAnsi="宋体" w:eastAsia="仿宋_GB2312" w:cs="Times New Roman"/>
          <w:color w:val="auto"/>
          <w:spacing w:val="-4"/>
          <w:sz w:val="24"/>
          <w:szCs w:val="24"/>
          <w:highlight w:val="none"/>
          <w:u w:val="single"/>
          <w:lang w:val="en-US" w:eastAsia="zh-CN"/>
        </w:rPr>
        <w:t>本次排查报告共包含现场排查测量和管线健康度检测两部分工作，工作内容共涉及两部分内容：</w:t>
      </w:r>
    </w:p>
    <w:p>
      <w:pPr>
        <w:spacing w:line="360" w:lineRule="auto"/>
        <w:ind w:firstLine="600"/>
        <w:rPr>
          <w:rFonts w:hint="eastAsia" w:ascii="仿宋_GB2312" w:hAnsi="宋体" w:eastAsia="仿宋_GB2312" w:cs="Times New Roman"/>
          <w:color w:val="auto"/>
          <w:spacing w:val="-4"/>
          <w:sz w:val="24"/>
          <w:szCs w:val="24"/>
          <w:highlight w:val="none"/>
          <w:u w:val="single"/>
          <w:lang w:val="en-US" w:eastAsia="zh-CN"/>
        </w:rPr>
      </w:pPr>
      <w:r>
        <w:rPr>
          <w:rFonts w:hint="eastAsia" w:ascii="仿宋_GB2312" w:hAnsi="宋体" w:eastAsia="仿宋_GB2312" w:cs="Times New Roman"/>
          <w:color w:val="auto"/>
          <w:spacing w:val="-4"/>
          <w:sz w:val="24"/>
          <w:szCs w:val="24"/>
          <w:highlight w:val="none"/>
          <w:u w:val="single"/>
          <w:lang w:val="en-US" w:eastAsia="zh-CN"/>
        </w:rPr>
        <w:t>第一部分是对江东市政排水管网已完工未移交项目进行拓扑关系测量，并形成GIS测量数据，主要包括管线类型、位置、管道规格、标高、埋深、流向等内容；</w:t>
      </w:r>
    </w:p>
    <w:p>
      <w:pPr>
        <w:spacing w:line="360" w:lineRule="auto"/>
        <w:ind w:firstLine="600"/>
        <w:rPr>
          <w:rFonts w:hint="eastAsia" w:ascii="仿宋_GB2312" w:hAnsi="宋体" w:eastAsia="仿宋_GB2312" w:cs="Times New Roman"/>
          <w:color w:val="auto"/>
          <w:spacing w:val="-4"/>
          <w:sz w:val="24"/>
          <w:szCs w:val="24"/>
          <w:highlight w:val="none"/>
          <w:u w:val="single"/>
          <w:lang w:val="en-US" w:eastAsia="zh-CN"/>
        </w:rPr>
      </w:pPr>
      <w:r>
        <w:rPr>
          <w:rFonts w:hint="eastAsia" w:ascii="仿宋_GB2312" w:hAnsi="宋体" w:eastAsia="仿宋_GB2312" w:cs="Times New Roman"/>
          <w:color w:val="auto"/>
          <w:spacing w:val="-4"/>
          <w:sz w:val="24"/>
          <w:szCs w:val="24"/>
          <w:highlight w:val="none"/>
          <w:u w:val="single"/>
          <w:lang w:val="en-US" w:eastAsia="zh-CN"/>
        </w:rPr>
        <w:t>第二部分是对江东市政排水管网已完工未移交项目进行管线健康度检测，主要包括管网隐患病害数据、错接混接数据等，列出问题清单。为后期排水管网的科学管理、智慧运营、水环境污染分析、精准治污控源、统筹调度、科学决策提供基础数据支撑。</w:t>
      </w:r>
    </w:p>
    <w:p>
      <w:pPr>
        <w:spacing w:line="360" w:lineRule="auto"/>
        <w:ind w:firstLine="600"/>
        <w:rPr>
          <w:rFonts w:hint="eastAsia" w:ascii="仿宋_GB2312" w:hAnsi="宋体" w:eastAsia="仿宋_GB2312" w:cs="Times New Roman"/>
          <w:color w:val="auto"/>
          <w:sz w:val="24"/>
          <w:szCs w:val="24"/>
          <w:highlight w:val="none"/>
          <w:u w:val="single"/>
        </w:rPr>
      </w:pPr>
      <w:r>
        <w:rPr>
          <w:rFonts w:hint="eastAsia" w:ascii="仿宋_GB2312" w:hAnsi="宋体" w:eastAsia="仿宋_GB2312" w:cs="Times New Roman"/>
          <w:color w:val="auto"/>
          <w:sz w:val="24"/>
          <w:szCs w:val="24"/>
          <w:highlight w:val="none"/>
        </w:rPr>
        <w:t>1.</w:t>
      </w:r>
      <w:r>
        <w:rPr>
          <w:rFonts w:hint="eastAsia" w:ascii="仿宋_GB2312" w:hAnsi="宋体" w:eastAsia="仿宋_GB2312" w:cs="Times New Roman"/>
          <w:color w:val="auto"/>
          <w:sz w:val="24"/>
          <w:szCs w:val="24"/>
          <w:highlight w:val="none"/>
          <w:lang w:val="en-US" w:eastAsia="zh-CN"/>
        </w:rPr>
        <w:t>5</w:t>
      </w:r>
      <w:r>
        <w:rPr>
          <w:rFonts w:ascii="仿宋_GB2312" w:hAnsi="宋体"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执行技术标准</w:t>
      </w:r>
      <w:r>
        <w:rPr>
          <w:rFonts w:hint="eastAsia" w:ascii="仿宋_GB2312" w:hAnsi="宋体" w:eastAsia="仿宋_GB2312" w:cs="Times New Roman"/>
          <w:color w:val="auto"/>
          <w:sz w:val="24"/>
          <w:szCs w:val="24"/>
          <w:highlight w:val="none"/>
        </w:rPr>
        <w:t>：</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lang w:val="en-US" w:eastAsia="zh-CN"/>
        </w:rPr>
        <w:t>1</w:t>
      </w: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lang w:val="en-US" w:eastAsia="zh-CN"/>
        </w:rPr>
        <w:t>城乡排水工程项目规范</w:t>
      </w: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lang w:val="en-US" w:eastAsia="zh-CN"/>
        </w:rPr>
        <w:t>GB55027-2022</w:t>
      </w:r>
      <w:r>
        <w:rPr>
          <w:rFonts w:hint="eastAsia" w:ascii="仿宋_GB2312" w:hAnsi="宋体" w:eastAsia="仿宋_GB2312" w:cs="Times New Roman"/>
          <w:color w:val="auto"/>
          <w:sz w:val="24"/>
          <w:szCs w:val="24"/>
          <w:highlight w:val="none"/>
          <w:lang w:eastAsia="zh-CN"/>
        </w:rPr>
        <w:t>）</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lang w:val="en-US" w:eastAsia="zh-CN"/>
        </w:rPr>
        <w:t>2</w:t>
      </w:r>
      <w:r>
        <w:rPr>
          <w:rFonts w:hint="eastAsia" w:ascii="仿宋_GB2312" w:hAnsi="宋体" w:eastAsia="仿宋_GB2312" w:cs="Times New Roman"/>
          <w:color w:val="auto"/>
          <w:sz w:val="24"/>
          <w:szCs w:val="24"/>
          <w:highlight w:val="none"/>
        </w:rPr>
        <w:t>）《城镇排水管渠与泵站运行、维护及安全技术规程》（CJJ 68-2016 ）；</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lang w:val="en-US" w:eastAsia="zh-CN"/>
        </w:rPr>
        <w:t>3</w:t>
      </w:r>
      <w:r>
        <w:rPr>
          <w:rFonts w:hint="eastAsia" w:ascii="仿宋_GB2312" w:hAnsi="宋体" w:eastAsia="仿宋_GB2312" w:cs="Times New Roman"/>
          <w:color w:val="auto"/>
          <w:sz w:val="24"/>
          <w:szCs w:val="24"/>
          <w:highlight w:val="none"/>
        </w:rPr>
        <w:t>）《城镇排水管道维护安全技术规程》（CJJ 6-2009）；</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lang w:val="en-US" w:eastAsia="zh-CN"/>
        </w:rPr>
        <w:t>4</w:t>
      </w:r>
      <w:r>
        <w:rPr>
          <w:rFonts w:hint="eastAsia" w:ascii="仿宋_GB2312" w:hAnsi="宋体" w:eastAsia="仿宋_GB2312" w:cs="Times New Roman"/>
          <w:color w:val="auto"/>
          <w:sz w:val="24"/>
          <w:szCs w:val="24"/>
          <w:highlight w:val="none"/>
        </w:rPr>
        <w:t>）《城镇排水管道检测与评估技术规程》（CJJ181—2012）；</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lang w:val="en-US" w:eastAsia="zh-CN"/>
        </w:rPr>
        <w:t>5</w:t>
      </w:r>
      <w:r>
        <w:rPr>
          <w:rFonts w:hint="eastAsia" w:ascii="仿宋_GB2312" w:hAnsi="宋体" w:eastAsia="仿宋_GB2312" w:cs="Times New Roman"/>
          <w:color w:val="auto"/>
          <w:sz w:val="24"/>
          <w:szCs w:val="24"/>
          <w:highlight w:val="none"/>
        </w:rPr>
        <w:t>）《城市地下管线探测技术规程》（CJJ61-201</w:t>
      </w:r>
      <w:r>
        <w:rPr>
          <w:rFonts w:hint="eastAsia" w:ascii="仿宋_GB2312" w:hAnsi="宋体" w:eastAsia="仿宋_GB2312" w:cs="Times New Roman"/>
          <w:color w:val="auto"/>
          <w:sz w:val="24"/>
          <w:szCs w:val="24"/>
          <w:highlight w:val="none"/>
          <w:lang w:val="en-US" w:eastAsia="zh-CN"/>
        </w:rPr>
        <w:t>7</w:t>
      </w:r>
      <w:r>
        <w:rPr>
          <w:rFonts w:hint="eastAsia" w:ascii="仿宋_GB2312" w:hAnsi="宋体" w:eastAsia="仿宋_GB2312" w:cs="Times New Roman"/>
          <w:color w:val="auto"/>
          <w:sz w:val="24"/>
          <w:szCs w:val="24"/>
          <w:highlight w:val="none"/>
        </w:rPr>
        <w:t>）；</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lang w:val="en-US" w:eastAsia="zh-CN"/>
        </w:rPr>
        <w:t>6</w:t>
      </w:r>
      <w:r>
        <w:rPr>
          <w:rFonts w:hint="eastAsia" w:ascii="仿宋_GB2312" w:hAnsi="宋体" w:eastAsia="仿宋_GB2312" w:cs="Times New Roman"/>
          <w:color w:val="auto"/>
          <w:sz w:val="24"/>
          <w:szCs w:val="24"/>
          <w:highlight w:val="none"/>
        </w:rPr>
        <w:t>）《城市测量规范》（CJJ/T 8-2011）；</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lang w:val="en-US" w:eastAsia="zh-CN"/>
        </w:rPr>
        <w:t>7</w:t>
      </w:r>
      <w:r>
        <w:rPr>
          <w:rFonts w:hint="eastAsia" w:ascii="仿宋_GB2312" w:hAnsi="宋体" w:eastAsia="仿宋_GB2312" w:cs="Times New Roman"/>
          <w:color w:val="auto"/>
          <w:sz w:val="24"/>
          <w:szCs w:val="24"/>
          <w:highlight w:val="none"/>
        </w:rPr>
        <w:t>）《全球定位系统（GPS）测量规范》（GB/T 18314-2009）；</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lang w:val="en-US" w:eastAsia="zh-CN"/>
        </w:rPr>
        <w:t>8</w:t>
      </w:r>
      <w:r>
        <w:rPr>
          <w:rFonts w:hint="eastAsia" w:ascii="仿宋_GB2312" w:hAnsi="宋体" w:eastAsia="仿宋_GB2312" w:cs="Times New Roman"/>
          <w:color w:val="auto"/>
          <w:sz w:val="24"/>
          <w:szCs w:val="24"/>
          <w:highlight w:val="none"/>
        </w:rPr>
        <w:t>）《1：500、1：1000、1：2000 地形图图示》（GB/T7929-1995）；</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lang w:val="en-US" w:eastAsia="zh-CN"/>
        </w:rPr>
        <w:t>9</w:t>
      </w:r>
      <w:r>
        <w:rPr>
          <w:rFonts w:hint="eastAsia" w:ascii="仿宋_GB2312" w:hAnsi="宋体" w:eastAsia="仿宋_GB2312" w:cs="Times New Roman"/>
          <w:color w:val="auto"/>
          <w:sz w:val="24"/>
          <w:szCs w:val="24"/>
          <w:highlight w:val="none"/>
        </w:rPr>
        <w:t>）《全球定位系统实时动态测量（RTK）技术规范》（CH/T 2009-2010）；</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lang w:val="en-US" w:eastAsia="zh-CN"/>
        </w:rPr>
        <w:t>10</w:t>
      </w:r>
      <w:r>
        <w:rPr>
          <w:rFonts w:hint="eastAsia" w:ascii="仿宋_GB2312" w:hAnsi="宋体" w:eastAsia="仿宋_GB2312" w:cs="Times New Roman"/>
          <w:color w:val="auto"/>
          <w:sz w:val="24"/>
          <w:szCs w:val="24"/>
          <w:highlight w:val="none"/>
        </w:rPr>
        <w:t>）《测绘成果质量检查与验收》（GB/T 24356-20</w:t>
      </w:r>
      <w:r>
        <w:rPr>
          <w:rFonts w:hint="eastAsia" w:ascii="仿宋_GB2312" w:hAnsi="宋体" w:eastAsia="仿宋_GB2312" w:cs="Times New Roman"/>
          <w:color w:val="auto"/>
          <w:sz w:val="24"/>
          <w:szCs w:val="24"/>
          <w:highlight w:val="none"/>
          <w:lang w:val="en-US" w:eastAsia="zh-CN"/>
        </w:rPr>
        <w:t>23</w:t>
      </w:r>
      <w:r>
        <w:rPr>
          <w:rFonts w:hint="eastAsia" w:ascii="仿宋_GB2312" w:hAnsi="宋体" w:eastAsia="仿宋_GB2312" w:cs="Times New Roman"/>
          <w:color w:val="auto"/>
          <w:sz w:val="24"/>
          <w:szCs w:val="24"/>
          <w:highlight w:val="none"/>
        </w:rPr>
        <w:t>）；</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（1</w:t>
      </w:r>
      <w:r>
        <w:rPr>
          <w:rFonts w:hint="eastAsia" w:ascii="仿宋_GB2312" w:hAnsi="宋体" w:eastAsia="仿宋_GB2312" w:cs="Times New Roman"/>
          <w:color w:val="auto"/>
          <w:sz w:val="24"/>
          <w:szCs w:val="24"/>
          <w:highlight w:val="none"/>
          <w:lang w:val="en-US" w:eastAsia="zh-CN"/>
        </w:rPr>
        <w:t>1</w:t>
      </w:r>
      <w:r>
        <w:rPr>
          <w:rFonts w:hint="eastAsia" w:ascii="仿宋_GB2312" w:hAnsi="宋体" w:eastAsia="仿宋_GB2312" w:cs="Times New Roman"/>
          <w:color w:val="auto"/>
          <w:sz w:val="24"/>
          <w:szCs w:val="24"/>
          <w:highlight w:val="none"/>
        </w:rPr>
        <w:t>）本项目其他技术要求。</w:t>
      </w:r>
    </w:p>
    <w:p>
      <w:pPr>
        <w:spacing w:line="360" w:lineRule="auto"/>
        <w:ind w:firstLine="600"/>
        <w:rPr>
          <w:rFonts w:hint="eastAsia" w:ascii="仿宋_GB2312" w:hAnsi="Times New Roman" w:eastAsia="仿宋_GB2312" w:cs="Times New Roman"/>
          <w:color w:val="auto"/>
          <w:sz w:val="24"/>
          <w:szCs w:val="24"/>
          <w:highlight w:val="none"/>
          <w:u w:val="single"/>
        </w:rPr>
      </w:pPr>
      <w:r>
        <w:rPr>
          <w:rFonts w:hint="eastAsia" w:ascii="仿宋_GB2312" w:hAnsi="宋体" w:eastAsia="仿宋_GB2312" w:cs="Times New Roman"/>
          <w:color w:val="auto"/>
          <w:sz w:val="24"/>
          <w:szCs w:val="24"/>
          <w:highlight w:val="none"/>
        </w:rPr>
        <w:t>1.</w:t>
      </w:r>
      <w:r>
        <w:rPr>
          <w:rFonts w:hint="eastAsia" w:ascii="仿宋_GB2312" w:hAnsi="宋体" w:eastAsia="仿宋_GB2312" w:cs="Times New Roman"/>
          <w:color w:val="auto"/>
          <w:sz w:val="24"/>
          <w:szCs w:val="24"/>
          <w:highlight w:val="none"/>
          <w:lang w:val="en-US" w:eastAsia="zh-CN"/>
        </w:rPr>
        <w:t>6</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预计排查检测工作量</w:t>
      </w: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u w:val="single"/>
          <w:lang w:val="en-US" w:eastAsia="zh-CN"/>
        </w:rPr>
        <w:t>排水管道排查108km，排水管道</w:t>
      </w:r>
      <w:r>
        <w:rPr>
          <w:rFonts w:hint="eastAsia" w:ascii="仿宋_GB2312" w:hAnsi="Times New Roman" w:eastAsia="仿宋_GB2312" w:cs="Times New Roman"/>
          <w:color w:val="auto"/>
          <w:sz w:val="24"/>
          <w:szCs w:val="24"/>
          <w:highlight w:val="none"/>
          <w:u w:val="single"/>
        </w:rPr>
        <w:t>电子潜望镜检测（QV)</w:t>
      </w:r>
      <w:r>
        <w:rPr>
          <w:rFonts w:hint="eastAsia" w:ascii="仿宋_GB2312" w:hAnsi="Times New Roman" w:eastAsia="仿宋_GB2312" w:cs="Times New Roman"/>
          <w:color w:val="auto"/>
          <w:sz w:val="24"/>
          <w:szCs w:val="24"/>
          <w:highlight w:val="none"/>
          <w:u w:val="single"/>
          <w:lang w:val="en-US" w:eastAsia="zh-CN"/>
        </w:rPr>
        <w:t>108km，雨污水地下管线探测108km，</w:t>
      </w:r>
      <w:r>
        <w:rPr>
          <w:rFonts w:hint="eastAsia" w:ascii="仿宋_GB2312" w:hAnsi="Times New Roman" w:eastAsia="仿宋_GB2312" w:cs="Times New Roman"/>
          <w:color w:val="auto"/>
          <w:sz w:val="24"/>
          <w:szCs w:val="24"/>
          <w:highlight w:val="none"/>
          <w:u w:val="single"/>
        </w:rPr>
        <w:t>具体根据实际工作量计算。</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 xml:space="preserve">第二条 </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发包人应及时向承包人提供下列测区情况及文件资料并对其准确性、可靠性负责。</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2.1</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测区现场指定测量范围、边界。</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2.2</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提供测区原有地形图供承包人参考。</w:t>
      </w:r>
    </w:p>
    <w:p>
      <w:pPr>
        <w:tabs>
          <w:tab w:val="left" w:pos="3405"/>
        </w:tabs>
        <w:spacing w:line="360" w:lineRule="auto"/>
        <w:ind w:firstLine="480" w:firstLineChars="200"/>
        <w:jc w:val="left"/>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 xml:space="preserve">第三条 </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承包人向发包人提交符合规定的排查检测成果资料并对其质量负责。</w:t>
      </w:r>
    </w:p>
    <w:p>
      <w:pPr>
        <w:tabs>
          <w:tab w:val="left" w:pos="3405"/>
        </w:tabs>
        <w:spacing w:line="360" w:lineRule="auto"/>
        <w:ind w:firstLine="480" w:firstLineChars="200"/>
        <w:jc w:val="left"/>
        <w:rPr>
          <w:rFonts w:hint="eastAsia" w:ascii="仿宋_GB2312" w:hAnsi="宋体" w:eastAsia="仿宋_GB2312" w:cs="Times New Roman"/>
          <w:color w:val="auto"/>
          <w:sz w:val="24"/>
          <w:szCs w:val="24"/>
          <w:highlight w:val="none"/>
          <w:lang w:eastAsia="zh-CN"/>
        </w:rPr>
      </w:pPr>
      <w:r>
        <w:rPr>
          <w:rFonts w:hint="eastAsia" w:ascii="仿宋_GB2312" w:hAnsi="宋体" w:eastAsia="仿宋_GB2312" w:cs="Times New Roman"/>
          <w:color w:val="auto"/>
          <w:sz w:val="24"/>
          <w:szCs w:val="24"/>
          <w:highlight w:val="none"/>
        </w:rPr>
        <w:t>承包人负责向发包人提交符合规定的排查检测</w:t>
      </w:r>
      <w:r>
        <w:rPr>
          <w:rFonts w:hint="eastAsia" w:ascii="仿宋_GB2312" w:hAnsi="Times New Roman" w:eastAsia="仿宋_GB2312" w:cs="Times New Roman"/>
          <w:color w:val="auto"/>
          <w:sz w:val="24"/>
          <w:szCs w:val="24"/>
          <w:highlight w:val="none"/>
        </w:rPr>
        <w:t>成果资料贰</w:t>
      </w:r>
      <w:r>
        <w:rPr>
          <w:rFonts w:hint="eastAsia" w:ascii="仿宋_GB2312" w:hAnsi="宋体" w:eastAsia="仿宋_GB2312" w:cs="Times New Roman"/>
          <w:color w:val="auto"/>
          <w:sz w:val="24"/>
          <w:szCs w:val="24"/>
          <w:highlight w:val="none"/>
        </w:rPr>
        <w:t>份(发包人要求增加的份数另行收费)，及相应的电子版资料。</w:t>
      </w:r>
    </w:p>
    <w:p>
      <w:pPr>
        <w:pStyle w:val="5"/>
        <w:ind w:firstLine="480"/>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3.1 成果文件：。</w:t>
      </w:r>
    </w:p>
    <w:p>
      <w:pPr>
        <w:tabs>
          <w:tab w:val="left" w:pos="3405"/>
        </w:tabs>
        <w:spacing w:line="360" w:lineRule="auto"/>
        <w:ind w:firstLineChars="200"/>
        <w:jc w:val="left"/>
        <w:rPr>
          <w:rFonts w:hint="eastAsia" w:ascii="仿宋_GB2312" w:hAnsi="宋体" w:eastAsia="仿宋_GB2312" w:cs="Times New Roman"/>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承包人根据海口市主城区管网排查内业成果整理要求向发包人交付全部排查检测成果资料（包括但不限于）：</w:t>
      </w:r>
    </w:p>
    <w:p>
      <w:pPr>
        <w:tabs>
          <w:tab w:val="left" w:pos="3405"/>
        </w:tabs>
        <w:spacing w:line="360" w:lineRule="auto"/>
        <w:ind w:firstLineChars="200"/>
        <w:jc w:val="left"/>
        <w:rPr>
          <w:rFonts w:hint="eastAsia" w:ascii="仿宋_GB2312" w:hAnsi="宋体" w:eastAsia="仿宋_GB2312" w:cs="Times New Roman"/>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绘制形成排水系统一张图，图上需体现出所有排查成果，包括但不限于排水管线管径、水流流向、检查井位置、雨污混接点位置、管道缺陷种类和位置、排污户接驳点位置等（采用大地2000坐标系，提供CAD和GIS版本）。</w:t>
      </w:r>
    </w:p>
    <w:p>
      <w:pPr>
        <w:tabs>
          <w:tab w:val="left" w:pos="3405"/>
        </w:tabs>
        <w:spacing w:line="360" w:lineRule="auto"/>
        <w:ind w:firstLineChars="200"/>
        <w:jc w:val="left"/>
        <w:rPr>
          <w:rFonts w:hint="eastAsia" w:ascii="仿宋_GB2312" w:hAnsi="宋体" w:eastAsia="仿宋_GB2312" w:cs="Times New Roman"/>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编制雨（污）水管道专业检测分析评估报告，统计管道缺陷种类与数量，并给出解决处理建议（含检测结论性，检测溯源情况汇总表，管道破损、雨污混接台账、检查井、破损位置数据信息表、排水户及污染源汇总表）。</w:t>
      </w:r>
    </w:p>
    <w:p>
      <w:pPr>
        <w:tabs>
          <w:tab w:val="left" w:pos="3405"/>
        </w:tabs>
        <w:spacing w:line="360" w:lineRule="auto"/>
        <w:ind w:firstLineChars="200"/>
        <w:jc w:val="left"/>
        <w:rPr>
          <w:rFonts w:hint="eastAsia" w:ascii="仿宋_GB2312" w:hAnsi="宋体" w:eastAsia="仿宋_GB2312" w:cs="Times New Roman"/>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提交管线点管线点属性数据表、管线线属性数据表、附属设施线属性数据表、排水口详细情况成果汇总表、排水口现场调查表、检查井排查情况汇总表、检查井排查记录表、排水管渠缺陷汇总表、灌渠检测成果表、排水管道沉积状况纵断面图、偷排漏排溯源表、错混接汇总表、混接点调查表、暗接点汇总表、暗接点现场调查表、断头管汇总表、断头管现场调查表、单元污水、雨水、合流接驳点汇总表、单元接驳口调查表。</w:t>
      </w:r>
    </w:p>
    <w:p>
      <w:pPr>
        <w:tabs>
          <w:tab w:val="left" w:pos="3405"/>
        </w:tabs>
        <w:spacing w:line="360" w:lineRule="auto"/>
        <w:ind w:firstLineChars="200"/>
        <w:jc w:val="left"/>
        <w:rPr>
          <w:rFonts w:hint="eastAsia" w:ascii="仿宋_GB2312" w:hAnsi="宋体" w:eastAsia="仿宋_GB2312" w:cs="Times New Roman"/>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管道溯源检测电子影像资料光盘。1：500测量CAD电子地图和GIS版本线路图；</w:t>
      </w:r>
    </w:p>
    <w:p>
      <w:pPr>
        <w:pStyle w:val="5"/>
        <w:ind w:firstLine="480"/>
        <w:rPr>
          <w:color w:val="auto"/>
          <w:highlight w:val="none"/>
        </w:rPr>
      </w:pPr>
      <w:r>
        <w:rPr>
          <w:rFonts w:hint="eastAsia" w:ascii="仿宋_GB2312" w:hAnsi="宋体" w:eastAsia="仿宋_GB2312"/>
          <w:color w:val="auto"/>
          <w:sz w:val="24"/>
          <w:highlight w:val="none"/>
          <w:lang w:val="en-US" w:eastAsia="zh-CN"/>
        </w:rPr>
        <w:t>3.2 验收标准：</w:t>
      </w:r>
    </w:p>
    <w:p>
      <w:pPr>
        <w:tabs>
          <w:tab w:val="left" w:pos="3405"/>
        </w:tabs>
        <w:spacing w:line="360" w:lineRule="auto"/>
        <w:ind w:firstLine="480" w:firstLineChars="200"/>
        <w:jc w:val="left"/>
        <w:rPr>
          <w:rFonts w:hint="eastAsia" w:ascii="仿宋_GB2312" w:hAnsi="宋体" w:eastAsia="仿宋_GB2312" w:cs="Times New Roman"/>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3.2.1满足国家现行相关规范标准；</w:t>
      </w:r>
    </w:p>
    <w:p>
      <w:pPr>
        <w:pStyle w:val="2"/>
        <w:rPr>
          <w:rFonts w:hint="default"/>
          <w:color w:val="auto"/>
          <w:highlight w:val="none"/>
          <w:lang w:val="en-US" w:eastAsia="zh-CN"/>
        </w:rPr>
      </w:pPr>
      <w:r>
        <w:rPr>
          <w:rFonts w:hint="eastAsia" w:ascii="仿宋_GB2312" w:hAnsi="宋体" w:eastAsia="仿宋_GB2312" w:cs="Times New Roman"/>
          <w:color w:val="auto"/>
          <w:sz w:val="24"/>
          <w:szCs w:val="24"/>
          <w:highlight w:val="none"/>
          <w:lang w:val="en-US" w:eastAsia="zh-CN"/>
        </w:rPr>
        <w:t>3.2.2达到海口市主城区管网排查内业成果整理要求，并通过专家评审会。</w:t>
      </w:r>
    </w:p>
    <w:p>
      <w:pPr>
        <w:tabs>
          <w:tab w:val="left" w:pos="3405"/>
        </w:tabs>
        <w:spacing w:line="360" w:lineRule="auto"/>
        <w:ind w:firstLine="480" w:firstLineChars="200"/>
        <w:jc w:val="left"/>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 xml:space="preserve">第四条 </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开工及提交排查检测成果资料的时间和收费标准及付费方式。</w:t>
      </w:r>
    </w:p>
    <w:p>
      <w:pPr>
        <w:tabs>
          <w:tab w:val="left" w:pos="3405"/>
        </w:tabs>
        <w:spacing w:line="360" w:lineRule="auto"/>
        <w:ind w:firstLine="480" w:firstLineChars="200"/>
        <w:jc w:val="left"/>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4.1</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开工及提交排查检测成果资料时间。</w:t>
      </w:r>
    </w:p>
    <w:p>
      <w:pPr>
        <w:tabs>
          <w:tab w:val="left" w:pos="3405"/>
        </w:tabs>
        <w:spacing w:line="360" w:lineRule="auto"/>
        <w:ind w:firstLine="480" w:firstLineChars="200"/>
        <w:jc w:val="left"/>
        <w:rPr>
          <w:rFonts w:hint="eastAsia" w:ascii="仿宋_GB2312" w:hAnsi="宋体" w:eastAsia="仿宋_GB2312" w:cs="Times New Roman"/>
          <w:color w:val="auto"/>
          <w:sz w:val="24"/>
          <w:szCs w:val="24"/>
          <w:highlight w:val="none"/>
          <w:u w:val="single"/>
        </w:rPr>
      </w:pPr>
      <w:r>
        <w:rPr>
          <w:rFonts w:hint="eastAsia" w:ascii="仿宋_GB2312" w:hAnsi="宋体" w:eastAsia="仿宋_GB2312" w:cs="Times New Roman"/>
          <w:color w:val="auto"/>
          <w:sz w:val="24"/>
          <w:szCs w:val="24"/>
          <w:highlight w:val="none"/>
        </w:rPr>
        <w:t>4.1．1</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本工程的排查检测工作工期定于</w:t>
      </w:r>
      <w:r>
        <w:rPr>
          <w:rFonts w:hint="eastAsia" w:ascii="仿宋_GB2312" w:hAnsi="宋体" w:eastAsia="仿宋_GB2312" w:cs="Times New Roman"/>
          <w:color w:val="auto"/>
          <w:sz w:val="24"/>
          <w:szCs w:val="24"/>
          <w:highlight w:val="none"/>
          <w:u w:val="single"/>
          <w:lang w:val="en-US" w:eastAsia="zh-CN"/>
        </w:rPr>
        <w:t>2024</w:t>
      </w:r>
      <w:r>
        <w:rPr>
          <w:rFonts w:hint="eastAsia" w:ascii="仿宋_GB2312" w:hAnsi="宋体" w:eastAsia="仿宋_GB2312" w:cs="Times New Roman"/>
          <w:color w:val="auto"/>
          <w:sz w:val="24"/>
          <w:szCs w:val="24"/>
          <w:highlight w:val="none"/>
        </w:rPr>
        <w:t>年</w:t>
      </w:r>
      <w:r>
        <w:rPr>
          <w:rFonts w:hint="eastAsia" w:ascii="仿宋_GB2312" w:hAnsi="宋体" w:eastAsia="仿宋_GB2312" w:cs="Times New Roman"/>
          <w:color w:val="auto"/>
          <w:sz w:val="24"/>
          <w:szCs w:val="24"/>
          <w:highlight w:val="none"/>
          <w:u w:val="single"/>
          <w:lang w:val="en-US" w:eastAsia="zh-CN"/>
        </w:rPr>
        <w:t>5</w:t>
      </w:r>
      <w:r>
        <w:rPr>
          <w:rFonts w:hint="eastAsia" w:ascii="仿宋_GB2312" w:hAnsi="宋体" w:eastAsia="仿宋_GB2312" w:cs="Times New Roman"/>
          <w:color w:val="auto"/>
          <w:sz w:val="24"/>
          <w:szCs w:val="24"/>
          <w:highlight w:val="none"/>
        </w:rPr>
        <w:t>月</w:t>
      </w:r>
      <w:r>
        <w:rPr>
          <w:rFonts w:hint="eastAsia" w:ascii="仿宋_GB2312" w:hAnsi="宋体" w:eastAsia="仿宋_GB2312" w:cs="Times New Roman"/>
          <w:color w:val="auto"/>
          <w:sz w:val="24"/>
          <w:szCs w:val="24"/>
          <w:highlight w:val="none"/>
          <w:u w:val="single"/>
          <w:lang w:val="en-US" w:eastAsia="zh-CN"/>
        </w:rPr>
        <w:t>31</w:t>
      </w:r>
      <w:r>
        <w:rPr>
          <w:rFonts w:hint="eastAsia" w:ascii="仿宋_GB2312" w:hAnsi="宋体" w:eastAsia="仿宋_GB2312" w:cs="Times New Roman"/>
          <w:color w:val="auto"/>
          <w:sz w:val="24"/>
          <w:szCs w:val="24"/>
          <w:highlight w:val="none"/>
        </w:rPr>
        <w:t>日开工（具备以采购人通知为准），</w:t>
      </w:r>
      <w:r>
        <w:rPr>
          <w:rFonts w:hint="eastAsia" w:ascii="仿宋_GB2312" w:hAnsi="宋体" w:eastAsia="仿宋_GB2312" w:cs="Times New Roman"/>
          <w:color w:val="auto"/>
          <w:sz w:val="24"/>
          <w:szCs w:val="24"/>
          <w:highlight w:val="none"/>
          <w:u w:val="none"/>
          <w:lang w:val="en-US" w:eastAsia="zh-CN"/>
        </w:rPr>
        <w:t>工期为20日，</w:t>
      </w:r>
      <w:r>
        <w:rPr>
          <w:rFonts w:hint="eastAsia" w:ascii="仿宋_GB2312" w:hAnsi="宋体" w:eastAsia="仿宋_GB2312" w:cs="Times New Roman"/>
          <w:color w:val="auto"/>
          <w:sz w:val="24"/>
          <w:szCs w:val="24"/>
          <w:highlight w:val="none"/>
          <w:u w:val="single"/>
          <w:lang w:val="en-US" w:eastAsia="zh-CN"/>
        </w:rPr>
        <w:t>2024</w:t>
      </w:r>
      <w:r>
        <w:rPr>
          <w:rFonts w:hint="eastAsia" w:ascii="仿宋_GB2312" w:hAnsi="宋体" w:eastAsia="仿宋_GB2312" w:cs="Times New Roman"/>
          <w:color w:val="auto"/>
          <w:sz w:val="24"/>
          <w:szCs w:val="24"/>
          <w:highlight w:val="none"/>
        </w:rPr>
        <w:t>年</w:t>
      </w:r>
      <w:r>
        <w:rPr>
          <w:rFonts w:hint="eastAsia" w:ascii="仿宋_GB2312" w:hAnsi="宋体" w:eastAsia="仿宋_GB2312" w:cs="Times New Roman"/>
          <w:color w:val="auto"/>
          <w:sz w:val="24"/>
          <w:szCs w:val="24"/>
          <w:highlight w:val="none"/>
          <w:u w:val="single"/>
          <w:lang w:val="en-US" w:eastAsia="zh-CN"/>
        </w:rPr>
        <w:t>6</w:t>
      </w:r>
      <w:r>
        <w:rPr>
          <w:rFonts w:hint="eastAsia" w:ascii="仿宋_GB2312" w:hAnsi="宋体" w:eastAsia="仿宋_GB2312" w:cs="Times New Roman"/>
          <w:color w:val="auto"/>
          <w:sz w:val="24"/>
          <w:szCs w:val="24"/>
          <w:highlight w:val="none"/>
        </w:rPr>
        <w:t>月</w:t>
      </w:r>
      <w:r>
        <w:rPr>
          <w:rFonts w:hint="eastAsia" w:ascii="仿宋_GB2312" w:hAnsi="宋体" w:eastAsia="仿宋_GB2312" w:cs="Times New Roman"/>
          <w:color w:val="auto"/>
          <w:sz w:val="24"/>
          <w:szCs w:val="24"/>
          <w:highlight w:val="none"/>
          <w:u w:val="single"/>
          <w:lang w:val="en-US" w:eastAsia="zh-CN"/>
        </w:rPr>
        <w:t>10</w:t>
      </w:r>
      <w:r>
        <w:rPr>
          <w:rFonts w:hint="eastAsia" w:ascii="仿宋_GB2312" w:hAnsi="宋体" w:eastAsia="仿宋_GB2312" w:cs="Times New Roman"/>
          <w:color w:val="auto"/>
          <w:sz w:val="24"/>
          <w:szCs w:val="24"/>
          <w:highlight w:val="none"/>
        </w:rPr>
        <w:t>日提交符合规定的</w:t>
      </w:r>
      <w:r>
        <w:rPr>
          <w:rFonts w:hint="eastAsia" w:ascii="仿宋_GB2312" w:hAnsi="宋体" w:eastAsia="仿宋_GB2312" w:cs="Times New Roman"/>
          <w:color w:val="auto"/>
          <w:sz w:val="24"/>
          <w:szCs w:val="24"/>
          <w:highlight w:val="none"/>
          <w:lang w:val="en-US" w:eastAsia="zh-CN"/>
        </w:rPr>
        <w:t>初步</w:t>
      </w:r>
      <w:r>
        <w:rPr>
          <w:rFonts w:hint="eastAsia" w:ascii="仿宋_GB2312" w:hAnsi="宋体" w:eastAsia="仿宋_GB2312" w:cs="Times New Roman"/>
          <w:color w:val="auto"/>
          <w:sz w:val="24"/>
          <w:szCs w:val="24"/>
          <w:highlight w:val="none"/>
        </w:rPr>
        <w:t>排查检测成果资料，</w:t>
      </w:r>
      <w:r>
        <w:rPr>
          <w:rFonts w:hint="eastAsia" w:ascii="仿宋_GB2312" w:hAnsi="宋体" w:eastAsia="仿宋_GB2312"/>
          <w:color w:val="auto"/>
          <w:sz w:val="24"/>
          <w:highlight w:val="none"/>
          <w:u w:val="single"/>
          <w:lang w:val="en-US" w:eastAsia="zh-CN"/>
        </w:rPr>
        <w:t>2024</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lang w:val="en-US" w:eastAsia="zh-CN"/>
        </w:rPr>
        <w:t>6</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lang w:val="en-US" w:eastAsia="zh-CN"/>
        </w:rPr>
        <w:t>20</w:t>
      </w:r>
      <w:r>
        <w:rPr>
          <w:rFonts w:hint="eastAsia" w:ascii="仿宋_GB2312" w:hAnsi="宋体" w:eastAsia="仿宋_GB2312"/>
          <w:color w:val="auto"/>
          <w:sz w:val="24"/>
          <w:highlight w:val="none"/>
        </w:rPr>
        <w:t>日</w:t>
      </w:r>
      <w:r>
        <w:rPr>
          <w:rFonts w:hint="eastAsia" w:ascii="仿宋_GB2312" w:hAnsi="宋体" w:eastAsia="仿宋_GB2312"/>
          <w:color w:val="auto"/>
          <w:sz w:val="24"/>
          <w:highlight w:val="none"/>
          <w:lang w:val="en-US" w:eastAsia="zh-CN"/>
        </w:rPr>
        <w:t>前</w:t>
      </w:r>
      <w:r>
        <w:rPr>
          <w:rFonts w:hint="eastAsia" w:ascii="仿宋_GB2312" w:hAnsi="宋体" w:eastAsia="仿宋_GB2312"/>
          <w:color w:val="auto"/>
          <w:sz w:val="24"/>
          <w:highlight w:val="none"/>
        </w:rPr>
        <w:t>提交符合规定的</w:t>
      </w:r>
      <w:r>
        <w:rPr>
          <w:rFonts w:hint="eastAsia" w:ascii="仿宋_GB2312" w:hAnsi="宋体" w:eastAsia="仿宋_GB2312"/>
          <w:color w:val="auto"/>
          <w:sz w:val="24"/>
          <w:highlight w:val="none"/>
          <w:lang w:val="en-US" w:eastAsia="zh-CN"/>
        </w:rPr>
        <w:t>最终</w:t>
      </w:r>
      <w:r>
        <w:rPr>
          <w:rFonts w:hint="eastAsia" w:ascii="仿宋_GB2312" w:hAnsi="宋体" w:eastAsia="仿宋_GB2312"/>
          <w:color w:val="auto"/>
          <w:sz w:val="24"/>
          <w:highlight w:val="none"/>
        </w:rPr>
        <w:t>成果资料</w:t>
      </w:r>
      <w:r>
        <w:rPr>
          <w:rFonts w:hint="eastAsia" w:ascii="仿宋_GB2312" w:hAnsi="宋体" w:eastAsia="仿宋_GB2312"/>
          <w:color w:val="auto"/>
          <w:sz w:val="24"/>
          <w:highlight w:val="none"/>
          <w:lang w:eastAsia="zh-CN"/>
        </w:rPr>
        <w:t>。</w:t>
      </w:r>
      <w:r>
        <w:rPr>
          <w:rFonts w:hint="eastAsia" w:ascii="仿宋_GB2312" w:hAnsi="宋体" w:eastAsia="仿宋_GB2312" w:cs="Times New Roman"/>
          <w:color w:val="auto"/>
          <w:sz w:val="24"/>
          <w:szCs w:val="24"/>
          <w:highlight w:val="none"/>
        </w:rPr>
        <w:t>由于发包人或承包人的原因未能按期开工或提交成果资料时，按本合同第六条规定办理。</w:t>
      </w:r>
    </w:p>
    <w:p>
      <w:pPr>
        <w:tabs>
          <w:tab w:val="left" w:pos="3405"/>
        </w:tabs>
        <w:spacing w:line="360" w:lineRule="auto"/>
        <w:ind w:firstLine="480" w:firstLineChars="200"/>
        <w:jc w:val="left"/>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4．1．2</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排查检测工作有效期限以发包人下达的开工通知书或</w:t>
      </w:r>
      <w:r>
        <w:rPr>
          <w:rFonts w:hint="eastAsia" w:ascii="仿宋_GB2312" w:hAnsi="宋体" w:eastAsia="仿宋_GB2312" w:cs="Times New Roman"/>
          <w:color w:val="auto"/>
          <w:sz w:val="24"/>
          <w:szCs w:val="24"/>
          <w:highlight w:val="none"/>
          <w:lang w:eastAsia="zh-CN"/>
        </w:rPr>
        <w:t>合同约定</w:t>
      </w:r>
      <w:r>
        <w:rPr>
          <w:rFonts w:hint="eastAsia" w:ascii="仿宋_GB2312" w:hAnsi="宋体" w:eastAsia="仿宋_GB2312" w:cs="Times New Roman"/>
          <w:color w:val="auto"/>
          <w:sz w:val="24"/>
          <w:szCs w:val="24"/>
          <w:highlight w:val="none"/>
        </w:rPr>
        <w:t>的时间为准，如遇特殊情况（工作量变化、不可抗力影响以及非承包人原因造成的停、窝工等）时，工期顺延。</w:t>
      </w:r>
    </w:p>
    <w:p>
      <w:pPr>
        <w:tabs>
          <w:tab w:val="left" w:pos="3405"/>
        </w:tabs>
        <w:spacing w:line="360" w:lineRule="auto"/>
        <w:ind w:firstLine="480" w:firstLineChars="200"/>
        <w:jc w:val="left"/>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4.2</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收费标准及付费方式</w:t>
      </w:r>
    </w:p>
    <w:p>
      <w:pPr>
        <w:spacing w:line="360" w:lineRule="auto"/>
        <w:ind w:firstLine="600"/>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4.2.1</w:t>
      </w:r>
      <w:r>
        <w:rPr>
          <w:rFonts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rPr>
        <w:t>本项目合同价依据中标通知书暂定为人民币：</w:t>
      </w:r>
      <w:r>
        <w:rPr>
          <w:rFonts w:hint="eastAsia" w:ascii="仿宋_GB2312" w:hAnsi="宋体" w:eastAsia="仿宋_GB2312" w:cs="Times New Roman"/>
          <w:color w:val="auto"/>
          <w:sz w:val="24"/>
          <w:szCs w:val="24"/>
          <w:highlight w:val="none"/>
          <w:u w:val="single"/>
        </w:rPr>
        <w:t xml:space="preserve"> </w:t>
      </w:r>
      <w:r>
        <w:rPr>
          <w:rFonts w:ascii="仿宋_GB2312" w:hAnsi="宋体" w:eastAsia="仿宋_GB2312" w:cs="Times New Roman"/>
          <w:color w:val="auto"/>
          <w:sz w:val="24"/>
          <w:szCs w:val="24"/>
          <w:highlight w:val="none"/>
          <w:u w:val="single"/>
        </w:rPr>
        <w:t xml:space="preserve">      </w:t>
      </w:r>
      <w:r>
        <w:rPr>
          <w:rFonts w:hint="eastAsia" w:ascii="仿宋_GB2312" w:hAnsi="宋体" w:eastAsia="仿宋_GB2312" w:cs="Times New Roman"/>
          <w:color w:val="auto"/>
          <w:sz w:val="24"/>
          <w:szCs w:val="24"/>
          <w:highlight w:val="none"/>
          <w:u w:val="single"/>
        </w:rPr>
        <w:t xml:space="preserve"> </w:t>
      </w:r>
      <w:r>
        <w:rPr>
          <w:rFonts w:hint="eastAsia" w:ascii="仿宋_GB2312" w:hAnsi="宋体" w:eastAsia="仿宋_GB2312" w:cs="Times New Roman"/>
          <w:color w:val="auto"/>
          <w:sz w:val="24"/>
          <w:szCs w:val="24"/>
          <w:highlight w:val="none"/>
        </w:rPr>
        <w:t>（￥</w:t>
      </w:r>
      <w:r>
        <w:rPr>
          <w:rFonts w:hint="eastAsia" w:ascii="仿宋_GB2312" w:hAnsi="宋体" w:eastAsia="仿宋_GB2312" w:cs="Times New Roman"/>
          <w:color w:val="auto"/>
          <w:sz w:val="24"/>
          <w:szCs w:val="24"/>
          <w:highlight w:val="none"/>
          <w:u w:val="single"/>
        </w:rPr>
        <w:t xml:space="preserve">   </w:t>
      </w:r>
      <w:r>
        <w:rPr>
          <w:rFonts w:hint="eastAsia" w:ascii="仿宋_GB2312" w:hAnsi="宋体" w:eastAsia="仿宋_GB2312" w:cs="Times New Roman"/>
          <w:color w:val="auto"/>
          <w:sz w:val="24"/>
          <w:szCs w:val="24"/>
          <w:highlight w:val="none"/>
        </w:rPr>
        <w:t>元），最终结算排查检测经费按实际完成的有效工程量计算</w:t>
      </w:r>
      <w:r>
        <w:rPr>
          <w:rFonts w:hint="eastAsia" w:ascii="仿宋_GB2312" w:hAnsi="宋体" w:eastAsia="仿宋_GB2312" w:cs="Times New Roman"/>
          <w:color w:val="auto"/>
          <w:sz w:val="24"/>
          <w:szCs w:val="24"/>
          <w:highlight w:val="none"/>
          <w:lang w:eastAsia="zh-Hans"/>
        </w:rPr>
        <w:t>，</w:t>
      </w:r>
      <w:r>
        <w:rPr>
          <w:rFonts w:hint="eastAsia" w:ascii="仿宋_GB2312" w:hAnsi="宋体" w:eastAsia="仿宋_GB2312" w:cs="Times New Roman"/>
          <w:color w:val="auto"/>
          <w:sz w:val="24"/>
          <w:szCs w:val="24"/>
          <w:highlight w:val="none"/>
          <w:u w:val="single"/>
        </w:rPr>
        <w:t>结算总费用不超过合同</w:t>
      </w:r>
      <w:r>
        <w:rPr>
          <w:rFonts w:hint="eastAsia" w:ascii="仿宋_GB2312" w:hAnsi="宋体" w:eastAsia="仿宋_GB2312" w:cs="Times New Roman"/>
          <w:color w:val="auto"/>
          <w:sz w:val="24"/>
          <w:szCs w:val="24"/>
          <w:highlight w:val="none"/>
          <w:u w:val="single"/>
          <w:lang w:val="en-US" w:eastAsia="zh-Hans"/>
        </w:rPr>
        <w:t>签约</w:t>
      </w:r>
      <w:r>
        <w:rPr>
          <w:rFonts w:hint="eastAsia" w:ascii="仿宋_GB2312" w:hAnsi="宋体" w:eastAsia="仿宋_GB2312" w:cs="Times New Roman"/>
          <w:color w:val="auto"/>
          <w:sz w:val="24"/>
          <w:szCs w:val="24"/>
          <w:highlight w:val="none"/>
          <w:u w:val="single"/>
        </w:rPr>
        <w:t>总价</w:t>
      </w:r>
      <w:r>
        <w:rPr>
          <w:rFonts w:hint="eastAsia" w:ascii="仿宋_GB2312" w:hAnsi="宋体" w:eastAsia="仿宋_GB2312" w:cs="Times New Roman"/>
          <w:color w:val="auto"/>
          <w:sz w:val="24"/>
          <w:szCs w:val="24"/>
          <w:highlight w:val="none"/>
        </w:rPr>
        <w:t>。</w:t>
      </w:r>
    </w:p>
    <w:p>
      <w:pPr>
        <w:tabs>
          <w:tab w:val="left" w:pos="3405"/>
        </w:tabs>
        <w:spacing w:line="360" w:lineRule="auto"/>
        <w:ind w:firstLine="472" w:firstLineChars="200"/>
        <w:jc w:val="left"/>
        <w:rPr>
          <w:rFonts w:hint="eastAsia" w:ascii="Times New Roman" w:hAnsi="Times New Roman" w:eastAsia="宋体" w:cs="Times New Roman"/>
          <w:color w:val="auto"/>
          <w:spacing w:val="-2"/>
          <w:sz w:val="24"/>
          <w:szCs w:val="24"/>
          <w:highlight w:val="none"/>
        </w:rPr>
      </w:pPr>
      <w:r>
        <w:rPr>
          <w:rFonts w:hint="eastAsia" w:ascii="仿宋_GB2312" w:hAnsi="宋体" w:eastAsia="仿宋_GB2312" w:cs="Times New Roman"/>
          <w:color w:val="auto"/>
          <w:spacing w:val="-2"/>
          <w:sz w:val="24"/>
          <w:szCs w:val="24"/>
          <w:highlight w:val="none"/>
        </w:rPr>
        <w:t>4.2.2</w:t>
      </w:r>
      <w:r>
        <w:rPr>
          <w:rFonts w:ascii="仿宋_GB2312" w:hAnsi="宋体" w:eastAsia="仿宋_GB2312" w:cs="Times New Roman"/>
          <w:color w:val="auto"/>
          <w:spacing w:val="-2"/>
          <w:sz w:val="24"/>
          <w:szCs w:val="24"/>
          <w:highlight w:val="none"/>
        </w:rPr>
        <w:t xml:space="preserve"> </w:t>
      </w:r>
      <w:r>
        <w:rPr>
          <w:rFonts w:hint="eastAsia" w:ascii="仿宋_GB2312" w:hAnsi="宋体" w:eastAsia="仿宋_GB2312" w:cs="Times New Roman"/>
          <w:color w:val="auto"/>
          <w:spacing w:val="-2"/>
          <w:sz w:val="24"/>
          <w:szCs w:val="24"/>
          <w:highlight w:val="none"/>
        </w:rPr>
        <w:t>综合费用计算价格包含</w:t>
      </w:r>
      <w:r>
        <w:rPr>
          <w:rFonts w:hint="eastAsia" w:ascii="仿宋_GB2312" w:hAnsi="宋体" w:eastAsia="仿宋_GB2312" w:cs="Times New Roman"/>
          <w:color w:val="auto"/>
          <w:spacing w:val="-2"/>
          <w:sz w:val="24"/>
          <w:szCs w:val="24"/>
          <w:highlight w:val="none"/>
          <w:u w:val="single"/>
        </w:rPr>
        <w:t>管线QV检测、</w:t>
      </w:r>
      <w:r>
        <w:rPr>
          <w:rFonts w:hint="eastAsia" w:ascii="仿宋_GB2312" w:hAnsi="Times New Roman" w:eastAsia="仿宋_GB2312" w:cs="Times New Roman"/>
          <w:color w:val="auto"/>
          <w:sz w:val="24"/>
          <w:szCs w:val="24"/>
          <w:highlight w:val="none"/>
          <w:u w:val="single"/>
          <w:lang w:val="en-US" w:eastAsia="zh-CN"/>
        </w:rPr>
        <w:t>地下管线探测、管线排查</w:t>
      </w:r>
      <w:r>
        <w:rPr>
          <w:rFonts w:hint="eastAsia" w:ascii="仿宋_GB2312" w:hAnsi="宋体" w:eastAsia="仿宋_GB2312" w:cs="Times New Roman"/>
          <w:color w:val="auto"/>
          <w:spacing w:val="-2"/>
          <w:sz w:val="24"/>
          <w:szCs w:val="24"/>
          <w:highlight w:val="none"/>
          <w:u w:val="single"/>
        </w:rPr>
        <w:t>等相关费用</w:t>
      </w:r>
      <w:r>
        <w:rPr>
          <w:rFonts w:hint="eastAsia" w:ascii="仿宋_GB2312" w:hAnsi="宋体" w:eastAsia="仿宋_GB2312" w:cs="Times New Roman"/>
          <w:color w:val="auto"/>
          <w:spacing w:val="-2"/>
          <w:sz w:val="24"/>
          <w:szCs w:val="24"/>
          <w:highlight w:val="none"/>
        </w:rPr>
        <w:t>）收费依据，参考</w:t>
      </w:r>
      <w:r>
        <w:rPr>
          <w:rFonts w:hint="eastAsia" w:ascii="仿宋_GB2312" w:hAnsi="宋体" w:eastAsia="仿宋_GB2312" w:cs="Times New Roman"/>
          <w:color w:val="auto"/>
          <w:spacing w:val="-2"/>
          <w:sz w:val="24"/>
          <w:szCs w:val="24"/>
          <w:highlight w:val="none"/>
          <w:lang w:val="en-US" w:eastAsia="zh-CN"/>
        </w:rPr>
        <w:t>财政部、国家测绘局财建[2009]17号《测绘生产成本费用定额》及参照《广东省排水管道非开挖修复定额2019》标准收取。</w:t>
      </w:r>
      <w:bookmarkStart w:id="96" w:name="_Toc12533"/>
    </w:p>
    <w:p>
      <w:pPr>
        <w:tabs>
          <w:tab w:val="left" w:pos="3405"/>
        </w:tabs>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仿宋_GB2312" w:hAnsi="宋体" w:eastAsia="仿宋_GB2312" w:cs="Times New Roman"/>
          <w:color w:val="auto"/>
          <w:sz w:val="24"/>
          <w:szCs w:val="24"/>
          <w:highlight w:val="none"/>
        </w:rPr>
        <w:t>4.2.3 取费项目及预算工程总价款如下表：</w:t>
      </w:r>
      <w:bookmarkEnd w:id="96"/>
    </w:p>
    <w:tbl>
      <w:tblPr>
        <w:tblStyle w:val="10"/>
        <w:tblW w:w="8913"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92"/>
        <w:gridCol w:w="1133"/>
        <w:gridCol w:w="1138"/>
        <w:gridCol w:w="1043"/>
        <w:gridCol w:w="1043"/>
        <w:gridCol w:w="126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80"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92"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w:t>
            </w:r>
          </w:p>
        </w:tc>
        <w:tc>
          <w:tcPr>
            <w:tcW w:w="1133"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1138"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1043"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单价（元）</w:t>
            </w:r>
          </w:p>
        </w:tc>
        <w:tc>
          <w:tcPr>
            <w:tcW w:w="1043"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总价（元）</w:t>
            </w:r>
          </w:p>
        </w:tc>
        <w:tc>
          <w:tcPr>
            <w:tcW w:w="1266" w:type="dxa"/>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服务要求或者标的基本概况</w:t>
            </w:r>
          </w:p>
        </w:tc>
        <w:tc>
          <w:tcPr>
            <w:tcW w:w="918"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0" w:type="dxa"/>
            <w:noWrap w:val="0"/>
            <w:vAlign w:val="center"/>
          </w:tcPr>
          <w:p>
            <w:pPr>
              <w:spacing w:line="360" w:lineRule="auto"/>
              <w:jc w:val="center"/>
              <w:rPr>
                <w:rFonts w:hint="eastAsia" w:ascii="仿宋" w:hAnsi="仿宋" w:eastAsia="仿宋" w:cs="仿宋"/>
                <w:bCs/>
                <w:color w:val="auto"/>
                <w:sz w:val="24"/>
                <w:szCs w:val="24"/>
                <w:highlight w:val="none"/>
              </w:rPr>
            </w:pPr>
          </w:p>
        </w:tc>
        <w:tc>
          <w:tcPr>
            <w:tcW w:w="1592" w:type="dxa"/>
            <w:noWrap w:val="0"/>
            <w:vAlign w:val="center"/>
          </w:tcPr>
          <w:p>
            <w:pPr>
              <w:spacing w:line="360" w:lineRule="auto"/>
              <w:jc w:val="center"/>
              <w:rPr>
                <w:rFonts w:hint="eastAsia" w:ascii="仿宋" w:hAnsi="仿宋" w:eastAsia="仿宋" w:cs="仿宋"/>
                <w:bCs/>
                <w:color w:val="auto"/>
                <w:sz w:val="24"/>
                <w:szCs w:val="24"/>
                <w:highlight w:val="none"/>
                <w:lang w:val="en-US" w:eastAsia="zh-CN"/>
              </w:rPr>
            </w:pPr>
          </w:p>
        </w:tc>
        <w:tc>
          <w:tcPr>
            <w:tcW w:w="1133" w:type="dxa"/>
            <w:noWrap w:val="0"/>
            <w:vAlign w:val="center"/>
          </w:tcPr>
          <w:p>
            <w:pPr>
              <w:spacing w:line="360" w:lineRule="auto"/>
              <w:jc w:val="center"/>
              <w:rPr>
                <w:rFonts w:hint="default" w:ascii="仿宋" w:hAnsi="仿宋" w:eastAsia="仿宋" w:cs="仿宋"/>
                <w:bCs/>
                <w:color w:val="auto"/>
                <w:sz w:val="24"/>
                <w:szCs w:val="24"/>
                <w:highlight w:val="none"/>
                <w:lang w:val="en-US" w:eastAsia="zh-CN"/>
              </w:rPr>
            </w:pPr>
          </w:p>
        </w:tc>
        <w:tc>
          <w:tcPr>
            <w:tcW w:w="1138" w:type="dxa"/>
            <w:noWrap w:val="0"/>
            <w:vAlign w:val="center"/>
          </w:tcPr>
          <w:p>
            <w:pPr>
              <w:spacing w:line="360" w:lineRule="auto"/>
              <w:jc w:val="center"/>
              <w:rPr>
                <w:rFonts w:hint="eastAsia" w:ascii="仿宋" w:hAnsi="仿宋" w:eastAsia="仿宋" w:cs="仿宋"/>
                <w:bCs/>
                <w:color w:val="auto"/>
                <w:sz w:val="24"/>
                <w:szCs w:val="24"/>
                <w:highlight w:val="none"/>
                <w:lang w:eastAsia="zh-CN"/>
              </w:rPr>
            </w:pPr>
          </w:p>
        </w:tc>
        <w:tc>
          <w:tcPr>
            <w:tcW w:w="1043" w:type="dxa"/>
            <w:noWrap w:val="0"/>
            <w:vAlign w:val="center"/>
          </w:tcPr>
          <w:p>
            <w:pPr>
              <w:spacing w:line="360" w:lineRule="auto"/>
              <w:jc w:val="center"/>
              <w:rPr>
                <w:rFonts w:hint="default" w:ascii="仿宋" w:hAnsi="仿宋" w:eastAsia="仿宋" w:cs="仿宋"/>
                <w:bCs/>
                <w:color w:val="auto"/>
                <w:sz w:val="24"/>
                <w:szCs w:val="24"/>
                <w:highlight w:val="none"/>
                <w:lang w:val="en-US"/>
              </w:rPr>
            </w:pPr>
          </w:p>
        </w:tc>
        <w:tc>
          <w:tcPr>
            <w:tcW w:w="1043" w:type="dxa"/>
            <w:noWrap w:val="0"/>
            <w:vAlign w:val="center"/>
          </w:tcPr>
          <w:p>
            <w:pPr>
              <w:spacing w:line="360" w:lineRule="auto"/>
              <w:jc w:val="center"/>
              <w:rPr>
                <w:rFonts w:hint="eastAsia" w:ascii="仿宋" w:hAnsi="仿宋" w:eastAsia="仿宋" w:cs="仿宋"/>
                <w:bCs/>
                <w:color w:val="auto"/>
                <w:sz w:val="24"/>
                <w:szCs w:val="24"/>
                <w:highlight w:val="none"/>
              </w:rPr>
            </w:pPr>
          </w:p>
        </w:tc>
        <w:tc>
          <w:tcPr>
            <w:tcW w:w="1266" w:type="dxa"/>
            <w:noWrap w:val="0"/>
            <w:vAlign w:val="center"/>
          </w:tcPr>
          <w:p>
            <w:pPr>
              <w:spacing w:line="360" w:lineRule="auto"/>
              <w:jc w:val="center"/>
              <w:rPr>
                <w:rFonts w:hint="eastAsia" w:ascii="仿宋" w:hAnsi="仿宋" w:eastAsia="仿宋" w:cs="仿宋"/>
                <w:bCs/>
                <w:color w:val="auto"/>
                <w:sz w:val="24"/>
                <w:szCs w:val="24"/>
                <w:highlight w:val="none"/>
              </w:rPr>
            </w:pPr>
          </w:p>
        </w:tc>
        <w:tc>
          <w:tcPr>
            <w:tcW w:w="918" w:type="dxa"/>
            <w:noWrap w:val="0"/>
            <w:vAlign w:val="center"/>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0" w:type="dxa"/>
            <w:noWrap w:val="0"/>
            <w:vAlign w:val="center"/>
          </w:tcPr>
          <w:p>
            <w:pPr>
              <w:spacing w:line="360" w:lineRule="auto"/>
              <w:jc w:val="center"/>
              <w:rPr>
                <w:rFonts w:hint="eastAsia" w:ascii="仿宋" w:hAnsi="仿宋" w:eastAsia="仿宋" w:cs="仿宋"/>
                <w:bCs/>
                <w:color w:val="auto"/>
                <w:sz w:val="24"/>
                <w:szCs w:val="24"/>
                <w:highlight w:val="none"/>
              </w:rPr>
            </w:pPr>
          </w:p>
        </w:tc>
        <w:tc>
          <w:tcPr>
            <w:tcW w:w="1592" w:type="dxa"/>
            <w:noWrap w:val="0"/>
            <w:vAlign w:val="center"/>
          </w:tcPr>
          <w:p>
            <w:pPr>
              <w:spacing w:line="360" w:lineRule="auto"/>
              <w:jc w:val="center"/>
              <w:rPr>
                <w:rFonts w:hint="eastAsia" w:ascii="仿宋" w:hAnsi="仿宋" w:eastAsia="仿宋" w:cs="仿宋"/>
                <w:bCs/>
                <w:color w:val="auto"/>
                <w:sz w:val="24"/>
                <w:szCs w:val="24"/>
                <w:highlight w:val="none"/>
                <w:lang w:val="en-US" w:eastAsia="zh-CN"/>
              </w:rPr>
            </w:pPr>
          </w:p>
        </w:tc>
        <w:tc>
          <w:tcPr>
            <w:tcW w:w="1133" w:type="dxa"/>
            <w:noWrap w:val="0"/>
            <w:vAlign w:val="center"/>
          </w:tcPr>
          <w:p>
            <w:pPr>
              <w:spacing w:line="360" w:lineRule="auto"/>
              <w:jc w:val="center"/>
              <w:rPr>
                <w:rFonts w:hint="default" w:ascii="仿宋" w:hAnsi="仿宋" w:eastAsia="仿宋" w:cs="仿宋"/>
                <w:bCs/>
                <w:color w:val="auto"/>
                <w:sz w:val="24"/>
                <w:szCs w:val="24"/>
                <w:highlight w:val="none"/>
                <w:lang w:val="en-US" w:eastAsia="zh-CN"/>
              </w:rPr>
            </w:pPr>
          </w:p>
        </w:tc>
        <w:tc>
          <w:tcPr>
            <w:tcW w:w="1138" w:type="dxa"/>
            <w:noWrap w:val="0"/>
            <w:vAlign w:val="center"/>
          </w:tcPr>
          <w:p>
            <w:pPr>
              <w:spacing w:line="360" w:lineRule="auto"/>
              <w:jc w:val="center"/>
              <w:rPr>
                <w:rFonts w:hint="eastAsia" w:ascii="仿宋" w:hAnsi="仿宋" w:eastAsia="仿宋" w:cs="仿宋"/>
                <w:bCs/>
                <w:color w:val="auto"/>
                <w:sz w:val="24"/>
                <w:szCs w:val="24"/>
                <w:highlight w:val="none"/>
                <w:lang w:eastAsia="zh-CN"/>
              </w:rPr>
            </w:pPr>
          </w:p>
        </w:tc>
        <w:tc>
          <w:tcPr>
            <w:tcW w:w="1043" w:type="dxa"/>
            <w:noWrap w:val="0"/>
            <w:vAlign w:val="center"/>
          </w:tcPr>
          <w:p>
            <w:pPr>
              <w:spacing w:line="360" w:lineRule="auto"/>
              <w:jc w:val="center"/>
              <w:rPr>
                <w:rFonts w:hint="default" w:ascii="仿宋" w:hAnsi="仿宋" w:eastAsia="仿宋" w:cs="仿宋"/>
                <w:bCs/>
                <w:color w:val="auto"/>
                <w:sz w:val="24"/>
                <w:szCs w:val="24"/>
                <w:highlight w:val="none"/>
                <w:lang w:val="en-US"/>
              </w:rPr>
            </w:pPr>
          </w:p>
        </w:tc>
        <w:tc>
          <w:tcPr>
            <w:tcW w:w="1043" w:type="dxa"/>
            <w:noWrap w:val="0"/>
            <w:vAlign w:val="center"/>
          </w:tcPr>
          <w:p>
            <w:pPr>
              <w:spacing w:line="360" w:lineRule="auto"/>
              <w:jc w:val="center"/>
              <w:rPr>
                <w:rFonts w:hint="eastAsia" w:ascii="仿宋" w:hAnsi="仿宋" w:eastAsia="仿宋" w:cs="仿宋"/>
                <w:bCs/>
                <w:color w:val="auto"/>
                <w:sz w:val="24"/>
                <w:szCs w:val="24"/>
                <w:highlight w:val="none"/>
              </w:rPr>
            </w:pPr>
          </w:p>
        </w:tc>
        <w:tc>
          <w:tcPr>
            <w:tcW w:w="1266" w:type="dxa"/>
            <w:noWrap w:val="0"/>
            <w:vAlign w:val="center"/>
          </w:tcPr>
          <w:p>
            <w:pPr>
              <w:spacing w:line="360" w:lineRule="auto"/>
              <w:jc w:val="center"/>
              <w:rPr>
                <w:rFonts w:hint="eastAsia" w:ascii="仿宋" w:hAnsi="仿宋" w:eastAsia="仿宋" w:cs="仿宋"/>
                <w:bCs/>
                <w:color w:val="auto"/>
                <w:sz w:val="24"/>
                <w:szCs w:val="24"/>
                <w:highlight w:val="none"/>
              </w:rPr>
            </w:pPr>
          </w:p>
        </w:tc>
        <w:tc>
          <w:tcPr>
            <w:tcW w:w="918" w:type="dxa"/>
            <w:noWrap w:val="0"/>
            <w:vAlign w:val="center"/>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0"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592" w:type="dxa"/>
            <w:noWrap w:val="0"/>
            <w:vAlign w:val="center"/>
          </w:tcPr>
          <w:p>
            <w:pPr>
              <w:spacing w:line="360" w:lineRule="auto"/>
              <w:rPr>
                <w:rFonts w:hint="eastAsia" w:ascii="仿宋" w:hAnsi="仿宋" w:eastAsia="仿宋" w:cs="仿宋"/>
                <w:bCs/>
                <w:color w:val="auto"/>
                <w:sz w:val="24"/>
                <w:szCs w:val="24"/>
                <w:highlight w:val="none"/>
              </w:rPr>
            </w:pPr>
          </w:p>
        </w:tc>
        <w:tc>
          <w:tcPr>
            <w:tcW w:w="1133" w:type="dxa"/>
            <w:noWrap w:val="0"/>
            <w:vAlign w:val="center"/>
          </w:tcPr>
          <w:p>
            <w:pPr>
              <w:spacing w:line="360" w:lineRule="auto"/>
              <w:rPr>
                <w:rFonts w:hint="eastAsia" w:ascii="仿宋" w:hAnsi="仿宋" w:eastAsia="仿宋" w:cs="仿宋"/>
                <w:bCs/>
                <w:color w:val="auto"/>
                <w:sz w:val="24"/>
                <w:szCs w:val="24"/>
                <w:highlight w:val="none"/>
              </w:rPr>
            </w:pPr>
          </w:p>
        </w:tc>
        <w:tc>
          <w:tcPr>
            <w:tcW w:w="1138" w:type="dxa"/>
            <w:noWrap w:val="0"/>
            <w:vAlign w:val="center"/>
          </w:tcPr>
          <w:p>
            <w:pPr>
              <w:spacing w:line="360" w:lineRule="auto"/>
              <w:rPr>
                <w:rFonts w:hint="eastAsia" w:ascii="仿宋" w:hAnsi="仿宋" w:eastAsia="仿宋" w:cs="仿宋"/>
                <w:bCs/>
                <w:color w:val="auto"/>
                <w:sz w:val="24"/>
                <w:szCs w:val="24"/>
                <w:highlight w:val="none"/>
              </w:rPr>
            </w:pPr>
          </w:p>
        </w:tc>
        <w:tc>
          <w:tcPr>
            <w:tcW w:w="1043" w:type="dxa"/>
            <w:noWrap w:val="0"/>
            <w:vAlign w:val="center"/>
          </w:tcPr>
          <w:p>
            <w:pPr>
              <w:spacing w:line="360" w:lineRule="auto"/>
              <w:rPr>
                <w:rFonts w:hint="eastAsia" w:ascii="仿宋" w:hAnsi="仿宋" w:eastAsia="仿宋" w:cs="仿宋"/>
                <w:bCs/>
                <w:color w:val="auto"/>
                <w:sz w:val="24"/>
                <w:szCs w:val="24"/>
                <w:highlight w:val="none"/>
              </w:rPr>
            </w:pPr>
          </w:p>
        </w:tc>
        <w:tc>
          <w:tcPr>
            <w:tcW w:w="1043" w:type="dxa"/>
            <w:noWrap w:val="0"/>
            <w:vAlign w:val="center"/>
          </w:tcPr>
          <w:p>
            <w:pPr>
              <w:spacing w:line="360" w:lineRule="auto"/>
              <w:rPr>
                <w:rFonts w:hint="eastAsia" w:ascii="仿宋" w:hAnsi="仿宋" w:eastAsia="仿宋" w:cs="仿宋"/>
                <w:bCs/>
                <w:color w:val="auto"/>
                <w:sz w:val="24"/>
                <w:szCs w:val="24"/>
                <w:highlight w:val="none"/>
              </w:rPr>
            </w:pPr>
          </w:p>
        </w:tc>
        <w:tc>
          <w:tcPr>
            <w:tcW w:w="1266" w:type="dxa"/>
            <w:noWrap w:val="0"/>
            <w:vAlign w:val="center"/>
          </w:tcPr>
          <w:p>
            <w:pPr>
              <w:spacing w:line="360" w:lineRule="auto"/>
              <w:rPr>
                <w:rFonts w:hint="eastAsia" w:ascii="仿宋" w:hAnsi="仿宋" w:eastAsia="仿宋" w:cs="仿宋"/>
                <w:bCs/>
                <w:color w:val="auto"/>
                <w:sz w:val="24"/>
                <w:szCs w:val="24"/>
                <w:highlight w:val="none"/>
              </w:rPr>
            </w:pPr>
          </w:p>
        </w:tc>
        <w:tc>
          <w:tcPr>
            <w:tcW w:w="918" w:type="dxa"/>
            <w:noWrap w:val="0"/>
            <w:vAlign w:val="center"/>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0" w:type="dxa"/>
            <w:noWrap w:val="0"/>
            <w:vAlign w:val="center"/>
          </w:tcPr>
          <w:p>
            <w:pPr>
              <w:spacing w:line="360" w:lineRule="auto"/>
              <w:jc w:val="center"/>
              <w:rPr>
                <w:rFonts w:hint="eastAsia" w:ascii="仿宋" w:hAnsi="仿宋" w:eastAsia="仿宋" w:cs="仿宋"/>
                <w:bCs/>
                <w:color w:val="auto"/>
                <w:sz w:val="24"/>
                <w:szCs w:val="24"/>
                <w:highlight w:val="none"/>
              </w:rPr>
            </w:pPr>
          </w:p>
        </w:tc>
        <w:tc>
          <w:tcPr>
            <w:tcW w:w="1592" w:type="dxa"/>
            <w:noWrap w:val="0"/>
            <w:vAlign w:val="center"/>
          </w:tcPr>
          <w:p>
            <w:pPr>
              <w:spacing w:line="360" w:lineRule="auto"/>
              <w:rPr>
                <w:rFonts w:hint="eastAsia" w:ascii="仿宋" w:hAnsi="仿宋" w:eastAsia="仿宋" w:cs="仿宋"/>
                <w:bCs/>
                <w:color w:val="auto"/>
                <w:sz w:val="24"/>
                <w:szCs w:val="24"/>
                <w:highlight w:val="none"/>
              </w:rPr>
            </w:pPr>
          </w:p>
        </w:tc>
        <w:tc>
          <w:tcPr>
            <w:tcW w:w="1133" w:type="dxa"/>
            <w:noWrap w:val="0"/>
            <w:vAlign w:val="center"/>
          </w:tcPr>
          <w:p>
            <w:pPr>
              <w:spacing w:line="360" w:lineRule="auto"/>
              <w:rPr>
                <w:rFonts w:hint="eastAsia" w:ascii="仿宋" w:hAnsi="仿宋" w:eastAsia="仿宋" w:cs="仿宋"/>
                <w:bCs/>
                <w:color w:val="auto"/>
                <w:sz w:val="24"/>
                <w:szCs w:val="24"/>
                <w:highlight w:val="none"/>
              </w:rPr>
            </w:pPr>
          </w:p>
        </w:tc>
        <w:tc>
          <w:tcPr>
            <w:tcW w:w="1138" w:type="dxa"/>
            <w:noWrap w:val="0"/>
            <w:vAlign w:val="center"/>
          </w:tcPr>
          <w:p>
            <w:pPr>
              <w:spacing w:line="360" w:lineRule="auto"/>
              <w:rPr>
                <w:rFonts w:hint="eastAsia" w:ascii="仿宋" w:hAnsi="仿宋" w:eastAsia="仿宋" w:cs="仿宋"/>
                <w:bCs/>
                <w:color w:val="auto"/>
                <w:sz w:val="24"/>
                <w:szCs w:val="24"/>
                <w:highlight w:val="none"/>
              </w:rPr>
            </w:pPr>
          </w:p>
        </w:tc>
        <w:tc>
          <w:tcPr>
            <w:tcW w:w="1043" w:type="dxa"/>
            <w:noWrap w:val="0"/>
            <w:vAlign w:val="center"/>
          </w:tcPr>
          <w:p>
            <w:pPr>
              <w:spacing w:line="360" w:lineRule="auto"/>
              <w:rPr>
                <w:rFonts w:hint="eastAsia" w:ascii="仿宋" w:hAnsi="仿宋" w:eastAsia="仿宋" w:cs="仿宋"/>
                <w:bCs/>
                <w:color w:val="auto"/>
                <w:sz w:val="24"/>
                <w:szCs w:val="24"/>
                <w:highlight w:val="none"/>
              </w:rPr>
            </w:pPr>
          </w:p>
        </w:tc>
        <w:tc>
          <w:tcPr>
            <w:tcW w:w="1043" w:type="dxa"/>
            <w:noWrap w:val="0"/>
            <w:vAlign w:val="center"/>
          </w:tcPr>
          <w:p>
            <w:pPr>
              <w:spacing w:line="360" w:lineRule="auto"/>
              <w:rPr>
                <w:rFonts w:hint="eastAsia" w:ascii="仿宋" w:hAnsi="仿宋" w:eastAsia="仿宋" w:cs="仿宋"/>
                <w:bCs/>
                <w:color w:val="auto"/>
                <w:sz w:val="24"/>
                <w:szCs w:val="24"/>
                <w:highlight w:val="none"/>
              </w:rPr>
            </w:pPr>
          </w:p>
        </w:tc>
        <w:tc>
          <w:tcPr>
            <w:tcW w:w="1266" w:type="dxa"/>
            <w:noWrap w:val="0"/>
            <w:vAlign w:val="center"/>
          </w:tcPr>
          <w:p>
            <w:pPr>
              <w:spacing w:line="360" w:lineRule="auto"/>
              <w:rPr>
                <w:rFonts w:hint="eastAsia" w:ascii="仿宋" w:hAnsi="仿宋" w:eastAsia="仿宋" w:cs="仿宋"/>
                <w:bCs/>
                <w:color w:val="auto"/>
                <w:sz w:val="24"/>
                <w:szCs w:val="24"/>
                <w:highlight w:val="none"/>
              </w:rPr>
            </w:pPr>
          </w:p>
        </w:tc>
        <w:tc>
          <w:tcPr>
            <w:tcW w:w="918" w:type="dxa"/>
            <w:noWrap w:val="0"/>
            <w:vAlign w:val="center"/>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0" w:type="dxa"/>
            <w:noWrap w:val="0"/>
            <w:vAlign w:val="center"/>
          </w:tcPr>
          <w:p>
            <w:pPr>
              <w:spacing w:line="360" w:lineRule="auto"/>
              <w:jc w:val="center"/>
              <w:rPr>
                <w:rFonts w:hint="eastAsia" w:ascii="仿宋" w:hAnsi="仿宋" w:eastAsia="仿宋" w:cs="仿宋"/>
                <w:bCs/>
                <w:color w:val="auto"/>
                <w:sz w:val="24"/>
                <w:szCs w:val="24"/>
                <w:highlight w:val="none"/>
              </w:rPr>
            </w:pPr>
          </w:p>
        </w:tc>
        <w:tc>
          <w:tcPr>
            <w:tcW w:w="1592" w:type="dxa"/>
            <w:noWrap w:val="0"/>
            <w:vAlign w:val="center"/>
          </w:tcPr>
          <w:p>
            <w:pPr>
              <w:spacing w:line="360" w:lineRule="auto"/>
              <w:rPr>
                <w:rFonts w:hint="eastAsia" w:ascii="仿宋" w:hAnsi="仿宋" w:eastAsia="仿宋" w:cs="仿宋"/>
                <w:bCs/>
                <w:color w:val="auto"/>
                <w:sz w:val="24"/>
                <w:szCs w:val="24"/>
                <w:highlight w:val="none"/>
              </w:rPr>
            </w:pPr>
          </w:p>
        </w:tc>
        <w:tc>
          <w:tcPr>
            <w:tcW w:w="1133" w:type="dxa"/>
            <w:noWrap w:val="0"/>
            <w:vAlign w:val="center"/>
          </w:tcPr>
          <w:p>
            <w:pPr>
              <w:spacing w:line="360" w:lineRule="auto"/>
              <w:rPr>
                <w:rFonts w:hint="eastAsia" w:ascii="仿宋" w:hAnsi="仿宋" w:eastAsia="仿宋" w:cs="仿宋"/>
                <w:bCs/>
                <w:color w:val="auto"/>
                <w:sz w:val="24"/>
                <w:szCs w:val="24"/>
                <w:highlight w:val="none"/>
              </w:rPr>
            </w:pPr>
          </w:p>
        </w:tc>
        <w:tc>
          <w:tcPr>
            <w:tcW w:w="1138" w:type="dxa"/>
            <w:noWrap w:val="0"/>
            <w:vAlign w:val="center"/>
          </w:tcPr>
          <w:p>
            <w:pPr>
              <w:spacing w:line="360" w:lineRule="auto"/>
              <w:rPr>
                <w:rFonts w:hint="eastAsia" w:ascii="仿宋" w:hAnsi="仿宋" w:eastAsia="仿宋" w:cs="仿宋"/>
                <w:bCs/>
                <w:color w:val="auto"/>
                <w:sz w:val="24"/>
                <w:szCs w:val="24"/>
                <w:highlight w:val="none"/>
              </w:rPr>
            </w:pPr>
          </w:p>
        </w:tc>
        <w:tc>
          <w:tcPr>
            <w:tcW w:w="1043" w:type="dxa"/>
            <w:noWrap w:val="0"/>
            <w:vAlign w:val="center"/>
          </w:tcPr>
          <w:p>
            <w:pPr>
              <w:spacing w:line="360" w:lineRule="auto"/>
              <w:rPr>
                <w:rFonts w:hint="eastAsia" w:ascii="仿宋" w:hAnsi="仿宋" w:eastAsia="仿宋" w:cs="仿宋"/>
                <w:bCs/>
                <w:color w:val="auto"/>
                <w:sz w:val="24"/>
                <w:szCs w:val="24"/>
                <w:highlight w:val="none"/>
              </w:rPr>
            </w:pPr>
          </w:p>
        </w:tc>
        <w:tc>
          <w:tcPr>
            <w:tcW w:w="1043" w:type="dxa"/>
            <w:noWrap w:val="0"/>
            <w:vAlign w:val="center"/>
          </w:tcPr>
          <w:p>
            <w:pPr>
              <w:spacing w:line="360" w:lineRule="auto"/>
              <w:rPr>
                <w:rFonts w:hint="eastAsia" w:ascii="仿宋" w:hAnsi="仿宋" w:eastAsia="仿宋" w:cs="仿宋"/>
                <w:bCs/>
                <w:color w:val="auto"/>
                <w:sz w:val="24"/>
                <w:szCs w:val="24"/>
                <w:highlight w:val="none"/>
              </w:rPr>
            </w:pPr>
          </w:p>
        </w:tc>
        <w:tc>
          <w:tcPr>
            <w:tcW w:w="1266" w:type="dxa"/>
            <w:noWrap w:val="0"/>
            <w:vAlign w:val="center"/>
          </w:tcPr>
          <w:p>
            <w:pPr>
              <w:spacing w:line="360" w:lineRule="auto"/>
              <w:rPr>
                <w:rFonts w:hint="eastAsia" w:ascii="仿宋" w:hAnsi="仿宋" w:eastAsia="仿宋" w:cs="仿宋"/>
                <w:bCs/>
                <w:color w:val="auto"/>
                <w:sz w:val="24"/>
                <w:szCs w:val="24"/>
                <w:highlight w:val="none"/>
              </w:rPr>
            </w:pPr>
          </w:p>
        </w:tc>
        <w:tc>
          <w:tcPr>
            <w:tcW w:w="918" w:type="dxa"/>
            <w:noWrap w:val="0"/>
            <w:vAlign w:val="center"/>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0" w:type="dxa"/>
            <w:noWrap w:val="0"/>
            <w:vAlign w:val="center"/>
          </w:tcPr>
          <w:p>
            <w:pPr>
              <w:spacing w:line="360" w:lineRule="auto"/>
              <w:jc w:val="center"/>
              <w:rPr>
                <w:rFonts w:hint="eastAsia" w:ascii="仿宋" w:hAnsi="仿宋" w:eastAsia="仿宋" w:cs="仿宋"/>
                <w:bCs/>
                <w:color w:val="auto"/>
                <w:sz w:val="24"/>
                <w:szCs w:val="24"/>
                <w:highlight w:val="none"/>
              </w:rPr>
            </w:pPr>
          </w:p>
        </w:tc>
        <w:tc>
          <w:tcPr>
            <w:tcW w:w="1592" w:type="dxa"/>
            <w:noWrap w:val="0"/>
            <w:vAlign w:val="center"/>
          </w:tcPr>
          <w:p>
            <w:pPr>
              <w:spacing w:line="360" w:lineRule="auto"/>
              <w:rPr>
                <w:rFonts w:hint="eastAsia" w:ascii="仿宋" w:hAnsi="仿宋" w:eastAsia="仿宋" w:cs="仿宋"/>
                <w:bCs/>
                <w:color w:val="auto"/>
                <w:sz w:val="24"/>
                <w:szCs w:val="24"/>
                <w:highlight w:val="none"/>
              </w:rPr>
            </w:pPr>
          </w:p>
        </w:tc>
        <w:tc>
          <w:tcPr>
            <w:tcW w:w="1133" w:type="dxa"/>
            <w:noWrap w:val="0"/>
            <w:vAlign w:val="center"/>
          </w:tcPr>
          <w:p>
            <w:pPr>
              <w:spacing w:line="360" w:lineRule="auto"/>
              <w:rPr>
                <w:rFonts w:hint="eastAsia" w:ascii="仿宋" w:hAnsi="仿宋" w:eastAsia="仿宋" w:cs="仿宋"/>
                <w:bCs/>
                <w:color w:val="auto"/>
                <w:sz w:val="24"/>
                <w:szCs w:val="24"/>
                <w:highlight w:val="none"/>
              </w:rPr>
            </w:pPr>
          </w:p>
        </w:tc>
        <w:tc>
          <w:tcPr>
            <w:tcW w:w="1138" w:type="dxa"/>
            <w:noWrap w:val="0"/>
            <w:vAlign w:val="center"/>
          </w:tcPr>
          <w:p>
            <w:pPr>
              <w:spacing w:line="360" w:lineRule="auto"/>
              <w:rPr>
                <w:rFonts w:hint="eastAsia" w:ascii="仿宋" w:hAnsi="仿宋" w:eastAsia="仿宋" w:cs="仿宋"/>
                <w:bCs/>
                <w:color w:val="auto"/>
                <w:sz w:val="24"/>
                <w:szCs w:val="24"/>
                <w:highlight w:val="none"/>
              </w:rPr>
            </w:pPr>
          </w:p>
        </w:tc>
        <w:tc>
          <w:tcPr>
            <w:tcW w:w="1043" w:type="dxa"/>
            <w:noWrap w:val="0"/>
            <w:vAlign w:val="center"/>
          </w:tcPr>
          <w:p>
            <w:pPr>
              <w:spacing w:line="360" w:lineRule="auto"/>
              <w:rPr>
                <w:rFonts w:hint="eastAsia" w:ascii="仿宋" w:hAnsi="仿宋" w:eastAsia="仿宋" w:cs="仿宋"/>
                <w:bCs/>
                <w:color w:val="auto"/>
                <w:sz w:val="24"/>
                <w:szCs w:val="24"/>
                <w:highlight w:val="none"/>
              </w:rPr>
            </w:pPr>
          </w:p>
        </w:tc>
        <w:tc>
          <w:tcPr>
            <w:tcW w:w="1043" w:type="dxa"/>
            <w:noWrap w:val="0"/>
            <w:vAlign w:val="center"/>
          </w:tcPr>
          <w:p>
            <w:pPr>
              <w:spacing w:line="360" w:lineRule="auto"/>
              <w:rPr>
                <w:rFonts w:hint="eastAsia" w:ascii="仿宋" w:hAnsi="仿宋" w:eastAsia="仿宋" w:cs="仿宋"/>
                <w:bCs/>
                <w:color w:val="auto"/>
                <w:sz w:val="24"/>
                <w:szCs w:val="24"/>
                <w:highlight w:val="none"/>
              </w:rPr>
            </w:pPr>
          </w:p>
        </w:tc>
        <w:tc>
          <w:tcPr>
            <w:tcW w:w="1266" w:type="dxa"/>
            <w:noWrap w:val="0"/>
            <w:vAlign w:val="center"/>
          </w:tcPr>
          <w:p>
            <w:pPr>
              <w:spacing w:line="360" w:lineRule="auto"/>
              <w:rPr>
                <w:rFonts w:hint="eastAsia" w:ascii="仿宋" w:hAnsi="仿宋" w:eastAsia="仿宋" w:cs="仿宋"/>
                <w:bCs/>
                <w:color w:val="auto"/>
                <w:sz w:val="24"/>
                <w:szCs w:val="24"/>
                <w:highlight w:val="none"/>
              </w:rPr>
            </w:pPr>
          </w:p>
        </w:tc>
        <w:tc>
          <w:tcPr>
            <w:tcW w:w="918" w:type="dxa"/>
            <w:noWrap w:val="0"/>
            <w:vAlign w:val="center"/>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29" w:type="dxa"/>
            <w:gridSpan w:val="6"/>
            <w:noWrap w:val="0"/>
            <w:vAlign w:val="center"/>
          </w:tcPr>
          <w:p>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报价合计：</w:t>
            </w:r>
          </w:p>
        </w:tc>
        <w:tc>
          <w:tcPr>
            <w:tcW w:w="1266" w:type="dxa"/>
            <w:noWrap w:val="0"/>
            <w:vAlign w:val="center"/>
          </w:tcPr>
          <w:p>
            <w:pPr>
              <w:spacing w:line="360" w:lineRule="auto"/>
              <w:rPr>
                <w:rFonts w:hint="eastAsia" w:ascii="仿宋" w:hAnsi="仿宋" w:eastAsia="仿宋" w:cs="仿宋"/>
                <w:bCs/>
                <w:color w:val="auto"/>
                <w:sz w:val="24"/>
                <w:szCs w:val="24"/>
                <w:highlight w:val="none"/>
              </w:rPr>
            </w:pPr>
          </w:p>
        </w:tc>
        <w:tc>
          <w:tcPr>
            <w:tcW w:w="918" w:type="dxa"/>
            <w:noWrap w:val="0"/>
            <w:vAlign w:val="center"/>
          </w:tcPr>
          <w:p>
            <w:pPr>
              <w:spacing w:line="360" w:lineRule="auto"/>
              <w:rPr>
                <w:rFonts w:hint="eastAsia" w:ascii="仿宋" w:hAnsi="仿宋" w:eastAsia="仿宋" w:cs="仿宋"/>
                <w:bCs/>
                <w:color w:val="auto"/>
                <w:sz w:val="24"/>
                <w:szCs w:val="24"/>
                <w:highlight w:val="none"/>
              </w:rPr>
            </w:pPr>
          </w:p>
        </w:tc>
      </w:tr>
    </w:tbl>
    <w:p>
      <w:pPr>
        <w:tabs>
          <w:tab w:val="left" w:pos="3405"/>
        </w:tabs>
        <w:spacing w:before="120" w:beforeLines="50" w:line="360" w:lineRule="auto"/>
        <w:ind w:firstLine="6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注：预算工程总价款（人民币）</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元，中标价格</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元，中标下浮率</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4.2.</w:t>
      </w:r>
      <w:r>
        <w:rPr>
          <w:rFonts w:hint="eastAsia" w:ascii="仿宋" w:hAnsi="仿宋" w:eastAsia="仿宋" w:cs="仿宋"/>
          <w:color w:val="auto"/>
          <w:sz w:val="24"/>
          <w:szCs w:val="24"/>
          <w:highlight w:val="none"/>
          <w:lang w:val="en-US" w:eastAsia="zh-CN" w:bidi="ar-SA"/>
        </w:rPr>
        <w:t>4</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付款方式：自合同签订之日起视资金到位情况，发包人向承包人支付工程中标价款的</w:t>
      </w:r>
      <w:r>
        <w:rPr>
          <w:rFonts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color w:val="auto"/>
          <w:sz w:val="24"/>
          <w:szCs w:val="24"/>
          <w:highlight w:val="none"/>
          <w:u w:val="single"/>
          <w:lang w:val="en-US" w:eastAsia="zh-CN" w:bidi="ar-SA"/>
        </w:rPr>
        <w:t>30%</w:t>
      </w:r>
      <w:r>
        <w:rPr>
          <w:rFonts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color w:val="auto"/>
          <w:sz w:val="24"/>
          <w:szCs w:val="24"/>
          <w:highlight w:val="none"/>
          <w:lang w:val="en-US" w:eastAsia="en-US" w:bidi="ar-SA"/>
        </w:rPr>
        <w:t>预付款，即</w:t>
      </w:r>
      <w:r>
        <w:rPr>
          <w:rFonts w:hint="eastAsia" w:ascii="仿宋" w:hAnsi="仿宋" w:eastAsia="仿宋" w:cs="仿宋"/>
          <w:color w:val="auto"/>
          <w:sz w:val="24"/>
          <w:szCs w:val="24"/>
          <w:highlight w:val="none"/>
          <w:u w:val="single"/>
          <w:lang w:val="en-US" w:eastAsia="en-US" w:bidi="ar-SA"/>
        </w:rPr>
        <w:t xml:space="preserve">人民币 </w:t>
      </w:r>
      <w:r>
        <w:rPr>
          <w:rFonts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color w:val="auto"/>
          <w:sz w:val="24"/>
          <w:szCs w:val="24"/>
          <w:highlight w:val="none"/>
          <w:u w:val="single"/>
          <w:lang w:val="en-US" w:eastAsia="en-US" w:bidi="ar-SA"/>
        </w:rPr>
        <w:t xml:space="preserve"> 元（大写：</w:t>
      </w:r>
      <w:r>
        <w:rPr>
          <w:rFonts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color w:val="auto"/>
          <w:sz w:val="24"/>
          <w:szCs w:val="24"/>
          <w:highlight w:val="none"/>
          <w:lang w:val="en-US" w:eastAsia="en-US" w:bidi="ar-SA"/>
        </w:rPr>
        <w:t>当承包人在排查</w:t>
      </w:r>
      <w:r>
        <w:rPr>
          <w:rFonts w:ascii="仿宋" w:hAnsi="仿宋" w:eastAsia="仿宋" w:cs="仿宋"/>
          <w:color w:val="auto"/>
          <w:sz w:val="24"/>
          <w:szCs w:val="24"/>
          <w:highlight w:val="none"/>
          <w:lang w:val="en-US" w:eastAsia="en-US" w:bidi="ar-SA"/>
        </w:rPr>
        <w:t>工期内</w:t>
      </w:r>
      <w:r>
        <w:rPr>
          <w:rFonts w:hint="eastAsia" w:ascii="仿宋" w:hAnsi="仿宋" w:eastAsia="仿宋" w:cs="仿宋"/>
          <w:color w:val="auto"/>
          <w:sz w:val="24"/>
          <w:szCs w:val="24"/>
          <w:highlight w:val="none"/>
          <w:lang w:val="en-US" w:eastAsia="en-US" w:bidi="ar-SA"/>
        </w:rPr>
        <w:t>完成全部</w:t>
      </w:r>
      <w:r>
        <w:rPr>
          <w:rFonts w:hint="eastAsia" w:ascii="仿宋" w:hAnsi="仿宋" w:eastAsia="仿宋" w:cs="仿宋"/>
          <w:color w:val="auto"/>
          <w:sz w:val="24"/>
          <w:szCs w:val="24"/>
          <w:highlight w:val="none"/>
          <w:lang w:val="en-US" w:eastAsia="zh-CN" w:bidi="ar-SA"/>
        </w:rPr>
        <w:t>排查</w:t>
      </w:r>
      <w:r>
        <w:rPr>
          <w:rFonts w:ascii="仿宋" w:hAnsi="仿宋" w:eastAsia="仿宋" w:cs="仿宋"/>
          <w:color w:val="auto"/>
          <w:sz w:val="24"/>
          <w:szCs w:val="24"/>
          <w:highlight w:val="none"/>
          <w:lang w:val="en-US" w:eastAsia="en-US" w:bidi="ar-SA"/>
        </w:rPr>
        <w:t>任务</w:t>
      </w:r>
      <w:r>
        <w:rPr>
          <w:rFonts w:hint="eastAsia" w:ascii="仿宋" w:hAnsi="仿宋" w:eastAsia="仿宋" w:cs="仿宋"/>
          <w:color w:val="auto"/>
          <w:sz w:val="24"/>
          <w:szCs w:val="24"/>
          <w:highlight w:val="none"/>
          <w:lang w:val="en-US" w:eastAsia="en-US" w:bidi="ar-SA"/>
        </w:rPr>
        <w:t>，</w:t>
      </w:r>
      <w:r>
        <w:rPr>
          <w:rFonts w:hint="eastAsia" w:ascii="仿宋" w:hAnsi="仿宋" w:eastAsia="仿宋" w:cs="仿宋"/>
          <w:color w:val="auto"/>
          <w:sz w:val="24"/>
          <w:szCs w:val="24"/>
          <w:highlight w:val="none"/>
          <w:lang w:val="en-US" w:eastAsia="zh-CN" w:bidi="ar-SA"/>
        </w:rPr>
        <w:t>并提交排查初步成果，</w:t>
      </w:r>
      <w:r>
        <w:rPr>
          <w:rFonts w:hint="eastAsia" w:ascii="仿宋" w:hAnsi="仿宋" w:eastAsia="仿宋" w:cs="仿宋"/>
          <w:color w:val="auto"/>
          <w:sz w:val="24"/>
          <w:szCs w:val="24"/>
          <w:highlight w:val="none"/>
          <w:lang w:val="en-US" w:eastAsia="en-US" w:bidi="ar-SA"/>
        </w:rPr>
        <w:t>发包人向承包人支付中标价款的</w:t>
      </w:r>
      <w:r>
        <w:rPr>
          <w:rFonts w:hint="eastAsia" w:ascii="仿宋" w:hAnsi="仿宋" w:eastAsia="仿宋" w:cs="仿宋"/>
          <w:color w:val="auto"/>
          <w:sz w:val="24"/>
          <w:szCs w:val="24"/>
          <w:highlight w:val="none"/>
          <w:lang w:val="en-US" w:eastAsia="zh-CN" w:bidi="ar-SA"/>
        </w:rPr>
        <w:t>20</w:t>
      </w:r>
      <w:r>
        <w:rPr>
          <w:rFonts w:hint="eastAsia" w:ascii="仿宋" w:hAnsi="仿宋" w:eastAsia="仿宋" w:cs="仿宋"/>
          <w:color w:val="auto"/>
          <w:sz w:val="24"/>
          <w:szCs w:val="24"/>
          <w:highlight w:val="none"/>
          <w:lang w:val="en-US" w:eastAsia="en-US" w:bidi="ar-SA"/>
        </w:rPr>
        <w:t>%，即</w:t>
      </w:r>
      <w:r>
        <w:rPr>
          <w:rFonts w:hint="eastAsia" w:ascii="仿宋" w:hAnsi="仿宋" w:eastAsia="仿宋" w:cs="仿宋"/>
          <w:color w:val="auto"/>
          <w:sz w:val="24"/>
          <w:szCs w:val="24"/>
          <w:highlight w:val="none"/>
          <w:u w:val="single"/>
          <w:lang w:val="en-US" w:eastAsia="en-US" w:bidi="ar-SA"/>
        </w:rPr>
        <w:t xml:space="preserve">人民币    元（大写： </w:t>
      </w:r>
      <w:r>
        <w:rPr>
          <w:rFonts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bCs/>
          <w:color w:val="auto"/>
          <w:spacing w:val="-2"/>
          <w:sz w:val="24"/>
          <w:szCs w:val="24"/>
          <w:highlight w:val="none"/>
          <w:lang w:val="en-US" w:eastAsia="zh-CN" w:bidi="ar-SA"/>
        </w:rPr>
        <w:t>，排查成果经评审合格，并完成修订提交最终成果后，</w:t>
      </w:r>
      <w:r>
        <w:rPr>
          <w:rFonts w:hint="eastAsia" w:ascii="仿宋" w:hAnsi="仿宋" w:eastAsia="仿宋" w:cs="仿宋"/>
          <w:color w:val="auto"/>
          <w:sz w:val="24"/>
          <w:szCs w:val="24"/>
          <w:highlight w:val="none"/>
          <w:lang w:val="en-US" w:eastAsia="en-US" w:bidi="ar-SA"/>
        </w:rPr>
        <w:t>发包人向承包人支付中标价款的</w:t>
      </w: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val="en-US" w:eastAsia="en-US" w:bidi="ar-SA"/>
        </w:rPr>
        <w:t>%，即</w:t>
      </w:r>
      <w:r>
        <w:rPr>
          <w:rFonts w:hint="eastAsia" w:ascii="仿宋" w:hAnsi="仿宋" w:eastAsia="仿宋" w:cs="仿宋"/>
          <w:color w:val="auto"/>
          <w:sz w:val="24"/>
          <w:szCs w:val="24"/>
          <w:highlight w:val="none"/>
          <w:u w:val="single"/>
          <w:lang w:val="en-US" w:eastAsia="en-US" w:bidi="ar-SA"/>
        </w:rPr>
        <w:t xml:space="preserve">人民币    元（大写： </w:t>
      </w:r>
      <w:r>
        <w:rPr>
          <w:rFonts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bCs/>
          <w:color w:val="auto"/>
          <w:spacing w:val="-2"/>
          <w:sz w:val="24"/>
          <w:szCs w:val="24"/>
          <w:highlight w:val="none"/>
          <w:lang w:val="en-US" w:eastAsia="zh-CN" w:bidi="ar-SA"/>
        </w:rPr>
        <w:t>，</w:t>
      </w:r>
      <w:r>
        <w:rPr>
          <w:rFonts w:hint="eastAsia" w:ascii="仿宋" w:hAnsi="仿宋" w:eastAsia="仿宋" w:cs="仿宋"/>
          <w:bCs/>
          <w:color w:val="auto"/>
          <w:spacing w:val="-2"/>
          <w:sz w:val="24"/>
          <w:szCs w:val="24"/>
          <w:highlight w:val="none"/>
          <w:lang w:val="en-US" w:eastAsia="en-US" w:bidi="ar-SA"/>
        </w:rPr>
        <w:t>后续服务期满，</w:t>
      </w:r>
      <w:r>
        <w:rPr>
          <w:rFonts w:hint="eastAsia" w:ascii="仿宋" w:hAnsi="仿宋" w:eastAsia="仿宋" w:cs="仿宋"/>
          <w:bCs/>
          <w:color w:val="auto"/>
          <w:spacing w:val="-2"/>
          <w:sz w:val="24"/>
          <w:szCs w:val="24"/>
          <w:highlight w:val="none"/>
          <w:lang w:val="en-US" w:eastAsia="zh-CN" w:bidi="ar-SA"/>
        </w:rPr>
        <w:t>半年内</w:t>
      </w:r>
      <w:r>
        <w:rPr>
          <w:rFonts w:hint="eastAsia" w:ascii="仿宋" w:hAnsi="仿宋" w:eastAsia="仿宋" w:cs="仿宋"/>
          <w:bCs/>
          <w:color w:val="auto"/>
          <w:spacing w:val="-2"/>
          <w:sz w:val="24"/>
          <w:szCs w:val="24"/>
          <w:highlight w:val="none"/>
          <w:lang w:val="en-US" w:eastAsia="en-US" w:bidi="ar-SA"/>
        </w:rPr>
        <w:t>未</w:t>
      </w:r>
      <w:r>
        <w:rPr>
          <w:rFonts w:ascii="仿宋" w:hAnsi="仿宋" w:eastAsia="仿宋" w:cs="仿宋"/>
          <w:bCs/>
          <w:color w:val="auto"/>
          <w:spacing w:val="-2"/>
          <w:sz w:val="24"/>
          <w:szCs w:val="24"/>
          <w:highlight w:val="none"/>
          <w:lang w:val="en-US" w:eastAsia="en-US" w:bidi="ar-SA"/>
        </w:rPr>
        <w:t>发现</w:t>
      </w:r>
      <w:r>
        <w:rPr>
          <w:rFonts w:hint="eastAsia" w:ascii="仿宋" w:hAnsi="仿宋" w:eastAsia="仿宋" w:cs="仿宋"/>
          <w:color w:val="auto"/>
          <w:sz w:val="24"/>
          <w:szCs w:val="24"/>
          <w:highlight w:val="none"/>
          <w:lang w:val="en-US" w:eastAsia="en-US" w:bidi="ar-SA"/>
        </w:rPr>
        <w:t>排查检测问题</w:t>
      </w:r>
      <w:r>
        <w:rPr>
          <w:rFonts w:ascii="仿宋" w:hAnsi="仿宋" w:eastAsia="仿宋" w:cs="仿宋"/>
          <w:color w:val="auto"/>
          <w:sz w:val="24"/>
          <w:szCs w:val="24"/>
          <w:highlight w:val="none"/>
          <w:lang w:val="en-US" w:eastAsia="en-US" w:bidi="ar-SA"/>
        </w:rPr>
        <w:t>，</w:t>
      </w:r>
      <w:r>
        <w:rPr>
          <w:rFonts w:hint="eastAsia" w:ascii="仿宋" w:hAnsi="仿宋" w:eastAsia="仿宋" w:cs="仿宋"/>
          <w:color w:val="auto"/>
          <w:sz w:val="24"/>
          <w:szCs w:val="24"/>
          <w:highlight w:val="none"/>
          <w:lang w:val="en-US" w:eastAsia="en-US" w:bidi="ar-SA"/>
        </w:rPr>
        <w:t>承包人1</w:t>
      </w:r>
      <w:r>
        <w:rPr>
          <w:rFonts w:ascii="仿宋" w:hAnsi="仿宋" w:eastAsia="仿宋" w:cs="仿宋"/>
          <w:color w:val="auto"/>
          <w:sz w:val="24"/>
          <w:szCs w:val="24"/>
          <w:highlight w:val="none"/>
          <w:lang w:val="en-US" w:eastAsia="en-US" w:bidi="ar-SA"/>
        </w:rPr>
        <w:t>5</w:t>
      </w:r>
      <w:r>
        <w:rPr>
          <w:rFonts w:hint="eastAsia" w:ascii="仿宋" w:hAnsi="仿宋" w:eastAsia="仿宋" w:cs="仿宋"/>
          <w:color w:val="auto"/>
          <w:sz w:val="24"/>
          <w:szCs w:val="24"/>
          <w:highlight w:val="none"/>
          <w:lang w:val="en-US" w:eastAsia="en-US" w:bidi="ar-SA"/>
        </w:rPr>
        <w:t>日内，编制工程结算书，经发包人、承包人双方共同审定后，作为工程价款结算依据；甲方应根据工程结算结果，在7日内向乙方全部结清工程价款。</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bCs w:val="0"/>
          <w:color w:val="auto"/>
          <w:sz w:val="24"/>
          <w:szCs w:val="24"/>
          <w:highlight w:val="none"/>
          <w:lang w:val="en-US" w:eastAsia="zh-CN" w:bidi="ar-SA"/>
        </w:rPr>
        <w:t>发包人</w:t>
      </w:r>
      <w:r>
        <w:rPr>
          <w:rFonts w:hint="eastAsia" w:ascii="仿宋" w:hAnsi="仿宋" w:eastAsia="仿宋" w:cs="仿宋"/>
          <w:bCs w:val="0"/>
          <w:color w:val="auto"/>
          <w:sz w:val="24"/>
          <w:szCs w:val="24"/>
          <w:highlight w:val="none"/>
          <w:lang w:val="en-US" w:eastAsia="en-US" w:bidi="ar-SA"/>
        </w:rPr>
        <w:t>支付每笔款项前，</w:t>
      </w:r>
      <w:r>
        <w:rPr>
          <w:rFonts w:hint="eastAsia" w:ascii="仿宋" w:hAnsi="仿宋" w:eastAsia="仿宋" w:cs="仿宋"/>
          <w:bCs w:val="0"/>
          <w:color w:val="auto"/>
          <w:sz w:val="24"/>
          <w:szCs w:val="24"/>
          <w:highlight w:val="none"/>
          <w:lang w:val="en-US" w:eastAsia="zh-CN" w:bidi="ar-SA"/>
        </w:rPr>
        <w:t>承包人</w:t>
      </w:r>
      <w:r>
        <w:rPr>
          <w:rFonts w:hint="eastAsia" w:ascii="仿宋" w:hAnsi="仿宋" w:eastAsia="仿宋" w:cs="仿宋"/>
          <w:bCs w:val="0"/>
          <w:color w:val="auto"/>
          <w:sz w:val="24"/>
          <w:szCs w:val="24"/>
          <w:highlight w:val="none"/>
          <w:lang w:val="en-US" w:eastAsia="en-US" w:bidi="ar-SA"/>
        </w:rPr>
        <w:t>须提供相应合法的</w:t>
      </w:r>
      <w:r>
        <w:rPr>
          <w:rFonts w:hint="eastAsia" w:ascii="仿宋" w:hAnsi="仿宋" w:eastAsia="仿宋" w:cs="仿宋"/>
          <w:color w:val="auto"/>
          <w:sz w:val="24"/>
          <w:szCs w:val="24"/>
          <w:highlight w:val="none"/>
          <w:lang w:val="en-US" w:eastAsia="en-US" w:bidi="ar-SA"/>
        </w:rPr>
        <w:t>增值税发票</w:t>
      </w:r>
      <w:r>
        <w:rPr>
          <w:rFonts w:hint="eastAsia" w:ascii="仿宋" w:hAnsi="仿宋" w:eastAsia="仿宋" w:cs="仿宋"/>
          <w:bCs w:val="0"/>
          <w:color w:val="auto"/>
          <w:sz w:val="24"/>
          <w:szCs w:val="24"/>
          <w:highlight w:val="none"/>
          <w:lang w:val="en-US" w:eastAsia="en-US" w:bidi="ar-SA"/>
        </w:rPr>
        <w:t>，否则</w:t>
      </w:r>
      <w:r>
        <w:rPr>
          <w:rFonts w:hint="eastAsia" w:ascii="仿宋" w:hAnsi="仿宋" w:eastAsia="仿宋" w:cs="仿宋"/>
          <w:bCs w:val="0"/>
          <w:color w:val="auto"/>
          <w:sz w:val="24"/>
          <w:szCs w:val="24"/>
          <w:highlight w:val="none"/>
          <w:lang w:val="en-US" w:eastAsia="zh-CN" w:bidi="ar-SA"/>
        </w:rPr>
        <w:t>发包人</w:t>
      </w:r>
      <w:r>
        <w:rPr>
          <w:rFonts w:hint="eastAsia" w:ascii="仿宋" w:hAnsi="仿宋" w:eastAsia="仿宋" w:cs="仿宋"/>
          <w:bCs w:val="0"/>
          <w:color w:val="auto"/>
          <w:sz w:val="24"/>
          <w:szCs w:val="24"/>
          <w:highlight w:val="none"/>
          <w:lang w:val="en-US" w:eastAsia="en-US" w:bidi="ar-SA"/>
        </w:rPr>
        <w:t>有权延期付款，</w:t>
      </w:r>
      <w:r>
        <w:rPr>
          <w:rFonts w:hint="eastAsia" w:ascii="仿宋" w:hAnsi="仿宋" w:eastAsia="仿宋" w:cs="仿宋"/>
          <w:bCs w:val="0"/>
          <w:color w:val="auto"/>
          <w:sz w:val="24"/>
          <w:szCs w:val="24"/>
          <w:highlight w:val="none"/>
          <w:lang w:val="en-US" w:eastAsia="en-US"/>
        </w:rPr>
        <w:t>同时发包人</w:t>
      </w:r>
      <w:r>
        <w:rPr>
          <w:rFonts w:hint="eastAsia" w:ascii="仿宋" w:hAnsi="仿宋" w:eastAsia="仿宋" w:cs="仿宋"/>
          <w:color w:val="auto"/>
          <w:sz w:val="24"/>
          <w:szCs w:val="24"/>
          <w:highlight w:val="none"/>
          <w:lang w:val="en-US" w:eastAsia="en-US"/>
        </w:rPr>
        <w:t>出现财务审批延误或政府封账等特殊情况无法及时支付费用的，付款可顺延，不视为甲方违约，</w:t>
      </w:r>
      <w:r>
        <w:rPr>
          <w:rFonts w:hint="eastAsia" w:ascii="仿宋" w:hAnsi="仿宋" w:eastAsia="仿宋" w:cs="仿宋"/>
          <w:bCs w:val="0"/>
          <w:color w:val="auto"/>
          <w:sz w:val="24"/>
          <w:szCs w:val="24"/>
          <w:highlight w:val="none"/>
          <w:lang w:val="en-US" w:eastAsia="en-US" w:bidi="ar-SA"/>
        </w:rPr>
        <w:t>由此造成的损失由</w:t>
      </w:r>
      <w:r>
        <w:rPr>
          <w:rFonts w:hint="eastAsia" w:ascii="仿宋" w:hAnsi="仿宋" w:eastAsia="仿宋" w:cs="仿宋"/>
          <w:bCs w:val="0"/>
          <w:color w:val="auto"/>
          <w:sz w:val="24"/>
          <w:szCs w:val="24"/>
          <w:highlight w:val="none"/>
          <w:lang w:val="en-US" w:eastAsia="zh-CN" w:bidi="ar-SA"/>
        </w:rPr>
        <w:t>承包人</w:t>
      </w:r>
      <w:r>
        <w:rPr>
          <w:rFonts w:hint="eastAsia" w:ascii="仿宋" w:hAnsi="仿宋" w:eastAsia="仿宋" w:cs="仿宋"/>
          <w:bCs w:val="0"/>
          <w:color w:val="auto"/>
          <w:sz w:val="24"/>
          <w:szCs w:val="24"/>
          <w:highlight w:val="none"/>
          <w:lang w:val="en-US" w:eastAsia="en-US" w:bidi="ar-SA"/>
        </w:rPr>
        <w:t>承担。</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 xml:space="preserve">第五条 </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发包人、承包人责任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5．1</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发包人责任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5.1.1</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发包人委托任务时，必须以书面形式向承包人明确任务及技术要求，并按第二条规定提供文件资料。</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5.1.2</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为承包人的工作提供必要的生产、生活条件。</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5.1.3</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由于发包人原因造成承包人停、窝工时，工期相应顺延。发包人若要求在</w:t>
      </w:r>
      <w:r>
        <w:rPr>
          <w:rFonts w:hint="eastAsia" w:ascii="仿宋" w:hAnsi="仿宋" w:eastAsia="仿宋" w:cs="仿宋"/>
          <w:color w:val="auto"/>
          <w:sz w:val="24"/>
          <w:szCs w:val="24"/>
          <w:highlight w:val="none"/>
          <w:lang w:val="en-US" w:eastAsia="zh-CN" w:bidi="ar-SA"/>
        </w:rPr>
        <w:t>合同约定</w:t>
      </w:r>
      <w:r>
        <w:rPr>
          <w:rFonts w:hint="eastAsia" w:ascii="仿宋" w:hAnsi="仿宋" w:eastAsia="仿宋" w:cs="仿宋"/>
          <w:color w:val="auto"/>
          <w:sz w:val="24"/>
          <w:szCs w:val="24"/>
          <w:highlight w:val="none"/>
          <w:lang w:val="en-US" w:eastAsia="en-US" w:bidi="ar-SA"/>
        </w:rPr>
        <w:t>时间内提前完工（或提交排查检测成果资料）时，发包人应按每提前一天向承包人支付</w:t>
      </w:r>
      <w:r>
        <w:rPr>
          <w:rFonts w:hint="eastAsia" w:ascii="仿宋" w:hAnsi="仿宋" w:eastAsia="仿宋" w:cs="仿宋"/>
          <w:color w:val="auto"/>
          <w:sz w:val="24"/>
          <w:szCs w:val="24"/>
          <w:highlight w:val="none"/>
          <w:u w:val="single"/>
          <w:lang w:val="en-US" w:eastAsia="en-US" w:bidi="ar-SA"/>
        </w:rPr>
        <w:t xml:space="preserve"> ／</w:t>
      </w:r>
      <w:r>
        <w:rPr>
          <w:rFonts w:hint="eastAsia" w:ascii="仿宋" w:hAnsi="仿宋" w:eastAsia="仿宋" w:cs="仿宋"/>
          <w:color w:val="auto"/>
          <w:sz w:val="24"/>
          <w:szCs w:val="24"/>
          <w:highlight w:val="none"/>
          <w:lang w:val="en-US" w:eastAsia="en-US" w:bidi="ar-SA"/>
        </w:rPr>
        <w:t>元计算加班费。</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5.1.4</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排查检测过程中的任何变更，经办理正式变更手续后，发包人应按实际发生的工作量支付排查检测费。</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5.1.5</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对于承包人提供的图纸等资料以及属于承包人的排查检测成果，发包人有义务保密，不得向第三方提供或用于本合同以外的项目，否则承包人有权对因此造成的损失追究责任。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5.1.6</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本合同有关条款规定和补充协议中发包人应负的其它责任。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5.2</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承包人责任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5.2.1</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承包人应按国家技术规范、标准和发包人的任务委托书及技术要求进行工程排查检测，按本</w:t>
      </w:r>
      <w:r>
        <w:rPr>
          <w:rFonts w:hint="eastAsia" w:ascii="仿宋" w:hAnsi="仿宋" w:eastAsia="仿宋" w:cs="仿宋"/>
          <w:color w:val="auto"/>
          <w:sz w:val="24"/>
          <w:szCs w:val="24"/>
          <w:highlight w:val="none"/>
          <w:lang w:val="en-US" w:eastAsia="zh-CN" w:bidi="ar-SA"/>
        </w:rPr>
        <w:t>合同约定</w:t>
      </w:r>
      <w:r>
        <w:rPr>
          <w:rFonts w:hint="eastAsia" w:ascii="仿宋" w:hAnsi="仿宋" w:eastAsia="仿宋" w:cs="仿宋"/>
          <w:color w:val="auto"/>
          <w:sz w:val="24"/>
          <w:szCs w:val="24"/>
          <w:highlight w:val="none"/>
          <w:lang w:val="en-US" w:eastAsia="en-US" w:bidi="ar-SA"/>
        </w:rPr>
        <w:t>的时间提交质量合格的排查检测成果资料，并对其负责。</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5.2.2</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由于承包人提供的排查检测成果资料质量不合格，承包人应负责无偿给予补充完善使其达到质量合格；若承包人无力补充完善，需另委托其他单位且经发包人同意时，承包人应承担全部排查检测费用。</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5.2.3</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在现场工作的承包人的人员，应遵守发包人的安全保卫及其它有关的规章制度。</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5.2.4</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对于发包人提供的图纸和技术资料以及属于发包人的排查检测成果，承包人有义务保密，不得向第三方转让，否则，发包人有权对因此造成的损失追究责任。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5.2.5 本合同有关条款规定和补充协议中承包人应负的其它责任。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 xml:space="preserve">第六条 </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违约责任</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6.1</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由于发包人未给承包人提供必要的工作条件而造成停、窝工或来回进出场地，工期按实际工日顺延。</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en-US" w:bidi="ar-SA"/>
        </w:rPr>
        <w:t>6.2</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由于承包人原因造成排查检测成果资料质量不合格不能满足技术要求时，其返工排查检测费用由承包人承担。造成发包人损失的应由承包人承担。对于</w:t>
      </w:r>
      <w:r>
        <w:rPr>
          <w:rFonts w:hint="eastAsia" w:ascii="仿宋" w:hAnsi="仿宋" w:eastAsia="仿宋" w:cs="仿宋"/>
          <w:color w:val="auto"/>
          <w:sz w:val="24"/>
          <w:szCs w:val="24"/>
          <w:highlight w:val="none"/>
          <w:lang w:val="en-US" w:eastAsia="zh-CN" w:bidi="ar-SA"/>
        </w:rPr>
        <w:t>发包人</w:t>
      </w:r>
      <w:r>
        <w:rPr>
          <w:rFonts w:hint="eastAsia" w:ascii="仿宋" w:hAnsi="仿宋" w:eastAsia="仿宋" w:cs="仿宋"/>
          <w:color w:val="auto"/>
          <w:sz w:val="24"/>
          <w:szCs w:val="24"/>
          <w:highlight w:val="none"/>
          <w:lang w:val="en-US" w:eastAsia="en-US" w:bidi="ar-SA"/>
        </w:rPr>
        <w:t>及专家会议提出的意见，</w:t>
      </w:r>
      <w:r>
        <w:rPr>
          <w:rFonts w:hint="eastAsia" w:ascii="仿宋" w:hAnsi="仿宋" w:eastAsia="仿宋" w:cs="仿宋"/>
          <w:color w:val="auto"/>
          <w:sz w:val="24"/>
          <w:szCs w:val="24"/>
          <w:highlight w:val="none"/>
          <w:lang w:val="en-US" w:eastAsia="zh-CN" w:bidi="ar-SA"/>
        </w:rPr>
        <w:t>承包人</w:t>
      </w:r>
      <w:r>
        <w:rPr>
          <w:rFonts w:hint="eastAsia" w:ascii="仿宋" w:hAnsi="仿宋" w:eastAsia="仿宋" w:cs="仿宋"/>
          <w:color w:val="auto"/>
          <w:sz w:val="24"/>
          <w:szCs w:val="24"/>
          <w:highlight w:val="none"/>
          <w:lang w:val="en-US" w:eastAsia="en-US" w:bidi="ar-SA"/>
        </w:rPr>
        <w:t>应在规定时限内修改、补充与完善,如</w:t>
      </w:r>
      <w:r>
        <w:rPr>
          <w:rFonts w:hint="eastAsia" w:ascii="仿宋" w:hAnsi="仿宋" w:eastAsia="仿宋" w:cs="仿宋"/>
          <w:color w:val="auto"/>
          <w:sz w:val="24"/>
          <w:szCs w:val="24"/>
          <w:highlight w:val="none"/>
          <w:lang w:val="en-US" w:eastAsia="zh-CN" w:bidi="ar-SA"/>
        </w:rPr>
        <w:t>承包人</w:t>
      </w:r>
      <w:r>
        <w:rPr>
          <w:rFonts w:hint="eastAsia" w:ascii="仿宋" w:hAnsi="仿宋" w:eastAsia="仿宋" w:cs="仿宋"/>
          <w:color w:val="auto"/>
          <w:sz w:val="24"/>
          <w:szCs w:val="24"/>
          <w:highlight w:val="none"/>
          <w:lang w:val="en-US" w:eastAsia="en-US" w:bidi="ar-SA"/>
        </w:rPr>
        <w:t>拒绝修改或贰次修改未满足要求或未通过专家评审的，</w:t>
      </w:r>
      <w:r>
        <w:rPr>
          <w:rFonts w:hint="eastAsia" w:ascii="仿宋" w:hAnsi="仿宋" w:eastAsia="仿宋" w:cs="仿宋"/>
          <w:color w:val="auto"/>
          <w:sz w:val="24"/>
          <w:szCs w:val="24"/>
          <w:highlight w:val="none"/>
          <w:lang w:val="en-US" w:eastAsia="zh-CN" w:bidi="ar-SA"/>
        </w:rPr>
        <w:t>发包人</w:t>
      </w:r>
      <w:r>
        <w:rPr>
          <w:rFonts w:hint="eastAsia" w:ascii="仿宋" w:hAnsi="仿宋" w:eastAsia="仿宋" w:cs="仿宋"/>
          <w:color w:val="auto"/>
          <w:sz w:val="24"/>
          <w:szCs w:val="24"/>
          <w:highlight w:val="none"/>
          <w:lang w:val="en-US" w:eastAsia="en-US" w:bidi="ar-SA"/>
        </w:rPr>
        <w:t>有权解除合同，</w:t>
      </w:r>
      <w:r>
        <w:rPr>
          <w:rFonts w:hint="eastAsia" w:ascii="仿宋" w:hAnsi="仿宋" w:eastAsia="仿宋" w:cs="仿宋"/>
          <w:color w:val="auto"/>
          <w:sz w:val="24"/>
          <w:szCs w:val="24"/>
          <w:highlight w:val="none"/>
          <w:lang w:val="en-US" w:eastAsia="zh-CN" w:bidi="ar-SA"/>
        </w:rPr>
        <w:t>并</w:t>
      </w:r>
      <w:r>
        <w:rPr>
          <w:rFonts w:hint="eastAsia" w:ascii="仿宋" w:hAnsi="仿宋" w:eastAsia="仿宋" w:cs="仿宋"/>
          <w:color w:val="auto"/>
          <w:sz w:val="24"/>
          <w:szCs w:val="24"/>
          <w:highlight w:val="none"/>
          <w:lang w:val="en-US" w:eastAsia="en-US" w:bidi="ar-SA"/>
        </w:rPr>
        <w:t>按承包人完成有效</w:t>
      </w:r>
      <w:r>
        <w:rPr>
          <w:rFonts w:ascii="仿宋" w:hAnsi="仿宋" w:eastAsia="仿宋" w:cs="仿宋"/>
          <w:color w:val="auto"/>
          <w:sz w:val="24"/>
          <w:szCs w:val="24"/>
          <w:highlight w:val="none"/>
          <w:lang w:val="en-US" w:eastAsia="en-US" w:bidi="ar-SA"/>
        </w:rPr>
        <w:t>检测</w:t>
      </w:r>
      <w:r>
        <w:rPr>
          <w:rFonts w:hint="eastAsia" w:ascii="仿宋" w:hAnsi="仿宋" w:eastAsia="仿宋" w:cs="仿宋"/>
          <w:color w:val="auto"/>
          <w:sz w:val="24"/>
          <w:szCs w:val="24"/>
          <w:highlight w:val="none"/>
          <w:lang w:val="en-US" w:eastAsia="en-US" w:bidi="ar-SA"/>
        </w:rPr>
        <w:t>工作量的50%支付排查检测费,若</w:t>
      </w:r>
      <w:r>
        <w:rPr>
          <w:rFonts w:hint="eastAsia" w:ascii="仿宋" w:hAnsi="仿宋" w:eastAsia="仿宋" w:cs="仿宋"/>
          <w:color w:val="auto"/>
          <w:sz w:val="24"/>
          <w:szCs w:val="24"/>
          <w:highlight w:val="none"/>
          <w:lang w:val="en-US" w:eastAsia="zh-CN" w:bidi="ar-SA"/>
        </w:rPr>
        <w:t>发包人</w:t>
      </w:r>
      <w:r>
        <w:rPr>
          <w:rFonts w:hint="eastAsia" w:ascii="仿宋" w:hAnsi="仿宋" w:eastAsia="仿宋" w:cs="仿宋"/>
          <w:color w:val="auto"/>
          <w:sz w:val="24"/>
          <w:szCs w:val="24"/>
          <w:highlight w:val="none"/>
          <w:lang w:val="en-US" w:eastAsia="en-US" w:bidi="ar-SA"/>
        </w:rPr>
        <w:t>已</w:t>
      </w:r>
      <w:r>
        <w:rPr>
          <w:rFonts w:hint="eastAsia" w:ascii="仿宋" w:hAnsi="仿宋" w:eastAsia="仿宋" w:cs="仿宋"/>
          <w:color w:val="auto"/>
          <w:sz w:val="24"/>
          <w:szCs w:val="24"/>
          <w:highlight w:val="none"/>
          <w:lang w:val="en-US" w:eastAsia="zh-CN" w:bidi="ar-SA"/>
        </w:rPr>
        <w:t>按约</w:t>
      </w:r>
      <w:r>
        <w:rPr>
          <w:rFonts w:hint="eastAsia" w:ascii="仿宋" w:hAnsi="仿宋" w:eastAsia="仿宋" w:cs="仿宋"/>
          <w:color w:val="auto"/>
          <w:sz w:val="24"/>
          <w:szCs w:val="24"/>
          <w:highlight w:val="none"/>
          <w:lang w:val="en-US" w:eastAsia="en-US" w:bidi="ar-SA"/>
        </w:rPr>
        <w:t>支付</w:t>
      </w:r>
      <w:r>
        <w:rPr>
          <w:rFonts w:hint="eastAsia" w:ascii="仿宋" w:hAnsi="仿宋" w:eastAsia="仿宋" w:cs="仿宋"/>
          <w:color w:val="auto"/>
          <w:sz w:val="24"/>
          <w:szCs w:val="24"/>
          <w:highlight w:val="none"/>
          <w:lang w:val="en-US" w:eastAsia="zh-CN" w:bidi="ar-SA"/>
        </w:rPr>
        <w:t>预付款的</w:t>
      </w:r>
      <w:r>
        <w:rPr>
          <w:rFonts w:hint="eastAsia" w:ascii="仿宋" w:hAnsi="仿宋" w:eastAsia="仿宋" w:cs="仿宋"/>
          <w:color w:val="auto"/>
          <w:sz w:val="24"/>
          <w:szCs w:val="24"/>
          <w:highlight w:val="none"/>
          <w:lang w:val="en-US" w:eastAsia="en-US" w:bidi="ar-SA"/>
        </w:rPr>
        <w:t>，从已支付费用中扣除后剩余的费用</w:t>
      </w:r>
      <w:r>
        <w:rPr>
          <w:rFonts w:hint="eastAsia" w:ascii="仿宋" w:hAnsi="仿宋" w:eastAsia="仿宋" w:cs="仿宋"/>
          <w:color w:val="auto"/>
          <w:sz w:val="24"/>
          <w:szCs w:val="24"/>
          <w:highlight w:val="none"/>
          <w:lang w:val="en-US" w:eastAsia="zh-CN" w:bidi="ar-SA"/>
        </w:rPr>
        <w:t>承包人</w:t>
      </w:r>
      <w:r>
        <w:rPr>
          <w:rFonts w:hint="eastAsia" w:ascii="仿宋" w:hAnsi="仿宋" w:eastAsia="仿宋" w:cs="仿宋"/>
          <w:color w:val="auto"/>
          <w:sz w:val="24"/>
          <w:szCs w:val="24"/>
          <w:highlight w:val="none"/>
          <w:lang w:val="en-US" w:eastAsia="en-US" w:bidi="ar-SA"/>
        </w:rPr>
        <w:t>应予以退还</w:t>
      </w:r>
      <w:r>
        <w:rPr>
          <w:rFonts w:hint="eastAsia" w:ascii="仿宋" w:hAnsi="仿宋" w:eastAsia="仿宋" w:cs="仿宋"/>
          <w:color w:val="auto"/>
          <w:sz w:val="24"/>
          <w:szCs w:val="24"/>
          <w:highlight w:val="none"/>
          <w:lang w:val="en-US" w:eastAsia="zh-CN" w:bidi="ar-SA"/>
        </w:rPr>
        <w:t>。</w:t>
      </w:r>
    </w:p>
    <w:p>
      <w:pPr>
        <w:widowControl w:val="0"/>
        <w:autoSpaceDE w:val="0"/>
        <w:autoSpaceDN w:val="0"/>
        <w:adjustRightInd w:val="0"/>
        <w:spacing w:line="360" w:lineRule="auto"/>
        <w:ind w:firstLine="480" w:firstLineChars="200"/>
        <w:rPr>
          <w:rFonts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6.3</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合同履行期间，</w:t>
      </w:r>
      <w:r>
        <w:rPr>
          <w:rFonts w:hint="eastAsia" w:ascii="仿宋" w:hAnsi="仿宋" w:eastAsia="仿宋" w:cs="仿宋"/>
          <w:color w:val="auto"/>
          <w:sz w:val="24"/>
          <w:szCs w:val="24"/>
          <w:highlight w:val="none"/>
          <w:lang w:val="en-US" w:eastAsia="zh-CN" w:bidi="ar-SA"/>
        </w:rPr>
        <w:t>除合同另有约定外，</w:t>
      </w:r>
      <w:r>
        <w:rPr>
          <w:rFonts w:hint="eastAsia" w:ascii="仿宋" w:hAnsi="仿宋" w:eastAsia="仿宋" w:cs="仿宋"/>
          <w:color w:val="auto"/>
          <w:sz w:val="24"/>
          <w:szCs w:val="24"/>
          <w:highlight w:val="none"/>
          <w:lang w:val="en-US" w:eastAsia="en-US" w:bidi="ar-SA"/>
        </w:rPr>
        <w:t>由于工程停建而终止合同或发包人要求解除合同时，承包人未进行排查检测工作的，退还发包人已付预付款的三分之二；已进行排查检测工作的，发包人按承包人完成有效</w:t>
      </w:r>
      <w:r>
        <w:rPr>
          <w:rFonts w:ascii="仿宋" w:hAnsi="仿宋" w:eastAsia="仿宋" w:cs="仿宋"/>
          <w:color w:val="auto"/>
          <w:sz w:val="24"/>
          <w:szCs w:val="24"/>
          <w:highlight w:val="none"/>
          <w:lang w:val="en-US" w:eastAsia="en-US" w:bidi="ar-SA"/>
        </w:rPr>
        <w:t>检测</w:t>
      </w:r>
      <w:r>
        <w:rPr>
          <w:rFonts w:hint="eastAsia" w:ascii="仿宋" w:hAnsi="仿宋" w:eastAsia="仿宋" w:cs="仿宋"/>
          <w:color w:val="auto"/>
          <w:sz w:val="24"/>
          <w:szCs w:val="24"/>
          <w:highlight w:val="none"/>
          <w:lang w:val="en-US" w:eastAsia="en-US" w:bidi="ar-SA"/>
        </w:rPr>
        <w:t>工作量的50%支付排查检测费。</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6.4</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发包人未按</w:t>
      </w:r>
      <w:r>
        <w:rPr>
          <w:rFonts w:hint="eastAsia" w:ascii="仿宋" w:hAnsi="仿宋" w:eastAsia="仿宋" w:cs="仿宋"/>
          <w:color w:val="auto"/>
          <w:sz w:val="24"/>
          <w:szCs w:val="24"/>
          <w:highlight w:val="none"/>
          <w:lang w:val="en-US" w:eastAsia="zh-CN" w:bidi="ar-SA"/>
        </w:rPr>
        <w:t>合同约定</w:t>
      </w:r>
      <w:r>
        <w:rPr>
          <w:rFonts w:hint="eastAsia" w:ascii="仿宋" w:hAnsi="仿宋" w:eastAsia="仿宋" w:cs="仿宋"/>
          <w:color w:val="auto"/>
          <w:sz w:val="24"/>
          <w:szCs w:val="24"/>
          <w:highlight w:val="none"/>
          <w:lang w:val="en-US" w:eastAsia="en-US" w:bidi="ar-SA"/>
        </w:rPr>
        <w:t>时间（日期）拨付排查检测费每超过一日，应偿付未支付排查检测费的万分之四逾期违约金，违约金上限不得超过未付款项金额。</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lang w:val="en-US" w:eastAsia="en-US" w:bidi="ar-SA"/>
        </w:rPr>
        <w:t>6.5</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由于承包人原因未按</w:t>
      </w:r>
      <w:r>
        <w:rPr>
          <w:rFonts w:hint="eastAsia" w:ascii="仿宋" w:hAnsi="仿宋" w:eastAsia="仿宋" w:cs="仿宋"/>
          <w:color w:val="auto"/>
          <w:sz w:val="24"/>
          <w:szCs w:val="24"/>
          <w:highlight w:val="none"/>
          <w:lang w:val="en-US" w:eastAsia="zh-CN" w:bidi="ar-SA"/>
        </w:rPr>
        <w:t>合同约定</w:t>
      </w:r>
      <w:r>
        <w:rPr>
          <w:rFonts w:hint="eastAsia" w:ascii="仿宋" w:hAnsi="仿宋" w:eastAsia="仿宋" w:cs="仿宋"/>
          <w:color w:val="auto"/>
          <w:sz w:val="24"/>
          <w:szCs w:val="24"/>
          <w:highlight w:val="none"/>
          <w:lang w:val="en-US" w:eastAsia="en-US" w:bidi="ar-SA"/>
        </w:rPr>
        <w:t>时间（日期）提交排查检测成果资料，每超过一日，应减收排查检测费的万分之四</w:t>
      </w:r>
      <w:r>
        <w:rPr>
          <w:rFonts w:hint="eastAsia" w:ascii="仿宋" w:hAnsi="仿宋" w:eastAsia="仿宋" w:cs="仿宋"/>
          <w:color w:val="auto"/>
          <w:sz w:val="24"/>
          <w:szCs w:val="24"/>
          <w:highlight w:val="none"/>
          <w:lang w:val="en-US" w:eastAsia="zh-CN" w:bidi="ar-SA"/>
        </w:rPr>
        <w:t>，逾期超过30日的，发包人有权解除合同，并</w:t>
      </w:r>
      <w:r>
        <w:rPr>
          <w:rFonts w:hint="eastAsia" w:ascii="仿宋" w:hAnsi="仿宋" w:eastAsia="仿宋" w:cs="仿宋"/>
          <w:color w:val="auto"/>
          <w:sz w:val="24"/>
          <w:szCs w:val="24"/>
          <w:highlight w:val="none"/>
          <w:lang w:val="en-US" w:eastAsia="en-US" w:bidi="ar-SA"/>
        </w:rPr>
        <w:t>按承包人完成有效</w:t>
      </w:r>
      <w:r>
        <w:rPr>
          <w:rFonts w:ascii="仿宋" w:hAnsi="仿宋" w:eastAsia="仿宋" w:cs="仿宋"/>
          <w:color w:val="auto"/>
          <w:sz w:val="24"/>
          <w:szCs w:val="24"/>
          <w:highlight w:val="none"/>
          <w:lang w:val="en-US" w:eastAsia="en-US" w:bidi="ar-SA"/>
        </w:rPr>
        <w:t>检测</w:t>
      </w:r>
      <w:r>
        <w:rPr>
          <w:rFonts w:hint="eastAsia" w:ascii="仿宋" w:hAnsi="仿宋" w:eastAsia="仿宋" w:cs="仿宋"/>
          <w:color w:val="auto"/>
          <w:sz w:val="24"/>
          <w:szCs w:val="24"/>
          <w:highlight w:val="none"/>
          <w:lang w:val="en-US" w:eastAsia="en-US" w:bidi="ar-SA"/>
        </w:rPr>
        <w:t>工作量的50%支付排查检测费</w:t>
      </w:r>
      <w:r>
        <w:rPr>
          <w:rFonts w:hint="eastAsia" w:ascii="仿宋" w:hAnsi="仿宋" w:eastAsia="仿宋" w:cs="仿宋"/>
          <w:color w:val="auto"/>
          <w:sz w:val="24"/>
          <w:szCs w:val="24"/>
          <w:highlight w:val="none"/>
          <w:lang w:val="en-US" w:eastAsia="zh-Hans" w:bidi="ar-SA"/>
        </w:rPr>
        <w:t>；</w:t>
      </w:r>
      <w:r>
        <w:rPr>
          <w:rFonts w:hint="eastAsia" w:ascii="仿宋" w:hAnsi="仿宋" w:eastAsia="仿宋" w:cs="仿宋"/>
          <w:color w:val="auto"/>
          <w:sz w:val="24"/>
          <w:szCs w:val="24"/>
          <w:highlight w:val="none"/>
          <w:lang w:val="en-US" w:eastAsia="en-US" w:bidi="ar-SA"/>
        </w:rPr>
        <w:t>若</w:t>
      </w:r>
      <w:r>
        <w:rPr>
          <w:rFonts w:hint="eastAsia" w:ascii="仿宋" w:hAnsi="仿宋" w:eastAsia="仿宋" w:cs="仿宋"/>
          <w:color w:val="auto"/>
          <w:sz w:val="24"/>
          <w:szCs w:val="24"/>
          <w:highlight w:val="none"/>
          <w:lang w:val="en-US" w:eastAsia="zh-CN" w:bidi="ar-SA"/>
        </w:rPr>
        <w:t>发包人</w:t>
      </w:r>
      <w:r>
        <w:rPr>
          <w:rFonts w:hint="eastAsia" w:ascii="仿宋" w:hAnsi="仿宋" w:eastAsia="仿宋" w:cs="仿宋"/>
          <w:color w:val="auto"/>
          <w:sz w:val="24"/>
          <w:szCs w:val="24"/>
          <w:highlight w:val="none"/>
          <w:lang w:val="en-US" w:eastAsia="en-US" w:bidi="ar-SA"/>
        </w:rPr>
        <w:t>已</w:t>
      </w:r>
      <w:r>
        <w:rPr>
          <w:rFonts w:hint="eastAsia" w:ascii="仿宋" w:hAnsi="仿宋" w:eastAsia="仿宋" w:cs="仿宋"/>
          <w:color w:val="auto"/>
          <w:sz w:val="24"/>
          <w:szCs w:val="24"/>
          <w:highlight w:val="none"/>
          <w:lang w:val="en-US" w:eastAsia="zh-CN" w:bidi="ar-SA"/>
        </w:rPr>
        <w:t>按约</w:t>
      </w:r>
      <w:r>
        <w:rPr>
          <w:rFonts w:hint="eastAsia" w:ascii="仿宋" w:hAnsi="仿宋" w:eastAsia="仿宋" w:cs="仿宋"/>
          <w:color w:val="auto"/>
          <w:sz w:val="24"/>
          <w:szCs w:val="24"/>
          <w:highlight w:val="none"/>
          <w:lang w:val="en-US" w:eastAsia="en-US" w:bidi="ar-SA"/>
        </w:rPr>
        <w:t>支付</w:t>
      </w:r>
      <w:r>
        <w:rPr>
          <w:rFonts w:hint="eastAsia" w:ascii="仿宋" w:hAnsi="仿宋" w:eastAsia="仿宋" w:cs="仿宋"/>
          <w:color w:val="auto"/>
          <w:sz w:val="24"/>
          <w:szCs w:val="24"/>
          <w:highlight w:val="none"/>
          <w:lang w:val="en-US" w:eastAsia="zh-CN" w:bidi="ar-SA"/>
        </w:rPr>
        <w:t>预付款的</w:t>
      </w:r>
      <w:r>
        <w:rPr>
          <w:rFonts w:hint="eastAsia" w:ascii="仿宋" w:hAnsi="仿宋" w:eastAsia="仿宋" w:cs="仿宋"/>
          <w:color w:val="auto"/>
          <w:sz w:val="24"/>
          <w:szCs w:val="24"/>
          <w:highlight w:val="none"/>
          <w:lang w:val="en-US" w:eastAsia="en-US" w:bidi="ar-SA"/>
        </w:rPr>
        <w:t>，从已支付费用中扣除后剩余的费用</w:t>
      </w:r>
      <w:r>
        <w:rPr>
          <w:rFonts w:hint="eastAsia" w:ascii="仿宋" w:hAnsi="仿宋" w:eastAsia="仿宋" w:cs="仿宋"/>
          <w:color w:val="auto"/>
          <w:sz w:val="24"/>
          <w:szCs w:val="24"/>
          <w:highlight w:val="none"/>
          <w:lang w:val="en-US" w:eastAsia="zh-CN" w:bidi="ar-SA"/>
        </w:rPr>
        <w:t>承包人</w:t>
      </w:r>
      <w:r>
        <w:rPr>
          <w:rFonts w:hint="eastAsia" w:ascii="仿宋" w:hAnsi="仿宋" w:eastAsia="仿宋" w:cs="仿宋"/>
          <w:color w:val="auto"/>
          <w:sz w:val="24"/>
          <w:szCs w:val="24"/>
          <w:highlight w:val="none"/>
          <w:lang w:val="en-US" w:eastAsia="en-US" w:bidi="ar-SA"/>
        </w:rPr>
        <w:t>应予以退还</w:t>
      </w:r>
      <w:r>
        <w:rPr>
          <w:rFonts w:hint="eastAsia" w:ascii="仿宋" w:hAnsi="仿宋" w:eastAsia="仿宋" w:cs="仿宋"/>
          <w:color w:val="auto"/>
          <w:sz w:val="24"/>
          <w:szCs w:val="24"/>
          <w:highlight w:val="none"/>
          <w:lang w:val="en-US" w:eastAsia="zh-Hans" w:bidi="ar-SA"/>
        </w:rPr>
        <w:t>。</w:t>
      </w:r>
    </w:p>
    <w:p>
      <w:pPr>
        <w:widowControl w:val="0"/>
        <w:autoSpaceDE w:val="0"/>
        <w:autoSpaceDN w:val="0"/>
        <w:adjustRightInd w:val="0"/>
        <w:spacing w:line="360" w:lineRule="auto"/>
        <w:ind w:firstLine="480" w:firstLineChars="200"/>
        <w:rPr>
          <w:rFonts w:hint="eastAsia" w:ascii="仿宋" w:hAnsi="仿宋" w:eastAsia="仿宋" w:cs="仿宋"/>
          <w:strike/>
          <w:color w:val="auto"/>
          <w:kern w:val="0"/>
          <w:sz w:val="24"/>
          <w:szCs w:val="24"/>
          <w:highlight w:val="none"/>
          <w:u w:val="none"/>
        </w:rPr>
      </w:pPr>
      <w:r>
        <w:rPr>
          <w:rFonts w:hint="eastAsia" w:ascii="仿宋" w:hAnsi="仿宋" w:eastAsia="仿宋" w:cs="仿宋"/>
          <w:color w:val="auto"/>
          <w:sz w:val="24"/>
          <w:szCs w:val="24"/>
          <w:highlight w:val="none"/>
          <w:lang w:val="en-US" w:eastAsia="en-US" w:bidi="ar-SA"/>
        </w:rPr>
        <w:t xml:space="preserve">6.6 </w:t>
      </w:r>
      <w:r>
        <w:rPr>
          <w:rFonts w:hint="eastAsia" w:ascii="仿宋" w:hAnsi="仿宋" w:eastAsia="仿宋" w:cs="仿宋"/>
          <w:b w:val="0"/>
          <w:color w:val="auto"/>
          <w:kern w:val="0"/>
          <w:sz w:val="24"/>
          <w:szCs w:val="24"/>
          <w:highlight w:val="none"/>
          <w:u w:val="none"/>
        </w:rPr>
        <w:t>因</w:t>
      </w:r>
      <w:r>
        <w:rPr>
          <w:rFonts w:hint="eastAsia" w:ascii="仿宋" w:hAnsi="仿宋" w:eastAsia="仿宋" w:cs="仿宋"/>
          <w:b w:val="0"/>
          <w:color w:val="auto"/>
          <w:kern w:val="0"/>
          <w:sz w:val="24"/>
          <w:szCs w:val="24"/>
          <w:highlight w:val="none"/>
          <w:u w:val="none"/>
          <w:lang w:val="en-US" w:eastAsia="zh-CN"/>
        </w:rPr>
        <w:t>承包人</w:t>
      </w:r>
      <w:r>
        <w:rPr>
          <w:rFonts w:hint="eastAsia" w:ascii="仿宋" w:hAnsi="仿宋" w:eastAsia="仿宋" w:cs="仿宋"/>
          <w:b w:val="0"/>
          <w:color w:val="auto"/>
          <w:kern w:val="0"/>
          <w:sz w:val="24"/>
          <w:szCs w:val="24"/>
          <w:highlight w:val="none"/>
          <w:u w:val="none"/>
        </w:rPr>
        <w:t>出现下列情形的，</w:t>
      </w:r>
      <w:r>
        <w:rPr>
          <w:rFonts w:hint="eastAsia" w:ascii="仿宋" w:hAnsi="仿宋" w:eastAsia="仿宋" w:cs="仿宋"/>
          <w:b w:val="0"/>
          <w:color w:val="auto"/>
          <w:kern w:val="0"/>
          <w:sz w:val="24"/>
          <w:szCs w:val="24"/>
          <w:highlight w:val="none"/>
          <w:u w:val="none"/>
          <w:lang w:val="en-US" w:eastAsia="zh-CN"/>
        </w:rPr>
        <w:t>发包人</w:t>
      </w:r>
      <w:r>
        <w:rPr>
          <w:rFonts w:hint="eastAsia" w:ascii="仿宋" w:hAnsi="仿宋" w:eastAsia="仿宋" w:cs="仿宋"/>
          <w:b w:val="0"/>
          <w:color w:val="auto"/>
          <w:kern w:val="0"/>
          <w:sz w:val="24"/>
          <w:szCs w:val="24"/>
          <w:highlight w:val="none"/>
          <w:u w:val="none"/>
        </w:rPr>
        <w:t>有权解除本合同并要求</w:t>
      </w:r>
      <w:r>
        <w:rPr>
          <w:rFonts w:hint="eastAsia" w:ascii="仿宋" w:hAnsi="仿宋" w:eastAsia="仿宋" w:cs="仿宋"/>
          <w:b w:val="0"/>
          <w:color w:val="auto"/>
          <w:kern w:val="0"/>
          <w:sz w:val="24"/>
          <w:szCs w:val="24"/>
          <w:highlight w:val="none"/>
          <w:u w:val="none"/>
          <w:lang w:val="en-US" w:eastAsia="zh-CN"/>
        </w:rPr>
        <w:t>承包人</w:t>
      </w:r>
      <w:r>
        <w:rPr>
          <w:rFonts w:hint="eastAsia" w:ascii="仿宋" w:hAnsi="仿宋" w:eastAsia="仿宋" w:cs="仿宋"/>
          <w:b w:val="0"/>
          <w:color w:val="auto"/>
          <w:kern w:val="0"/>
          <w:sz w:val="24"/>
          <w:szCs w:val="24"/>
          <w:highlight w:val="none"/>
          <w:u w:val="none"/>
        </w:rPr>
        <w:t>返还已支付费用，</w:t>
      </w:r>
      <w:r>
        <w:rPr>
          <w:rFonts w:hint="eastAsia" w:ascii="仿宋" w:hAnsi="仿宋" w:eastAsia="仿宋" w:cs="仿宋"/>
          <w:b w:val="0"/>
          <w:color w:val="auto"/>
          <w:kern w:val="0"/>
          <w:sz w:val="24"/>
          <w:szCs w:val="24"/>
          <w:highlight w:val="none"/>
          <w:u w:val="none"/>
          <w:lang w:val="en-US" w:eastAsia="zh-CN"/>
        </w:rPr>
        <w:t>承包人</w:t>
      </w:r>
      <w:r>
        <w:rPr>
          <w:rFonts w:hint="eastAsia" w:ascii="仿宋" w:hAnsi="仿宋" w:eastAsia="仿宋" w:cs="仿宋"/>
          <w:b w:val="0"/>
          <w:color w:val="auto"/>
          <w:kern w:val="0"/>
          <w:sz w:val="24"/>
          <w:szCs w:val="24"/>
          <w:highlight w:val="none"/>
          <w:u w:val="none"/>
        </w:rPr>
        <w:t>应向</w:t>
      </w:r>
      <w:r>
        <w:rPr>
          <w:rFonts w:hint="eastAsia" w:ascii="仿宋" w:hAnsi="仿宋" w:eastAsia="仿宋" w:cs="仿宋"/>
          <w:b w:val="0"/>
          <w:color w:val="auto"/>
          <w:kern w:val="0"/>
          <w:sz w:val="24"/>
          <w:szCs w:val="24"/>
          <w:highlight w:val="none"/>
          <w:u w:val="none"/>
          <w:lang w:val="en-US" w:eastAsia="zh-CN"/>
        </w:rPr>
        <w:t>发包人</w:t>
      </w:r>
      <w:r>
        <w:rPr>
          <w:rFonts w:hint="eastAsia" w:ascii="仿宋" w:hAnsi="仿宋" w:eastAsia="仿宋" w:cs="仿宋"/>
          <w:b w:val="0"/>
          <w:color w:val="auto"/>
          <w:kern w:val="0"/>
          <w:sz w:val="24"/>
          <w:szCs w:val="24"/>
          <w:highlight w:val="none"/>
          <w:u w:val="none"/>
        </w:rPr>
        <w:t>支付合同费用总额10%的违约金</w:t>
      </w:r>
      <w:r>
        <w:rPr>
          <w:rFonts w:hint="eastAsia" w:ascii="仿宋" w:hAnsi="仿宋" w:eastAsia="仿宋" w:cs="仿宋"/>
          <w:b w:val="0"/>
          <w:color w:val="auto"/>
          <w:kern w:val="0"/>
          <w:sz w:val="24"/>
          <w:szCs w:val="24"/>
          <w:highlight w:val="none"/>
          <w:u w:val="none"/>
          <w:lang w:eastAsia="zh-CN"/>
        </w:rPr>
        <w:t>，</w:t>
      </w:r>
      <w:r>
        <w:rPr>
          <w:rFonts w:hint="eastAsia" w:ascii="仿宋" w:hAnsi="仿宋" w:eastAsia="仿宋" w:cs="仿宋"/>
          <w:b w:val="0"/>
          <w:color w:val="auto"/>
          <w:kern w:val="0"/>
          <w:sz w:val="24"/>
          <w:szCs w:val="24"/>
          <w:highlight w:val="none"/>
          <w:u w:val="none"/>
          <w:lang w:val="en-US" w:eastAsia="zh-CN"/>
        </w:rPr>
        <w:t>违约金不足以补足给发包人造成的损失的，应予以补足</w:t>
      </w:r>
      <w:r>
        <w:rPr>
          <w:rFonts w:hint="eastAsia" w:ascii="仿宋" w:hAnsi="仿宋" w:eastAsia="仿宋" w:cs="仿宋"/>
          <w:b w:val="0"/>
          <w:color w:val="auto"/>
          <w:kern w:val="0"/>
          <w:sz w:val="24"/>
          <w:szCs w:val="24"/>
          <w:highlight w:val="none"/>
          <w:u w:val="none"/>
        </w:rPr>
        <w:t>：</w:t>
      </w:r>
    </w:p>
    <w:p>
      <w:pPr>
        <w:widowControl/>
        <w:numPr>
          <w:ilvl w:val="0"/>
          <w:numId w:val="5"/>
        </w:numPr>
        <w:spacing w:line="360" w:lineRule="auto"/>
        <w:ind w:firstLine="480" w:firstLineChars="200"/>
        <w:jc w:val="left"/>
        <w:rPr>
          <w:rFonts w:hint="eastAsia" w:ascii="仿宋" w:hAnsi="仿宋" w:eastAsia="仿宋" w:cs="仿宋"/>
          <w:b w:val="0"/>
          <w:color w:val="auto"/>
          <w:kern w:val="0"/>
          <w:sz w:val="24"/>
          <w:szCs w:val="24"/>
          <w:highlight w:val="none"/>
          <w:u w:val="none"/>
          <w:lang w:eastAsia="zh-CN"/>
        </w:rPr>
      </w:pPr>
      <w:r>
        <w:rPr>
          <w:rFonts w:hint="eastAsia" w:ascii="仿宋" w:hAnsi="仿宋" w:eastAsia="仿宋" w:cs="仿宋"/>
          <w:b w:val="0"/>
          <w:color w:val="auto"/>
          <w:kern w:val="0"/>
          <w:sz w:val="24"/>
          <w:szCs w:val="24"/>
          <w:highlight w:val="none"/>
          <w:u w:val="none"/>
        </w:rPr>
        <w:t>未经</w:t>
      </w:r>
      <w:r>
        <w:rPr>
          <w:rFonts w:hint="eastAsia" w:ascii="仿宋" w:hAnsi="仿宋" w:eastAsia="仿宋" w:cs="仿宋"/>
          <w:b w:val="0"/>
          <w:color w:val="auto"/>
          <w:kern w:val="0"/>
          <w:sz w:val="24"/>
          <w:szCs w:val="24"/>
          <w:highlight w:val="none"/>
          <w:u w:val="none"/>
          <w:lang w:val="en-US" w:eastAsia="zh-CN"/>
        </w:rPr>
        <w:t>发包人</w:t>
      </w:r>
      <w:r>
        <w:rPr>
          <w:rFonts w:hint="eastAsia" w:ascii="仿宋" w:hAnsi="仿宋" w:eastAsia="仿宋" w:cs="仿宋"/>
          <w:b w:val="0"/>
          <w:color w:val="auto"/>
          <w:kern w:val="0"/>
          <w:sz w:val="24"/>
          <w:szCs w:val="24"/>
          <w:highlight w:val="none"/>
          <w:u w:val="none"/>
        </w:rPr>
        <w:t>书面同意，转让本合同权利义务，或委托他方代为或参与履行本合同的(包括但不限于转包、分包行为)</w:t>
      </w:r>
      <w:r>
        <w:rPr>
          <w:rFonts w:hint="eastAsia" w:ascii="仿宋" w:hAnsi="仿宋" w:eastAsia="仿宋" w:cs="仿宋"/>
          <w:b w:val="0"/>
          <w:color w:val="auto"/>
          <w:kern w:val="0"/>
          <w:sz w:val="24"/>
          <w:szCs w:val="24"/>
          <w:highlight w:val="none"/>
          <w:u w:val="none"/>
          <w:lang w:eastAsia="zh-CN"/>
        </w:rPr>
        <w:t>；</w:t>
      </w:r>
    </w:p>
    <w:p>
      <w:pPr>
        <w:widowControl/>
        <w:numPr>
          <w:ilvl w:val="-1"/>
          <w:numId w:val="0"/>
        </w:numPr>
        <w:spacing w:line="360" w:lineRule="auto"/>
        <w:ind w:firstLine="480" w:firstLineChars="200"/>
        <w:jc w:val="left"/>
        <w:rPr>
          <w:rFonts w:hint="eastAsia" w:ascii="仿宋" w:hAnsi="仿宋" w:eastAsia="仿宋" w:cs="仿宋"/>
          <w:b w:val="0"/>
          <w:color w:val="auto"/>
          <w:kern w:val="0"/>
          <w:sz w:val="24"/>
          <w:szCs w:val="24"/>
          <w:highlight w:val="none"/>
          <w:u w:val="none"/>
        </w:rPr>
      </w:pPr>
      <w:r>
        <w:rPr>
          <w:rFonts w:hint="eastAsia" w:ascii="仿宋" w:hAnsi="仿宋" w:eastAsia="仿宋" w:cs="仿宋"/>
          <w:b w:val="0"/>
          <w:color w:val="auto"/>
          <w:kern w:val="0"/>
          <w:sz w:val="24"/>
          <w:szCs w:val="24"/>
          <w:highlight w:val="none"/>
          <w:u w:val="none"/>
        </w:rPr>
        <w:t>B.与</w:t>
      </w:r>
      <w:r>
        <w:rPr>
          <w:rFonts w:hint="eastAsia" w:ascii="仿宋" w:hAnsi="仿宋" w:eastAsia="仿宋" w:cs="仿宋"/>
          <w:b w:val="0"/>
          <w:color w:val="auto"/>
          <w:kern w:val="0"/>
          <w:sz w:val="24"/>
          <w:szCs w:val="24"/>
          <w:highlight w:val="none"/>
          <w:u w:val="none"/>
          <w:lang w:val="en-US" w:eastAsia="zh-CN"/>
        </w:rPr>
        <w:t>发包人</w:t>
      </w:r>
      <w:r>
        <w:rPr>
          <w:rFonts w:hint="eastAsia" w:ascii="仿宋" w:hAnsi="仿宋" w:eastAsia="仿宋" w:cs="仿宋"/>
          <w:b w:val="0"/>
          <w:color w:val="auto"/>
          <w:kern w:val="0"/>
          <w:sz w:val="24"/>
          <w:szCs w:val="24"/>
          <w:highlight w:val="none"/>
          <w:u w:val="none"/>
        </w:rPr>
        <w:t>或项目关联方等单位发生不正当利益输送的；</w:t>
      </w:r>
    </w:p>
    <w:p>
      <w:pPr>
        <w:widowControl/>
        <w:spacing w:line="360" w:lineRule="auto"/>
        <w:ind w:firstLine="480" w:firstLineChars="200"/>
        <w:jc w:val="left"/>
        <w:rPr>
          <w:rFonts w:hint="default" w:ascii="仿宋" w:hAnsi="仿宋" w:eastAsia="仿宋" w:cs="仿宋"/>
          <w:b w:val="0"/>
          <w:color w:val="auto"/>
          <w:kern w:val="0"/>
          <w:sz w:val="24"/>
          <w:szCs w:val="24"/>
          <w:highlight w:val="none"/>
          <w:u w:val="none"/>
          <w:lang w:val="en-US" w:eastAsia="zh-CN"/>
        </w:rPr>
      </w:pPr>
      <w:r>
        <w:rPr>
          <w:rFonts w:hint="eastAsia" w:ascii="仿宋" w:hAnsi="仿宋" w:eastAsia="仿宋" w:cs="仿宋"/>
          <w:b w:val="0"/>
          <w:color w:val="auto"/>
          <w:kern w:val="0"/>
          <w:sz w:val="24"/>
          <w:szCs w:val="24"/>
          <w:highlight w:val="none"/>
          <w:u w:val="none"/>
          <w:lang w:val="en-US" w:eastAsia="zh-CN"/>
        </w:rPr>
        <w:t>C</w:t>
      </w:r>
      <w:r>
        <w:rPr>
          <w:rFonts w:hint="eastAsia" w:ascii="仿宋" w:hAnsi="仿宋" w:eastAsia="仿宋" w:cs="仿宋"/>
          <w:b w:val="0"/>
          <w:color w:val="auto"/>
          <w:kern w:val="0"/>
          <w:sz w:val="24"/>
          <w:szCs w:val="24"/>
          <w:highlight w:val="none"/>
          <w:u w:val="none"/>
        </w:rPr>
        <w:t>.</w:t>
      </w:r>
      <w:r>
        <w:rPr>
          <w:rFonts w:hint="eastAsia" w:ascii="仿宋" w:hAnsi="仿宋" w:eastAsia="仿宋" w:cs="仿宋"/>
          <w:b w:val="0"/>
          <w:color w:val="auto"/>
          <w:kern w:val="0"/>
          <w:sz w:val="24"/>
          <w:szCs w:val="24"/>
          <w:highlight w:val="none"/>
          <w:u w:val="none"/>
          <w:lang w:val="en-US" w:eastAsia="zh-CN"/>
        </w:rPr>
        <w:t>承包人违反保密义务的；</w:t>
      </w:r>
    </w:p>
    <w:p>
      <w:pPr>
        <w:widowControl/>
        <w:spacing w:line="360" w:lineRule="auto"/>
        <w:ind w:firstLine="480" w:firstLineChars="200"/>
        <w:jc w:val="left"/>
        <w:rPr>
          <w:rFonts w:hint="eastAsia" w:ascii="仿宋" w:hAnsi="仿宋" w:eastAsia="仿宋" w:cs="仿宋"/>
          <w:b w:val="0"/>
          <w:color w:val="auto"/>
          <w:kern w:val="0"/>
          <w:sz w:val="24"/>
          <w:szCs w:val="24"/>
          <w:highlight w:val="none"/>
          <w:u w:val="none"/>
        </w:rPr>
      </w:pPr>
      <w:r>
        <w:rPr>
          <w:rFonts w:hint="eastAsia" w:ascii="仿宋" w:hAnsi="仿宋" w:eastAsia="仿宋" w:cs="仿宋"/>
          <w:b w:val="0"/>
          <w:color w:val="auto"/>
          <w:kern w:val="0"/>
          <w:sz w:val="24"/>
          <w:szCs w:val="24"/>
          <w:highlight w:val="none"/>
          <w:u w:val="none"/>
          <w:lang w:val="en-US" w:eastAsia="zh-CN"/>
        </w:rPr>
        <w:t>D</w:t>
      </w:r>
      <w:r>
        <w:rPr>
          <w:rFonts w:hint="eastAsia" w:ascii="仿宋" w:hAnsi="仿宋" w:eastAsia="仿宋" w:cs="仿宋"/>
          <w:b w:val="0"/>
          <w:color w:val="auto"/>
          <w:kern w:val="0"/>
          <w:sz w:val="24"/>
          <w:szCs w:val="24"/>
          <w:highlight w:val="none"/>
          <w:u w:val="none"/>
        </w:rPr>
        <w:t>.</w:t>
      </w:r>
      <w:r>
        <w:rPr>
          <w:rFonts w:hint="eastAsia" w:ascii="仿宋" w:hAnsi="仿宋" w:eastAsia="仿宋" w:cs="仿宋"/>
          <w:b w:val="0"/>
          <w:color w:val="auto"/>
          <w:kern w:val="0"/>
          <w:sz w:val="24"/>
          <w:szCs w:val="24"/>
          <w:highlight w:val="none"/>
          <w:u w:val="none"/>
          <w:lang w:val="en-US" w:eastAsia="zh-CN"/>
        </w:rPr>
        <w:t>承包人</w:t>
      </w:r>
      <w:r>
        <w:rPr>
          <w:rFonts w:hint="eastAsia" w:ascii="仿宋" w:hAnsi="仿宋" w:eastAsia="仿宋" w:cs="仿宋"/>
          <w:b w:val="0"/>
          <w:color w:val="auto"/>
          <w:kern w:val="0"/>
          <w:sz w:val="24"/>
          <w:szCs w:val="24"/>
          <w:highlight w:val="none"/>
          <w:u w:val="none"/>
        </w:rPr>
        <w:t>不具备提供本合同项下服务的资质或授权的；</w:t>
      </w:r>
    </w:p>
    <w:p>
      <w:pPr>
        <w:widowControl/>
        <w:spacing w:line="360" w:lineRule="auto"/>
        <w:ind w:firstLine="480" w:firstLineChars="200"/>
        <w:jc w:val="left"/>
        <w:rPr>
          <w:rFonts w:hint="eastAsia" w:ascii="仿宋" w:hAnsi="仿宋" w:eastAsia="仿宋" w:cs="仿宋"/>
          <w:b w:val="0"/>
          <w:color w:val="auto"/>
          <w:kern w:val="0"/>
          <w:sz w:val="24"/>
          <w:szCs w:val="24"/>
          <w:highlight w:val="none"/>
          <w:u w:val="none"/>
        </w:rPr>
      </w:pPr>
      <w:r>
        <w:rPr>
          <w:rFonts w:hint="eastAsia" w:ascii="仿宋" w:hAnsi="仿宋" w:eastAsia="仿宋" w:cs="仿宋"/>
          <w:b w:val="0"/>
          <w:color w:val="auto"/>
          <w:kern w:val="0"/>
          <w:sz w:val="24"/>
          <w:szCs w:val="24"/>
          <w:highlight w:val="none"/>
          <w:u w:val="none"/>
          <w:lang w:val="en-US" w:eastAsia="zh-CN"/>
        </w:rPr>
        <w:t>E</w:t>
      </w:r>
      <w:r>
        <w:rPr>
          <w:rFonts w:hint="eastAsia" w:ascii="仿宋" w:hAnsi="仿宋" w:eastAsia="仿宋" w:cs="仿宋"/>
          <w:b w:val="0"/>
          <w:color w:val="auto"/>
          <w:kern w:val="0"/>
          <w:sz w:val="24"/>
          <w:szCs w:val="24"/>
          <w:highlight w:val="none"/>
          <w:u w:val="none"/>
        </w:rPr>
        <w:t>.</w:t>
      </w:r>
      <w:r>
        <w:rPr>
          <w:rFonts w:hint="eastAsia" w:ascii="仿宋" w:hAnsi="仿宋" w:eastAsia="仿宋" w:cs="仿宋"/>
          <w:b w:val="0"/>
          <w:color w:val="auto"/>
          <w:kern w:val="0"/>
          <w:sz w:val="24"/>
          <w:szCs w:val="24"/>
          <w:highlight w:val="none"/>
          <w:u w:val="none"/>
          <w:lang w:val="en-US" w:eastAsia="zh-CN"/>
        </w:rPr>
        <w:t>承包人</w:t>
      </w:r>
      <w:r>
        <w:rPr>
          <w:rFonts w:hint="eastAsia" w:ascii="仿宋" w:hAnsi="仿宋" w:eastAsia="仿宋" w:cs="仿宋"/>
          <w:b w:val="0"/>
          <w:color w:val="auto"/>
          <w:kern w:val="0"/>
          <w:sz w:val="24"/>
          <w:szCs w:val="24"/>
          <w:highlight w:val="none"/>
          <w:u w:val="none"/>
        </w:rPr>
        <w:t>提交的成果违反法律、法规及现行国家、地区及行业有关规范和标准或侵犯任何第三方权利的。</w:t>
      </w:r>
    </w:p>
    <w:p>
      <w:pPr>
        <w:widowControl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lang w:val="en-US" w:eastAsia="en-US" w:bidi="ar-SA"/>
        </w:rPr>
        <w:t xml:space="preserve">第七条 </w:t>
      </w:r>
      <w:r>
        <w:rPr>
          <w:rFonts w:ascii="仿宋" w:hAnsi="仿宋" w:eastAsia="仿宋" w:cs="仿宋"/>
          <w:color w:val="auto"/>
          <w:sz w:val="24"/>
          <w:szCs w:val="24"/>
          <w:highlight w:val="none"/>
          <w:lang w:val="en-US" w:eastAsia="en-US" w:bidi="ar-SA"/>
        </w:rPr>
        <w:t xml:space="preserve"> </w:t>
      </w:r>
      <w:r>
        <w:rPr>
          <w:rFonts w:hint="eastAsia" w:ascii="仿宋" w:hAnsi="仿宋" w:eastAsia="仿宋" w:cs="仿宋"/>
          <w:color w:val="auto"/>
          <w:sz w:val="24"/>
          <w:szCs w:val="24"/>
          <w:highlight w:val="none"/>
          <w:lang w:val="en-US" w:eastAsia="en-US" w:bidi="ar-SA"/>
        </w:rPr>
        <w:t>本合同未尽事宜，经发包人与承包人协商一致，签订补充协议，补充协议与本合同具有同等效力。</w:t>
      </w:r>
    </w:p>
    <w:p>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第八条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其它约定事项：</w:t>
      </w:r>
      <w:r>
        <w:rPr>
          <w:rFonts w:hint="eastAsia" w:ascii="仿宋" w:hAnsi="仿宋" w:eastAsia="仿宋" w:cs="仿宋"/>
          <w:color w:val="auto"/>
          <w:sz w:val="24"/>
          <w:szCs w:val="24"/>
          <w:highlight w:val="none"/>
          <w:u w:val="single"/>
        </w:rPr>
        <w:t xml:space="preserve">   ／                                </w:t>
      </w:r>
    </w:p>
    <w:p>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第九条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本合同发生争议，发包人、承包人应及时协商解决，也可由当地建设行政主管部门调解，协商或调解不成时，发包人、承包人同向发包人所在地的人民法院起诉。</w:t>
      </w:r>
    </w:p>
    <w:p>
      <w:pPr>
        <w:widowControl w:val="0"/>
        <w:numPr>
          <w:ilvl w:val="-1"/>
          <w:numId w:val="0"/>
        </w:numPr>
        <w:autoSpaceDE w:val="0"/>
        <w:autoSpaceDN w:val="0"/>
        <w:adjustRightInd w:val="0"/>
        <w:spacing w:line="360" w:lineRule="auto"/>
        <w:ind w:firstLine="0" w:firstLineChars="0"/>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z w:val="24"/>
          <w:szCs w:val="24"/>
          <w:highlight w:val="none"/>
        </w:rPr>
        <w:t>第十条</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自排查合</w:t>
      </w:r>
      <w:r>
        <w:rPr>
          <w:rFonts w:ascii="仿宋" w:hAnsi="仿宋" w:eastAsia="仿宋" w:cs="仿宋"/>
          <w:color w:val="auto"/>
          <w:sz w:val="24"/>
          <w:szCs w:val="24"/>
          <w:highlight w:val="none"/>
        </w:rPr>
        <w:t>同期满</w:t>
      </w:r>
      <w:r>
        <w:rPr>
          <w:rFonts w:hint="eastAsia" w:ascii="仿宋" w:hAnsi="仿宋" w:eastAsia="仿宋" w:cs="仿宋"/>
          <w:color w:val="auto"/>
          <w:sz w:val="24"/>
          <w:szCs w:val="24"/>
          <w:highlight w:val="none"/>
        </w:rPr>
        <w:t>且发包人支付</w:t>
      </w:r>
      <w:r>
        <w:rPr>
          <w:rFonts w:ascii="仿宋" w:hAnsi="仿宋" w:eastAsia="仿宋" w:cs="仿宋"/>
          <w:color w:val="auto"/>
          <w:sz w:val="24"/>
          <w:szCs w:val="24"/>
          <w:highlight w:val="none"/>
        </w:rPr>
        <w:t>50%</w:t>
      </w:r>
      <w:r>
        <w:rPr>
          <w:rFonts w:hint="eastAsia" w:ascii="仿宋" w:hAnsi="仿宋" w:eastAsia="仿宋" w:cs="仿宋"/>
          <w:color w:val="auto"/>
          <w:sz w:val="24"/>
          <w:szCs w:val="24"/>
          <w:highlight w:val="none"/>
        </w:rPr>
        <w:t>检测工程费之日起7日内，承包人</w:t>
      </w:r>
      <w:r>
        <w:rPr>
          <w:rFonts w:hint="eastAsia" w:ascii="仿宋" w:hAnsi="仿宋" w:eastAsia="仿宋" w:cs="仿宋"/>
          <w:color w:val="auto"/>
          <w:sz w:val="24"/>
          <w:szCs w:val="24"/>
          <w:highlight w:val="none"/>
          <w:lang w:val="en-US" w:eastAsia="zh-CN"/>
        </w:rPr>
        <w:t>按3.1成果文件</w:t>
      </w:r>
      <w:r>
        <w:rPr>
          <w:rFonts w:hint="eastAsia" w:ascii="仿宋" w:hAnsi="仿宋" w:eastAsia="仿宋" w:cs="仿宋"/>
          <w:color w:val="auto"/>
          <w:sz w:val="24"/>
          <w:szCs w:val="24"/>
          <w:highlight w:val="none"/>
        </w:rPr>
        <w:t>要求向发包人交付全部排查检测成果资料</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第十一条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本合同自发包人、承包人签字盖章后生效；发包人、承包人履行完</w:t>
      </w:r>
      <w:r>
        <w:rPr>
          <w:rFonts w:hint="eastAsia" w:ascii="仿宋" w:hAnsi="仿宋" w:eastAsia="仿宋" w:cs="仿宋"/>
          <w:color w:val="auto"/>
          <w:sz w:val="24"/>
          <w:szCs w:val="24"/>
          <w:highlight w:val="none"/>
          <w:lang w:eastAsia="zh-CN"/>
        </w:rPr>
        <w:t>合同约定</w:t>
      </w:r>
      <w:r>
        <w:rPr>
          <w:rFonts w:hint="eastAsia" w:ascii="仿宋" w:hAnsi="仿宋" w:eastAsia="仿宋" w:cs="仿宋"/>
          <w:color w:val="auto"/>
          <w:sz w:val="24"/>
          <w:szCs w:val="24"/>
          <w:highlight w:val="none"/>
        </w:rPr>
        <w:t>的义务后，本合同终止。</w:t>
      </w:r>
    </w:p>
    <w:p>
      <w:pPr>
        <w:spacing w:line="360" w:lineRule="auto"/>
        <w:ind w:firstLine="480" w:firstLineChars="200"/>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 xml:space="preserve">第十二条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lang w:val="en-US" w:eastAsia="zh-CN"/>
        </w:rPr>
        <w:t xml:space="preserve"> 四</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份，发包人</w:t>
      </w:r>
      <w:r>
        <w:rPr>
          <w:rFonts w:hint="eastAsia" w:ascii="仿宋" w:hAnsi="仿宋" w:eastAsia="仿宋" w:cs="仿宋"/>
          <w:color w:val="auto"/>
          <w:sz w:val="24"/>
          <w:szCs w:val="24"/>
          <w:highlight w:val="none"/>
          <w:u w:val="single"/>
          <w:lang w:val="en-US" w:eastAsia="zh-CN"/>
        </w:rPr>
        <w:t xml:space="preserve"> 两</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份，承包人</w:t>
      </w:r>
      <w:r>
        <w:rPr>
          <w:rFonts w:hint="eastAsia" w:ascii="仿宋" w:hAnsi="仿宋" w:eastAsia="仿宋" w:cs="仿宋"/>
          <w:color w:val="auto"/>
          <w:sz w:val="24"/>
          <w:szCs w:val="24"/>
          <w:highlight w:val="none"/>
          <w:u w:val="single"/>
          <w:lang w:val="en-US" w:eastAsia="zh-CN"/>
        </w:rPr>
        <w:t xml:space="preserve"> 两</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w:t>
      </w:r>
    </w:p>
    <w:p>
      <w:pPr>
        <w:spacing w:line="360" w:lineRule="auto"/>
        <w:rPr>
          <w:rFonts w:hint="eastAsia" w:ascii="仿宋" w:hAnsi="仿宋" w:eastAsia="仿宋" w:cs="仿宋"/>
          <w:color w:val="auto"/>
          <w:spacing w:val="-20"/>
          <w:sz w:val="24"/>
          <w:szCs w:val="24"/>
          <w:highlight w:val="none"/>
          <w:lang w:eastAsia="zh-CN"/>
        </w:rPr>
      </w:pPr>
    </w:p>
    <w:p>
      <w:pPr>
        <w:pStyle w:val="2"/>
        <w:rPr>
          <w:rFonts w:hint="eastAsia" w:ascii="仿宋" w:hAnsi="仿宋" w:eastAsia="仿宋" w:cs="仿宋"/>
          <w:color w:val="auto"/>
          <w:spacing w:val="-20"/>
          <w:sz w:val="24"/>
          <w:szCs w:val="24"/>
          <w:highlight w:val="none"/>
          <w:lang w:eastAsia="zh-CN"/>
        </w:rPr>
      </w:pPr>
    </w:p>
    <w:p>
      <w:pPr>
        <w:rPr>
          <w:rFonts w:hint="eastAsia" w:ascii="仿宋" w:hAnsi="仿宋" w:eastAsia="仿宋" w:cs="仿宋"/>
          <w:color w:val="auto"/>
          <w:spacing w:val="-20"/>
          <w:sz w:val="24"/>
          <w:szCs w:val="24"/>
          <w:highlight w:val="none"/>
          <w:lang w:eastAsia="zh-CN"/>
        </w:rPr>
      </w:pPr>
    </w:p>
    <w:p>
      <w:pPr>
        <w:pStyle w:val="2"/>
        <w:rPr>
          <w:rFonts w:hint="eastAsia" w:ascii="仿宋" w:hAnsi="仿宋" w:eastAsia="仿宋" w:cs="仿宋"/>
          <w:color w:val="auto"/>
          <w:spacing w:val="-20"/>
          <w:sz w:val="24"/>
          <w:szCs w:val="24"/>
          <w:highlight w:val="none"/>
          <w:lang w:eastAsia="zh-CN"/>
        </w:rPr>
      </w:pPr>
    </w:p>
    <w:p>
      <w:pPr>
        <w:rPr>
          <w:rFonts w:hint="eastAsia" w:ascii="仿宋" w:hAnsi="仿宋" w:eastAsia="仿宋" w:cs="仿宋"/>
          <w:color w:val="auto"/>
          <w:spacing w:val="-20"/>
          <w:sz w:val="24"/>
          <w:szCs w:val="24"/>
          <w:highlight w:val="none"/>
          <w:lang w:eastAsia="zh-CN"/>
        </w:rPr>
      </w:pPr>
    </w:p>
    <w:p>
      <w:pPr>
        <w:pStyle w:val="2"/>
        <w:rPr>
          <w:rFonts w:hint="eastAsia" w:ascii="仿宋" w:hAnsi="仿宋" w:eastAsia="仿宋" w:cs="仿宋"/>
          <w:color w:val="auto"/>
          <w:spacing w:val="-20"/>
          <w:sz w:val="24"/>
          <w:szCs w:val="24"/>
          <w:highlight w:val="none"/>
          <w:lang w:eastAsia="zh-CN"/>
        </w:rPr>
      </w:pPr>
    </w:p>
    <w:p>
      <w:pPr>
        <w:rPr>
          <w:rFonts w:hint="eastAsia" w:ascii="仿宋" w:hAnsi="仿宋" w:eastAsia="仿宋" w:cs="仿宋"/>
          <w:color w:val="auto"/>
          <w:spacing w:val="-20"/>
          <w:sz w:val="24"/>
          <w:szCs w:val="24"/>
          <w:highlight w:val="none"/>
          <w:lang w:eastAsia="zh-CN"/>
        </w:rPr>
      </w:pPr>
    </w:p>
    <w:p>
      <w:pPr>
        <w:pStyle w:val="2"/>
        <w:rPr>
          <w:rFonts w:hint="eastAsia" w:ascii="仿宋" w:hAnsi="仿宋" w:eastAsia="仿宋" w:cs="仿宋"/>
          <w:color w:val="auto"/>
          <w:spacing w:val="-20"/>
          <w:sz w:val="24"/>
          <w:szCs w:val="24"/>
          <w:highlight w:val="none"/>
          <w:lang w:eastAsia="zh-CN"/>
        </w:rPr>
      </w:pPr>
    </w:p>
    <w:p>
      <w:pPr>
        <w:rPr>
          <w:rFonts w:hint="eastAsia" w:ascii="仿宋" w:hAnsi="仿宋" w:eastAsia="仿宋" w:cs="仿宋"/>
          <w:color w:val="auto"/>
          <w:spacing w:val="-20"/>
          <w:sz w:val="24"/>
          <w:szCs w:val="24"/>
          <w:highlight w:val="none"/>
          <w:lang w:eastAsia="zh-CN"/>
        </w:rPr>
      </w:pPr>
    </w:p>
    <w:p>
      <w:pPr>
        <w:pStyle w:val="2"/>
        <w:rPr>
          <w:rFonts w:hint="eastAsia"/>
          <w:lang w:eastAsia="zh-CN"/>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发包人名称：</w:t>
      </w:r>
      <w:r>
        <w:rPr>
          <w:rFonts w:hint="eastAsia" w:ascii="仿宋" w:hAnsi="仿宋" w:eastAsia="仿宋" w:cs="仿宋"/>
          <w:color w:val="auto"/>
          <w:sz w:val="24"/>
          <w:szCs w:val="24"/>
          <w:highlight w:val="none"/>
        </w:rPr>
        <w:t>（盖章）</w:t>
      </w:r>
      <w:r>
        <w:rPr>
          <w:rFonts w:hint="eastAsia" w:ascii="仿宋" w:hAnsi="仿宋" w:eastAsia="仿宋" w:cs="仿宋"/>
          <w:color w:val="auto"/>
          <w:spacing w:val="-20"/>
          <w:sz w:val="24"/>
          <w:szCs w:val="24"/>
          <w:highlight w:val="none"/>
        </w:rPr>
        <w:t xml:space="preserve">              </w:t>
      </w:r>
      <w:r>
        <w:rPr>
          <w:rFonts w:ascii="仿宋" w:hAnsi="仿宋" w:eastAsia="仿宋" w:cs="仿宋"/>
          <w:color w:val="auto"/>
          <w:spacing w:val="-20"/>
          <w:sz w:val="24"/>
          <w:szCs w:val="24"/>
          <w:highlight w:val="none"/>
        </w:rPr>
        <w:t xml:space="preserve">     </w:t>
      </w:r>
      <w:r>
        <w:rPr>
          <w:rFonts w:hint="eastAsia" w:ascii="仿宋" w:hAnsi="仿宋" w:eastAsia="仿宋" w:cs="仿宋"/>
          <w:color w:val="auto"/>
          <w:spacing w:val="-20"/>
          <w:sz w:val="24"/>
          <w:szCs w:val="24"/>
          <w:highlight w:val="none"/>
        </w:rPr>
        <w:t xml:space="preserve"> </w:t>
      </w:r>
      <w:r>
        <w:rPr>
          <w:rFonts w:ascii="仿宋" w:hAnsi="仿宋" w:eastAsia="仿宋" w:cs="仿宋"/>
          <w:color w:val="auto"/>
          <w:spacing w:val="-20"/>
          <w:sz w:val="24"/>
          <w:szCs w:val="24"/>
          <w:highlight w:val="none"/>
        </w:rPr>
        <w:t xml:space="preserve">     </w:t>
      </w:r>
      <w:r>
        <w:rPr>
          <w:rFonts w:hint="eastAsia" w:ascii="仿宋" w:hAnsi="仿宋" w:eastAsia="仿宋" w:cs="仿宋"/>
          <w:color w:val="auto"/>
          <w:spacing w:val="-20"/>
          <w:sz w:val="24"/>
          <w:szCs w:val="24"/>
          <w:highlight w:val="none"/>
        </w:rPr>
        <w:t xml:space="preserve"> 承包人名称：</w:t>
      </w:r>
      <w:r>
        <w:rPr>
          <w:rFonts w:hint="eastAsia" w:ascii="仿宋" w:hAnsi="仿宋" w:eastAsia="仿宋" w:cs="仿宋"/>
          <w:color w:val="auto"/>
          <w:sz w:val="24"/>
          <w:szCs w:val="24"/>
          <w:highlight w:val="none"/>
        </w:rPr>
        <w:t>（盖章）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法定代表人或其</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委托代理人（签章）：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委托代理人（签章）：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住所：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住所：</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邮政编码：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邮政编码：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传真：</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开户银行：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 xml:space="preserve">号：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p>
    <w:p>
      <w:pPr>
        <w:widowControl w:val="0"/>
        <w:spacing w:line="360" w:lineRule="auto"/>
        <w:ind w:firstLine="0" w:firstLineChars="0"/>
        <w:jc w:val="both"/>
        <w:rPr>
          <w:rFonts w:hint="eastAsia" w:ascii="仿宋" w:hAnsi="仿宋" w:eastAsia="仿宋" w:cs="仿宋"/>
          <w:bCs/>
          <w:color w:val="auto"/>
          <w:spacing w:val="10"/>
          <w:kern w:val="0"/>
          <w:sz w:val="24"/>
          <w:szCs w:val="24"/>
          <w:highlight w:val="none"/>
          <w:lang w:val="en-US" w:eastAsia="zh-CN" w:bidi="ar-SA"/>
        </w:rPr>
      </w:pPr>
    </w:p>
    <w:p>
      <w:pPr>
        <w:widowControl w:val="0"/>
        <w:spacing w:line="360" w:lineRule="auto"/>
        <w:ind w:firstLine="0" w:firstLineChars="0"/>
        <w:jc w:val="both"/>
        <w:rPr>
          <w:rFonts w:hint="eastAsia" w:ascii="仿宋" w:hAnsi="仿宋" w:eastAsia="仿宋" w:cs="仿宋"/>
          <w:bCs/>
          <w:color w:val="auto"/>
          <w:spacing w:val="10"/>
          <w:kern w:val="0"/>
          <w:sz w:val="24"/>
          <w:szCs w:val="24"/>
          <w:highlight w:val="none"/>
          <w:lang w:val="en-US" w:eastAsia="zh-CN" w:bidi="ar-SA"/>
        </w:rPr>
      </w:pPr>
      <w:r>
        <w:rPr>
          <w:rFonts w:hint="eastAsia" w:ascii="仿宋" w:hAnsi="仿宋" w:eastAsia="仿宋" w:cs="仿宋"/>
          <w:bCs/>
          <w:color w:val="auto"/>
          <w:spacing w:val="10"/>
          <w:kern w:val="0"/>
          <w:sz w:val="24"/>
          <w:szCs w:val="24"/>
          <w:highlight w:val="none"/>
          <w:lang w:val="en-US" w:eastAsia="zh-CN" w:bidi="ar-SA"/>
        </w:rPr>
        <w:t xml:space="preserve">签订日期： 年 月  日       </w:t>
      </w:r>
      <w:r>
        <w:rPr>
          <w:rFonts w:ascii="仿宋" w:hAnsi="仿宋" w:eastAsia="仿宋" w:cs="仿宋"/>
          <w:bCs/>
          <w:color w:val="auto"/>
          <w:spacing w:val="10"/>
          <w:kern w:val="0"/>
          <w:sz w:val="24"/>
          <w:szCs w:val="24"/>
          <w:highlight w:val="none"/>
          <w:lang w:val="en-US" w:eastAsia="zh-CN" w:bidi="ar-SA"/>
        </w:rPr>
        <w:t xml:space="preserve">    </w:t>
      </w:r>
      <w:r>
        <w:rPr>
          <w:rFonts w:hint="eastAsia" w:ascii="仿宋" w:hAnsi="仿宋" w:eastAsia="仿宋" w:cs="仿宋"/>
          <w:bCs/>
          <w:color w:val="auto"/>
          <w:spacing w:val="10"/>
          <w:kern w:val="0"/>
          <w:sz w:val="24"/>
          <w:szCs w:val="24"/>
          <w:highlight w:val="none"/>
          <w:lang w:val="en-US" w:eastAsia="zh-CN" w:bidi="ar-SA"/>
        </w:rPr>
        <w:t>签订日期： 年 月  日</w:t>
      </w:r>
    </w:p>
    <w:p>
      <w:pPr>
        <w:rPr>
          <w:rFonts w:hint="eastAsia"/>
          <w:color w:val="auto"/>
          <w:highlight w:val="none"/>
        </w:rPr>
        <w:sectPr>
          <w:pgSz w:w="11906" w:h="16838"/>
          <w:pgMar w:top="1440" w:right="1800" w:bottom="1440" w:left="1800" w:header="794" w:footer="992" w:gutter="0"/>
          <w:pgNumType w:fmt="decimal"/>
          <w:cols w:space="425" w:num="1"/>
          <w:docGrid w:type="lines" w:linePitch="312" w:charSpace="0"/>
        </w:sectPr>
      </w:pPr>
    </w:p>
    <w:p>
      <w:pPr>
        <w:widowControl w:val="0"/>
        <w:snapToGrid w:val="0"/>
        <w:spacing w:after="120" w:line="240" w:lineRule="auto"/>
        <w:ind w:left="420" w:leftChars="200" w:firstLine="420" w:firstLineChars="200"/>
        <w:jc w:val="both"/>
        <w:rPr>
          <w:rFonts w:ascii="仿宋_GB2312" w:hAnsi="Times New Roman" w:eastAsia="仿宋_GB2312" w:cs="Times New Roman"/>
          <w:bCs/>
          <w:color w:val="auto"/>
          <w:kern w:val="2"/>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第六章  </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格式及附件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 xml:space="preserve">格式1:                </w:t>
      </w:r>
      <w:r>
        <w:rPr>
          <w:rFonts w:hint="eastAsia" w:ascii="宋体" w:hAnsi="宋体" w:eastAsia="宋体" w:cs="宋体"/>
          <w:b/>
          <w:color w:val="auto"/>
          <w:sz w:val="21"/>
          <w:szCs w:val="21"/>
          <w:highlight w:val="none"/>
          <w:lang w:val="en-US" w:eastAsia="zh-CN"/>
        </w:rPr>
        <w:t xml:space="preserve">           响 应</w:t>
      </w:r>
      <w:r>
        <w:rPr>
          <w:rFonts w:hint="eastAsia" w:ascii="宋体" w:hAnsi="宋体" w:eastAsia="宋体" w:cs="宋体"/>
          <w:b/>
          <w:color w:val="auto"/>
          <w:sz w:val="21"/>
          <w:szCs w:val="21"/>
          <w:highlight w:val="none"/>
        </w:rPr>
        <w:t xml:space="preserve"> 声 明 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致：</w:t>
      </w:r>
      <w:r>
        <w:rPr>
          <w:rFonts w:hint="eastAsia" w:ascii="宋体" w:hAnsi="宋体" w:eastAsia="宋体" w:cs="宋体"/>
          <w:bCs/>
          <w:color w:val="auto"/>
          <w:sz w:val="21"/>
          <w:szCs w:val="21"/>
          <w:highlight w:val="none"/>
          <w:lang w:eastAsia="zh-CN"/>
        </w:rPr>
        <w:t>（</w:t>
      </w:r>
      <w:r>
        <w:rPr>
          <w:rFonts w:hint="eastAsia" w:ascii="宋体" w:hAnsi="宋体" w:eastAsia="宋体" w:cs="宋体"/>
          <w:bCs/>
          <w:i/>
          <w:iCs/>
          <w:color w:val="auto"/>
          <w:sz w:val="21"/>
          <w:szCs w:val="21"/>
          <w:highlight w:val="none"/>
          <w:u w:val="single"/>
          <w:lang w:val="en-US" w:eastAsia="zh-CN"/>
        </w:rPr>
        <w:t>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根据贵方</w:t>
      </w:r>
      <w:r>
        <w:rPr>
          <w:rFonts w:hint="eastAsia" w:ascii="宋体" w:hAnsi="宋体" w:eastAsia="宋体" w:cs="宋体"/>
          <w:bCs/>
          <w:color w:val="auto"/>
          <w:kern w:val="2"/>
          <w:sz w:val="21"/>
          <w:szCs w:val="21"/>
          <w:highlight w:val="none"/>
          <w:u w:val="single"/>
          <w:lang w:val="en-US" w:eastAsia="zh-CN" w:bidi="ar-SA"/>
        </w:rPr>
        <w:t xml:space="preserve">  （项目名称） </w:t>
      </w:r>
      <w:r>
        <w:rPr>
          <w:rFonts w:hint="eastAsia" w:ascii="宋体" w:hAnsi="宋体" w:eastAsia="宋体" w:cs="宋体"/>
          <w:bCs/>
          <w:color w:val="auto"/>
          <w:kern w:val="2"/>
          <w:sz w:val="21"/>
          <w:szCs w:val="21"/>
          <w:highlight w:val="none"/>
          <w:lang w:val="en-US" w:eastAsia="zh-CN" w:bidi="ar-SA"/>
        </w:rPr>
        <w:t>项目（项目编号（分包号）：</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）的采购比选公告，本签字代表</w:t>
      </w:r>
      <w:r>
        <w:rPr>
          <w:rFonts w:hint="eastAsia" w:ascii="宋体" w:hAnsi="宋体" w:eastAsia="宋体" w:cs="宋体"/>
          <w:bCs/>
          <w:color w:val="auto"/>
          <w:kern w:val="2"/>
          <w:sz w:val="21"/>
          <w:szCs w:val="21"/>
          <w:highlight w:val="none"/>
          <w:u w:val="single"/>
          <w:lang w:val="en-US" w:eastAsia="zh-CN" w:bidi="ar-SA"/>
        </w:rPr>
        <w:t>（全名、职务）</w:t>
      </w:r>
      <w:r>
        <w:rPr>
          <w:rFonts w:hint="eastAsia" w:ascii="宋体" w:hAnsi="宋体" w:eastAsia="宋体" w:cs="宋体"/>
          <w:bCs/>
          <w:color w:val="auto"/>
          <w:kern w:val="2"/>
          <w:sz w:val="21"/>
          <w:szCs w:val="21"/>
          <w:highlight w:val="none"/>
          <w:lang w:val="en-US" w:eastAsia="zh-CN" w:bidi="ar-SA"/>
        </w:rPr>
        <w:t>代表供应商</w:t>
      </w:r>
      <w:r>
        <w:rPr>
          <w:rFonts w:hint="eastAsia" w:ascii="宋体" w:hAnsi="宋体" w:eastAsia="宋体" w:cs="宋体"/>
          <w:bCs/>
          <w:color w:val="auto"/>
          <w:kern w:val="2"/>
          <w:sz w:val="21"/>
          <w:szCs w:val="21"/>
          <w:highlight w:val="none"/>
          <w:u w:val="single"/>
          <w:lang w:val="en-US" w:eastAsia="zh-CN" w:bidi="ar-SA"/>
        </w:rPr>
        <w:t>（供应商单位名称、地址）</w:t>
      </w:r>
      <w:r>
        <w:rPr>
          <w:rFonts w:hint="eastAsia" w:ascii="宋体" w:hAnsi="宋体" w:eastAsia="宋体" w:cs="宋体"/>
          <w:bCs/>
          <w:color w:val="auto"/>
          <w:kern w:val="2"/>
          <w:sz w:val="21"/>
          <w:szCs w:val="21"/>
          <w:highlight w:val="none"/>
          <w:lang w:val="en-US" w:eastAsia="zh-CN" w:bidi="ar-SA"/>
        </w:rPr>
        <w:t>提交下述文件正本一份和副本</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份及电子版U盘一个。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据此函，签字代表承诺如下内容（本承诺内容为</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基本要求，如不满足或有缺漏项的，视为</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1、我们愿意遵守采购比选文件中的各项规定，提供符合采购比选文件所要求的各项服务。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2、我们同意本响应文件自响应文件接收截止日起90天内有效。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3、我们已经详细地阅读了全部采购比选文件及附件，包括澄清及参考文件（若有），我们完全理解并同意放弃对这方面有不明及误解的权利。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t>4.我们同意按贵司的要求提供有关资料，并保证真实性。</w:t>
      </w:r>
      <w:r>
        <w:rPr>
          <w:rFonts w:hint="eastAsia" w:ascii="宋体" w:hAnsi="宋体" w:eastAsia="宋体" w:cs="宋体"/>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 xml:space="preserve">代表签字：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 xml:space="preserve">（全称并加盖公章）：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日  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p>
    <w:p>
      <w:pPr>
        <w:widowControl w:val="0"/>
        <w:snapToGrid w:val="0"/>
        <w:spacing w:after="120" w:line="240" w:lineRule="auto"/>
        <w:ind w:left="420" w:leftChars="200" w:firstLine="420" w:firstLineChars="200"/>
        <w:jc w:val="both"/>
        <w:rPr>
          <w:rFonts w:hint="eastAsia" w:ascii="仿宋_GB2312" w:hAnsi="Times New Roman" w:eastAsia="仿宋_GB2312" w:cs="Times New Roman"/>
          <w:bCs/>
          <w:color w:val="auto"/>
          <w:kern w:val="2"/>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bCs w:val="0"/>
          <w:color w:val="auto"/>
          <w:sz w:val="21"/>
          <w:szCs w:val="21"/>
          <w:highlight w:val="none"/>
        </w:rPr>
      </w:pPr>
      <w:r>
        <w:rPr>
          <w:rFonts w:hint="eastAsia" w:ascii="宋体" w:hAnsi="宋体" w:eastAsia="宋体" w:cs="宋体"/>
          <w:b/>
          <w:color w:val="auto"/>
          <w:sz w:val="21"/>
          <w:szCs w:val="21"/>
          <w:highlight w:val="none"/>
        </w:rPr>
        <w:t>格式2:</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开标一览表</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Cs/>
          <w:i/>
          <w:iCs/>
          <w:color w:val="auto"/>
          <w:sz w:val="21"/>
          <w:szCs w:val="21"/>
          <w:highlight w:val="none"/>
          <w:u w:val="single"/>
          <w:lang w:val="en-US" w:eastAsia="zh-CN"/>
        </w:rPr>
      </w:pPr>
      <w:r>
        <w:rPr>
          <w:rFonts w:hint="eastAsia" w:ascii="宋体" w:hAnsi="宋体" w:eastAsia="宋体" w:cs="宋体"/>
          <w:bCs/>
          <w:i/>
          <w:iCs/>
          <w:color w:val="auto"/>
          <w:sz w:val="21"/>
          <w:szCs w:val="21"/>
          <w:highlight w:val="none"/>
          <w:u w:val="single"/>
          <w:lang w:val="en-US" w:eastAsia="zh-CN"/>
        </w:rPr>
        <w:t>1、常用报价格式：</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                             项目编号（分包号）：</w:t>
      </w:r>
    </w:p>
    <w:tbl>
      <w:tblPr>
        <w:tblStyle w:val="1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总价(小写)（元）</w:t>
            </w:r>
          </w:p>
        </w:tc>
        <w:tc>
          <w:tcPr>
            <w:tcW w:w="282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服务期限</w:t>
            </w:r>
          </w:p>
        </w:tc>
        <w:tc>
          <w:tcPr>
            <w:tcW w:w="1527"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highlight w:val="none"/>
              </w:rPr>
            </w:pPr>
          </w:p>
        </w:tc>
        <w:tc>
          <w:tcPr>
            <w:tcW w:w="282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highlight w:val="none"/>
              </w:rPr>
            </w:pPr>
          </w:p>
        </w:tc>
        <w:tc>
          <w:tcPr>
            <w:tcW w:w="1527"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是否为符合条件的小微型企业:是（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备注：（其他需要说明的情形）</w:t>
            </w:r>
          </w:p>
        </w:tc>
      </w:tr>
    </w:tbl>
    <w:p>
      <w:pPr>
        <w:pageBreakBefore w:val="0"/>
        <w:widowControl w:val="0"/>
        <w:kinsoku/>
        <w:wordWrap/>
        <w:overflowPunct/>
        <w:topLinePunct w:val="0"/>
        <w:autoSpaceDE/>
        <w:autoSpaceDN/>
        <w:bidi w:val="0"/>
        <w:adjustRightInd w:val="0"/>
        <w:snapToGrid w:val="0"/>
        <w:spacing w:line="360" w:lineRule="auto"/>
        <w:ind w:firstLine="560"/>
        <w:textAlignment w:val="auto"/>
        <w:rPr>
          <w:rFonts w:ascii="宋体" w:hAnsi="宋体" w:eastAsia="宋体" w:cs="宋体"/>
          <w:bCs/>
          <w:color w:val="auto"/>
          <w:sz w:val="21"/>
          <w:szCs w:val="21"/>
          <w:highlight w:val="none"/>
        </w:rPr>
      </w:pPr>
    </w:p>
    <w:p>
      <w:pPr>
        <w:pageBreakBefore w:val="0"/>
        <w:widowControl w:val="0"/>
        <w:wordWrap/>
        <w:topLinePunct w:val="0"/>
        <w:bidi w:val="0"/>
        <w:adjustRightInd w:val="0"/>
        <w:snapToGrid w:val="0"/>
        <w:spacing w:line="360" w:lineRule="auto"/>
        <w:ind w:firstLine="420" w:firstLineChars="200"/>
        <w:jc w:val="left"/>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供应商名称：                 （公章）</w:t>
      </w:r>
    </w:p>
    <w:p>
      <w:pPr>
        <w:pageBreakBefore w:val="0"/>
        <w:widowControl w:val="0"/>
        <w:wordWrap/>
        <w:topLinePunct w:val="0"/>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p>
    <w:p>
      <w:pPr>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宋体" w:hAnsi="宋体" w:eastAsia="宋体" w:cs="宋体"/>
          <w:bCs/>
          <w:color w:val="auto"/>
          <w:kern w:val="2"/>
          <w:sz w:val="21"/>
          <w:szCs w:val="21"/>
          <w:highlight w:val="none"/>
          <w:lang w:val="en-US" w:eastAsia="zh-CN" w:bidi="ar-SA"/>
        </w:rPr>
        <w:t xml:space="preserve">供应商代表签名：                日期：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格式3:</w:t>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eastAsia="宋体" w:cs="宋体"/>
          <w:b/>
          <w:bCs w:val="0"/>
          <w:color w:val="auto"/>
          <w:kern w:val="2"/>
          <w:sz w:val="21"/>
          <w:szCs w:val="21"/>
          <w:highlight w:val="none"/>
          <w:lang w:val="en-US" w:eastAsia="zh-CN" w:bidi="ar-SA"/>
        </w:rPr>
        <w:t>响应报价明细表</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项目名称：                         项目编号（分包号）∶ </w:t>
      </w:r>
    </w:p>
    <w:tbl>
      <w:tblPr>
        <w:tblStyle w:val="10"/>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总价（大小写）：</w:t>
            </w:r>
          </w:p>
        </w:tc>
      </w:tr>
    </w:tbl>
    <w:p>
      <w:pPr>
        <w:pageBreakBefore w:val="0"/>
        <w:widowControl w:val="0"/>
        <w:kinsoku/>
        <w:wordWrap/>
        <w:overflowPunct/>
        <w:topLinePunct w:val="0"/>
        <w:autoSpaceDE/>
        <w:autoSpaceDN/>
        <w:bidi w:val="0"/>
        <w:adjustRightInd w:val="0"/>
        <w:snapToGrid w:val="0"/>
        <w:spacing w:line="360" w:lineRule="auto"/>
        <w:ind w:firstLine="561"/>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pPr>
        <w:pageBreakBefore w:val="0"/>
        <w:widowControl w:val="0"/>
        <w:wordWrap/>
        <w:topLinePunct w:val="0"/>
        <w:bidi w:val="0"/>
        <w:adjustRightInd w:val="0"/>
        <w:snapToGrid w:val="0"/>
        <w:spacing w:line="360" w:lineRule="auto"/>
        <w:ind w:firstLine="210" w:firstLineChars="100"/>
        <w:jc w:val="left"/>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供应商名称：                 （公章）</w:t>
      </w:r>
    </w:p>
    <w:p>
      <w:pPr>
        <w:pageBreakBefore w:val="0"/>
        <w:widowControl w:val="0"/>
        <w:wordWrap/>
        <w:topLinePunct w:val="0"/>
        <w:bidi w:val="0"/>
        <w:adjustRightInd w:val="0"/>
        <w:snapToGrid w:val="0"/>
        <w:spacing w:line="360" w:lineRule="auto"/>
        <w:jc w:val="left"/>
        <w:textAlignment w:val="auto"/>
        <w:rPr>
          <w:rFonts w:hint="eastAsia" w:ascii="宋体" w:hAnsi="宋体" w:eastAsia="宋体" w:cs="宋体"/>
          <w:bCs/>
          <w:color w:val="auto"/>
          <w:kern w:val="2"/>
          <w:sz w:val="21"/>
          <w:szCs w:val="21"/>
          <w:highlight w:val="none"/>
          <w:lang w:val="en-US" w:eastAsia="zh-CN" w:bidi="ar-SA"/>
        </w:rPr>
      </w:pPr>
    </w:p>
    <w:p>
      <w:pPr>
        <w:pageBreakBefore w:val="0"/>
        <w:wordWrap/>
        <w:topLinePunct w:val="0"/>
        <w:bidi w:val="0"/>
        <w:adjustRightInd w:val="0"/>
        <w:snapToGrid w:val="0"/>
        <w:spacing w:line="360" w:lineRule="auto"/>
        <w:ind w:firstLine="210" w:firstLineChars="100"/>
        <w:textAlignment w:val="auto"/>
        <w:rPr>
          <w:rFonts w:hint="eastAsia" w:ascii="宋体" w:hAnsi="宋体" w:eastAsia="宋体" w:cs="宋体"/>
          <w:bCs/>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宋体" w:hAnsi="宋体" w:eastAsia="宋体" w:cs="宋体"/>
          <w:bCs/>
          <w:color w:val="auto"/>
          <w:kern w:val="2"/>
          <w:sz w:val="21"/>
          <w:szCs w:val="21"/>
          <w:highlight w:val="none"/>
          <w:lang w:val="en-US" w:eastAsia="zh-CN" w:bidi="ar-SA"/>
        </w:rPr>
        <w:t>供应商代表签名：                日期：</w:t>
      </w:r>
    </w:p>
    <w:p>
      <w:pPr>
        <w:widowControl w:val="0"/>
        <w:snapToGrid w:val="0"/>
        <w:spacing w:after="120" w:line="240" w:lineRule="auto"/>
        <w:ind w:left="420" w:leftChars="200" w:firstLine="420" w:firstLineChars="200"/>
        <w:jc w:val="both"/>
        <w:rPr>
          <w:rFonts w:hint="eastAsia" w:ascii="仿宋_GB2312" w:hAnsi="Times New Roman" w:eastAsia="仿宋_GB2312" w:cs="Times New Roman"/>
          <w:bCs/>
          <w:color w:val="auto"/>
          <w:kern w:val="2"/>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格式4：</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法定代表人授权委托书</w:t>
      </w:r>
    </w:p>
    <w:p>
      <w:pP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法定代表人授权委托书</w:t>
      </w:r>
    </w:p>
    <w:p>
      <w:pPr>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u w:val="single"/>
        </w:rPr>
        <w:t xml:space="preserve">     （供应商名称）     </w:t>
      </w:r>
      <w:r>
        <w:rPr>
          <w:rFonts w:hint="eastAsia" w:ascii="Times New Roman" w:hAnsi="Times New Roman" w:eastAsia="宋体" w:cs="Times New Roman"/>
          <w:color w:val="auto"/>
          <w:szCs w:val="24"/>
          <w:highlight w:val="none"/>
        </w:rPr>
        <w:t>法定代表人授权我司员工</w:t>
      </w:r>
      <w:r>
        <w:rPr>
          <w:rFonts w:hint="eastAsia" w:ascii="Times New Roman" w:hAnsi="Times New Roman" w:eastAsia="宋体" w:cs="Times New Roman"/>
          <w:color w:val="auto"/>
          <w:szCs w:val="24"/>
          <w:highlight w:val="none"/>
          <w:lang w:val="en-US" w:eastAsia="zh-CN"/>
        </w:rPr>
        <w:t xml:space="preserve">      </w:t>
      </w:r>
      <w:r>
        <w:rPr>
          <w:rFonts w:hint="eastAsia" w:ascii="Times New Roman" w:hAnsi="Times New Roman" w:eastAsia="宋体" w:cs="Times New Roman"/>
          <w:color w:val="auto"/>
          <w:szCs w:val="24"/>
          <w:highlight w:val="none"/>
        </w:rPr>
        <w:t>全权负责项目的一切相关事宜。本授权书于_______年_____月_____日签字生效，特此声明。</w:t>
      </w:r>
    </w:p>
    <w:p>
      <w:pPr>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供应商（公章）：                                                         </w:t>
      </w:r>
    </w:p>
    <w:p>
      <w:pP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法定代表人签字：（或法人章）</w:t>
      </w:r>
    </w:p>
    <w:p>
      <w:pP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被授权人签字：</w:t>
      </w:r>
    </w:p>
    <w:p>
      <w:pPr>
        <w:widowControl w:val="0"/>
        <w:snapToGrid w:val="0"/>
        <w:spacing w:after="120" w:line="240" w:lineRule="auto"/>
        <w:ind w:left="0" w:leftChars="0" w:firstLine="0" w:firstLineChars="0"/>
        <w:jc w:val="both"/>
        <w:rPr>
          <w:rFonts w:ascii="仿宋_GB2312" w:hAnsi="Times New Roman" w:eastAsia="仿宋_GB2312" w:cs="Times New Roman"/>
          <w:bCs/>
          <w:color w:val="auto"/>
          <w:kern w:val="2"/>
          <w:sz w:val="21"/>
          <w:szCs w:val="21"/>
          <w:highlight w:val="none"/>
          <w:lang w:val="en-US" w:eastAsia="zh-CN" w:bidi="ar-SA"/>
        </w:rPr>
      </w:pPr>
    </w:p>
    <w:p>
      <w:pPr>
        <w:widowControl w:val="0"/>
        <w:snapToGrid w:val="0"/>
        <w:spacing w:after="120" w:line="240" w:lineRule="auto"/>
        <w:ind w:left="0" w:leftChars="0" w:firstLine="0" w:firstLineChars="0"/>
        <w:jc w:val="both"/>
        <w:rPr>
          <w:rFonts w:ascii="仿宋_GB2312" w:hAnsi="Times New Roman" w:eastAsia="仿宋_GB2312" w:cs="Times New Roman"/>
          <w:bCs/>
          <w:color w:val="auto"/>
          <w:kern w:val="2"/>
          <w:sz w:val="21"/>
          <w:szCs w:val="21"/>
          <w:highlight w:val="none"/>
          <w:lang w:val="en-US" w:eastAsia="zh-CN" w:bidi="ar-SA"/>
        </w:rPr>
      </w:pPr>
    </w:p>
    <w:p>
      <w:pPr>
        <w:widowControl w:val="0"/>
        <w:snapToGrid w:val="0"/>
        <w:spacing w:after="120" w:line="240" w:lineRule="auto"/>
        <w:ind w:left="0" w:leftChars="0" w:firstLine="0" w:firstLineChars="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附：法定代表人身份证复印件</w:t>
      </w:r>
    </w:p>
    <w:p>
      <w:pPr>
        <w:ind w:left="0" w:leftChars="0" w:firstLine="0" w:firstLineChars="0"/>
        <w:rPr>
          <w:rFonts w:hint="eastAsia" w:ascii="Times New Roman" w:hAnsi="Times New Roman" w:eastAsia="宋体" w:cs="Times New Roman"/>
          <w:color w:val="auto"/>
          <w:szCs w:val="24"/>
          <w:highlight w:val="none"/>
        </w:rPr>
        <w:sectPr>
          <w:pgSz w:w="11906" w:h="16838"/>
          <w:pgMar w:top="1440" w:right="1800" w:bottom="1440" w:left="1800" w:header="794" w:footer="992" w:gutter="0"/>
          <w:pgNumType w:fmt="decimal"/>
          <w:cols w:space="425" w:num="1"/>
          <w:docGrid w:type="lines" w:linePitch="312" w:charSpace="0"/>
        </w:sectPr>
      </w:pPr>
      <w:r>
        <w:rPr>
          <w:rFonts w:hint="eastAsia" w:ascii="Times New Roman" w:hAnsi="Times New Roman" w:eastAsia="宋体" w:cs="Times New Roman"/>
          <w:bCs/>
          <w:color w:val="auto"/>
          <w:kern w:val="2"/>
          <w:sz w:val="21"/>
          <w:szCs w:val="24"/>
          <w:highlight w:val="none"/>
          <w:lang w:val="en-US" w:eastAsia="zh-CN" w:bidi="ar-SA"/>
        </w:rPr>
        <w:t>授权委托人身份证复印件</w:t>
      </w:r>
    </w:p>
    <w:p>
      <w:pPr>
        <w:pageBreakBefore w:val="0"/>
        <w:widowControl w:val="0"/>
        <w:kinsoku/>
        <w:wordWrap/>
        <w:overflowPunct/>
        <w:topLinePunct w:val="0"/>
        <w:autoSpaceDE/>
        <w:autoSpaceDN/>
        <w:bidi w:val="0"/>
        <w:adjustRightInd w:val="0"/>
        <w:snapToGrid w:val="0"/>
        <w:spacing w:line="360" w:lineRule="auto"/>
        <w:jc w:val="both"/>
        <w:textAlignment w:val="auto"/>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格式5：                       法定代表人身份证明书</w:t>
      </w:r>
    </w:p>
    <w:p>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法定代表人身份证明书</w:t>
      </w: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hint="default"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rPr>
        <w:t>姓    名：性别：</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年龄：</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职务：</w:t>
      </w:r>
      <w:r>
        <w:rPr>
          <w:rFonts w:hint="eastAsia" w:ascii="宋体" w:hAnsi="宋体" w:eastAsia="宋体" w:cs="宋体"/>
          <w:bCs/>
          <w:color w:val="auto"/>
          <w:szCs w:val="21"/>
          <w:highlight w:val="none"/>
          <w:lang w:val="en-US" w:eastAsia="zh-CN"/>
        </w:rPr>
        <w:t xml:space="preserve">    </w:t>
      </w:r>
    </w:p>
    <w:p>
      <w:pPr>
        <w:adjustRightInd w:val="0"/>
        <w:snapToGri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系</w:t>
      </w:r>
      <w:r>
        <w:rPr>
          <w:rFonts w:hint="eastAsia" w:ascii="宋体" w:hAnsi="宋体" w:eastAsia="宋体" w:cs="宋体"/>
          <w:bCs/>
          <w:color w:val="auto"/>
          <w:szCs w:val="21"/>
          <w:highlight w:val="none"/>
          <w:u w:val="single"/>
        </w:rPr>
        <w:t xml:space="preserve">    （供应商名称）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的法定代表人。</w:t>
      </w: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 特此证明。</w:t>
      </w: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ascii="宋体" w:hAnsi="宋体" w:eastAsia="宋体" w:cs="宋体"/>
          <w:bCs/>
          <w:color w:val="auto"/>
          <w:szCs w:val="21"/>
          <w:highlight w:val="none"/>
        </w:rPr>
      </w:pPr>
    </w:p>
    <w:p>
      <w:pPr>
        <w:adjustRightInd w:val="0"/>
        <w:snapToGri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供应商（公章）：                </w:t>
      </w:r>
    </w:p>
    <w:p>
      <w:pPr>
        <w:adjustRightInd w:val="0"/>
        <w:snapToGrid w:val="0"/>
        <w:spacing w:line="360" w:lineRule="auto"/>
        <w:rPr>
          <w:rFonts w:ascii="宋体" w:hAnsi="宋体" w:eastAsia="宋体" w:cs="宋体"/>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宋体" w:hAnsi="宋体" w:eastAsia="宋体" w:cs="宋体"/>
          <w:bCs/>
          <w:color w:val="auto"/>
          <w:szCs w:val="21"/>
          <w:highlight w:val="none"/>
        </w:rPr>
        <w:t xml:space="preserve">日期：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color w:val="auto"/>
          <w:sz w:val="21"/>
          <w:szCs w:val="21"/>
          <w:highlight w:val="none"/>
        </w:rPr>
        <w:t>格式6：</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pacing w:val="0"/>
          <w:w w:val="100"/>
          <w:position w:val="0"/>
          <w:sz w:val="21"/>
          <w:szCs w:val="21"/>
          <w:highlight w:val="none"/>
        </w:rPr>
        <w:t>资格承诺函</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highlight w:val="none"/>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致：</w:t>
      </w:r>
      <w:r>
        <w:rPr>
          <w:rFonts w:hint="eastAsia" w:ascii="宋体" w:hAnsi="宋体" w:eastAsia="宋体" w:cs="宋体"/>
          <w:color w:val="auto"/>
          <w:spacing w:val="0"/>
          <w:w w:val="100"/>
          <w:position w:val="0"/>
          <w:sz w:val="21"/>
          <w:szCs w:val="21"/>
          <w:highlight w:val="none"/>
          <w:u w:val="single"/>
        </w:rPr>
        <w:t>（采购人）</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我单位参与</w:t>
      </w:r>
      <w:r>
        <w:rPr>
          <w:rFonts w:hint="eastAsia" w:ascii="宋体" w:hAnsi="宋体" w:eastAsia="宋体" w:cs="宋体"/>
          <w:color w:val="auto"/>
          <w:spacing w:val="0"/>
          <w:w w:val="100"/>
          <w:position w:val="0"/>
          <w:sz w:val="21"/>
          <w:szCs w:val="21"/>
          <w:highlight w:val="none"/>
          <w:u w:val="single"/>
        </w:rPr>
        <w:t>（项目名称）（项目编号</w:t>
      </w:r>
      <w:r>
        <w:rPr>
          <w:rFonts w:hint="eastAsia" w:ascii="宋体" w:hAnsi="宋体" w:eastAsia="宋体" w:cs="宋体"/>
          <w:color w:val="auto"/>
          <w:spacing w:val="0"/>
          <w:w w:val="100"/>
          <w:position w:val="0"/>
          <w:sz w:val="21"/>
          <w:szCs w:val="21"/>
          <w:highlight w:val="none"/>
          <w:u w:val="single"/>
          <w:lang w:eastAsia="zh-CN"/>
        </w:rPr>
        <w:t>（分包号）</w:t>
      </w:r>
      <w:r>
        <w:rPr>
          <w:rFonts w:hint="eastAsia" w:ascii="宋体" w:hAnsi="宋体" w:eastAsia="宋体" w:cs="宋体"/>
          <w:color w:val="auto"/>
          <w:spacing w:val="0"/>
          <w:w w:val="100"/>
          <w:position w:val="0"/>
          <w:sz w:val="21"/>
          <w:szCs w:val="21"/>
          <w:highlight w:val="none"/>
          <w:u w:val="single"/>
        </w:rPr>
        <w:t>： ）</w:t>
      </w:r>
      <w:r>
        <w:rPr>
          <w:rFonts w:hint="eastAsia" w:ascii="宋体" w:hAnsi="宋体" w:eastAsia="宋体" w:cs="宋体"/>
          <w:color w:val="auto"/>
          <w:spacing w:val="0"/>
          <w:w w:val="100"/>
          <w:position w:val="0"/>
          <w:sz w:val="21"/>
          <w:szCs w:val="21"/>
          <w:highlight w:val="none"/>
        </w:rPr>
        <w:t>项目的采购活动，现承诺如下：</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我单位具有符合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规定的良好的商业信誉和健全</w:t>
      </w:r>
      <w:r>
        <w:rPr>
          <w:rFonts w:hint="eastAsia" w:ascii="宋体" w:hAnsi="宋体" w:eastAsia="宋体" w:cs="宋体"/>
          <w:color w:val="auto"/>
          <w:spacing w:val="0"/>
          <w:w w:val="100"/>
          <w:position w:val="0"/>
          <w:sz w:val="21"/>
          <w:szCs w:val="21"/>
          <w:highlight w:val="none"/>
        </w:rPr>
        <w:t>的财务</w:t>
      </w:r>
      <w:r>
        <w:rPr>
          <w:rFonts w:hint="eastAsia" w:ascii="宋体" w:hAnsi="宋体" w:eastAsia="宋体" w:cs="宋体"/>
          <w:color w:val="auto"/>
          <w:spacing w:val="0"/>
          <w:w w:val="100"/>
          <w:position w:val="0"/>
          <w:sz w:val="21"/>
          <w:szCs w:val="21"/>
          <w:highlight w:val="none"/>
          <w:lang w:eastAsia="zh-CN"/>
        </w:rPr>
        <w:t>会计制度</w:t>
      </w:r>
      <w:r>
        <w:rPr>
          <w:rFonts w:hint="eastAsia" w:ascii="宋体" w:hAnsi="宋体" w:eastAsia="宋体" w:cs="宋体"/>
          <w:color w:val="auto"/>
          <w:spacing w:val="0"/>
          <w:w w:val="100"/>
          <w:positio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2.我单位具有</w:t>
      </w:r>
      <w:r>
        <w:rPr>
          <w:rFonts w:hint="eastAsia" w:ascii="宋体" w:hAnsi="宋体" w:eastAsia="宋体" w:cs="宋体"/>
          <w:color w:val="auto"/>
          <w:spacing w:val="0"/>
          <w:w w:val="100"/>
          <w:position w:val="0"/>
          <w:sz w:val="21"/>
          <w:szCs w:val="21"/>
          <w:highlight w:val="none"/>
        </w:rPr>
        <w:t>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规定的</w:t>
      </w:r>
      <w:r>
        <w:rPr>
          <w:rFonts w:hint="eastAsia" w:ascii="宋体" w:hAnsi="宋体" w:eastAsia="宋体" w:cs="宋体"/>
          <w:color w:val="auto"/>
          <w:spacing w:val="0"/>
          <w:w w:val="100"/>
          <w:position w:val="0"/>
          <w:sz w:val="21"/>
          <w:szCs w:val="21"/>
          <w:highlight w:val="none"/>
          <w:lang w:val="en-US" w:eastAsia="zh-CN"/>
        </w:rPr>
        <w:t>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.我单位具有符合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w:t>
      </w:r>
      <w:r>
        <w:rPr>
          <w:rFonts w:hint="eastAsia" w:ascii="宋体" w:hAnsi="宋体" w:eastAsia="宋体" w:cs="宋体"/>
          <w:color w:val="auto"/>
          <w:spacing w:val="0"/>
          <w:w w:val="100"/>
          <w:position w:val="0"/>
          <w:sz w:val="21"/>
          <w:szCs w:val="21"/>
          <w:highlight w:val="none"/>
        </w:rPr>
        <w:t>的依法缴纳税收和社会保障资金的相关证明材料。</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.我</w:t>
      </w:r>
      <w:r>
        <w:rPr>
          <w:rFonts w:hint="eastAsia" w:ascii="宋体" w:hAnsi="宋体" w:eastAsia="宋体" w:cs="宋体"/>
          <w:color w:val="auto"/>
          <w:spacing w:val="0"/>
          <w:w w:val="100"/>
          <w:position w:val="0"/>
          <w:sz w:val="21"/>
          <w:szCs w:val="21"/>
          <w:highlight w:val="none"/>
          <w:lang w:eastAsia="zh-CN"/>
        </w:rPr>
        <w:t>单位</w:t>
      </w:r>
      <w:r>
        <w:rPr>
          <w:rFonts w:hint="eastAsia" w:ascii="宋体" w:hAnsi="宋体" w:eastAsia="宋体" w:cs="宋体"/>
          <w:color w:val="auto"/>
          <w:spacing w:val="0"/>
          <w:w w:val="100"/>
          <w:position w:val="0"/>
          <w:sz w:val="21"/>
          <w:szCs w:val="21"/>
          <w:highlight w:val="none"/>
        </w:rPr>
        <w:t>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w:t>
      </w:r>
      <w:r>
        <w:rPr>
          <w:rFonts w:hint="eastAsia" w:ascii="宋体" w:hAnsi="宋体" w:eastAsia="宋体" w:cs="宋体"/>
          <w:color w:val="auto"/>
          <w:spacing w:val="0"/>
          <w:w w:val="100"/>
          <w:position w:val="0"/>
          <w:sz w:val="21"/>
          <w:szCs w:val="21"/>
          <w:highlight w:val="none"/>
        </w:rPr>
        <w:t>的</w:t>
      </w:r>
      <w:r>
        <w:rPr>
          <w:rFonts w:hint="eastAsia" w:ascii="宋体" w:hAnsi="宋体" w:eastAsia="宋体" w:cs="宋体"/>
          <w:color w:val="auto"/>
          <w:spacing w:val="0"/>
          <w:w w:val="100"/>
          <w:position w:val="0"/>
          <w:sz w:val="21"/>
          <w:szCs w:val="21"/>
          <w:highlight w:val="none"/>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highlight w:val="none"/>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5</w:t>
      </w:r>
      <w:r>
        <w:rPr>
          <w:rFonts w:hint="eastAsia" w:ascii="宋体" w:hAnsi="宋体" w:eastAsia="宋体" w:cs="宋体"/>
          <w:color w:val="auto"/>
          <w:spacing w:val="0"/>
          <w:w w:val="100"/>
          <w:position w:val="0"/>
          <w:sz w:val="21"/>
          <w:szCs w:val="21"/>
          <w:highlight w:val="none"/>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.同意此承诺书在</w:t>
      </w:r>
      <w:r>
        <w:rPr>
          <w:rFonts w:hint="eastAsia" w:ascii="宋体" w:hAnsi="宋体" w:eastAsia="宋体" w:cs="宋体"/>
          <w:color w:val="auto"/>
          <w:spacing w:val="0"/>
          <w:w w:val="100"/>
          <w:position w:val="0"/>
          <w:sz w:val="21"/>
          <w:szCs w:val="21"/>
          <w:highlight w:val="none"/>
          <w:lang w:eastAsia="zh-CN"/>
        </w:rPr>
        <w:t>市公共资源中心的政府采购信息发布平台</w:t>
      </w:r>
      <w:r>
        <w:rPr>
          <w:rFonts w:hint="eastAsia" w:ascii="宋体" w:hAnsi="宋体" w:eastAsia="宋体" w:cs="宋体"/>
          <w:color w:val="auto"/>
          <w:spacing w:val="0"/>
          <w:w w:val="100"/>
          <w:position w:val="0"/>
          <w:sz w:val="21"/>
          <w:szCs w:val="21"/>
          <w:highlight w:val="none"/>
        </w:rPr>
        <w:t>公示，接受社会各界监督。</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若我单位以上承诺不实，自愿承担提供虚假材料谋取</w:t>
      </w:r>
      <w:r>
        <w:rPr>
          <w:rFonts w:hint="eastAsia" w:ascii="宋体" w:hAnsi="宋体" w:eastAsia="宋体" w:cs="宋体"/>
          <w:color w:val="auto"/>
          <w:spacing w:val="0"/>
          <w:w w:val="100"/>
          <w:position w:val="0"/>
          <w:sz w:val="21"/>
          <w:szCs w:val="21"/>
          <w:highlight w:val="none"/>
          <w:lang w:eastAsia="zh-CN"/>
        </w:rPr>
        <w:t>成交</w:t>
      </w:r>
      <w:r>
        <w:rPr>
          <w:rFonts w:hint="eastAsia" w:ascii="宋体" w:hAnsi="宋体" w:eastAsia="宋体" w:cs="宋体"/>
          <w:color w:val="auto"/>
          <w:spacing w:val="0"/>
          <w:w w:val="100"/>
          <w:position w:val="0"/>
          <w:sz w:val="21"/>
          <w:szCs w:val="21"/>
          <w:highlight w:val="none"/>
        </w:rPr>
        <w:t>、成交的法律责任。</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highlight w:val="none"/>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承诺供应商（全称并加盖公章）：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单位负责人或授权代表（签字）：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宋体" w:hAnsi="宋体" w:eastAsia="宋体" w:cs="宋体"/>
          <w:color w:val="auto"/>
          <w:spacing w:val="0"/>
          <w:w w:val="100"/>
          <w:position w:val="0"/>
          <w:sz w:val="21"/>
          <w:szCs w:val="21"/>
          <w:highlight w:val="none"/>
        </w:rPr>
        <w:t>日期：</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中小企业声明函（服务类）</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w:t>
      </w:r>
    </w:p>
    <w:p>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bCs/>
          <w:color w:val="auto"/>
          <w:sz w:val="21"/>
          <w:szCs w:val="21"/>
          <w:highlight w:val="none"/>
          <w:u w:val="single"/>
        </w:rPr>
        <w:t>（单位名称）</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u w:val="single"/>
        </w:rPr>
        <w:t>（项目名称、项目编号、包号）</w:t>
      </w:r>
      <w:r>
        <w:rPr>
          <w:rFonts w:hint="eastAsia" w:ascii="宋体" w:hAnsi="宋体" w:eastAsia="宋体" w:cs="宋体"/>
          <w:bCs/>
          <w:color w:val="auto"/>
          <w:sz w:val="21"/>
          <w:szCs w:val="21"/>
          <w:highlight w:val="none"/>
        </w:rPr>
        <w:t>采购活动，服务全部由符合政策要求的中小企业承接。相关企业（含联合体中的中小企业、签订分包意向协议的中小企业）的具体情况如下：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 </w:t>
      </w:r>
      <w:r>
        <w:rPr>
          <w:rFonts w:hint="eastAsia" w:ascii="宋体" w:hAnsi="宋体" w:eastAsia="宋体" w:cs="宋体"/>
          <w:bCs/>
          <w:color w:val="auto"/>
          <w:sz w:val="21"/>
          <w:szCs w:val="21"/>
          <w:highlight w:val="none"/>
          <w:u w:val="single"/>
        </w:rPr>
        <w:t>（标的名称）</w:t>
      </w:r>
      <w:r>
        <w:rPr>
          <w:rFonts w:hint="eastAsia" w:ascii="宋体" w:hAnsi="宋体" w:eastAsia="宋体" w:cs="宋体"/>
          <w:bCs/>
          <w:color w:val="auto"/>
          <w:sz w:val="21"/>
          <w:szCs w:val="21"/>
          <w:highlight w:val="none"/>
        </w:rPr>
        <w:t>，属于</w:t>
      </w:r>
      <w:r>
        <w:rPr>
          <w:rFonts w:hint="eastAsia" w:ascii="宋体" w:hAnsi="宋体" w:eastAsia="宋体" w:cs="宋体"/>
          <w:bCs/>
          <w:color w:val="auto"/>
          <w:sz w:val="21"/>
          <w:szCs w:val="21"/>
          <w:highlight w:val="none"/>
          <w:u w:val="single"/>
        </w:rPr>
        <w:t>（采购文件中明确的所属行业）</w:t>
      </w:r>
      <w:r>
        <w:rPr>
          <w:rFonts w:hint="eastAsia" w:ascii="宋体" w:hAnsi="宋体" w:eastAsia="宋体" w:cs="宋体"/>
          <w:bCs/>
          <w:color w:val="auto"/>
          <w:sz w:val="21"/>
          <w:szCs w:val="21"/>
          <w:highlight w:val="none"/>
        </w:rPr>
        <w:t>；承接企业为</w:t>
      </w:r>
      <w:r>
        <w:rPr>
          <w:rFonts w:hint="eastAsia" w:ascii="宋体" w:hAnsi="宋体" w:eastAsia="宋体" w:cs="宋体"/>
          <w:bCs/>
          <w:color w:val="auto"/>
          <w:sz w:val="21"/>
          <w:szCs w:val="21"/>
          <w:highlight w:val="none"/>
          <w:u w:val="single"/>
        </w:rPr>
        <w:t>（企业名称）</w:t>
      </w:r>
      <w:r>
        <w:rPr>
          <w:rFonts w:hint="eastAsia" w:ascii="宋体" w:hAnsi="宋体" w:eastAsia="宋体" w:cs="宋体"/>
          <w:bCs/>
          <w:color w:val="auto"/>
          <w:sz w:val="21"/>
          <w:szCs w:val="21"/>
          <w:highlight w:val="none"/>
        </w:rPr>
        <w:t>，从业人员</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人，营业收入为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万元，资产总额为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万元，属于</w:t>
      </w:r>
      <w:r>
        <w:rPr>
          <w:rFonts w:hint="eastAsia" w:ascii="宋体" w:hAnsi="宋体" w:eastAsia="宋体" w:cs="宋体"/>
          <w:bCs/>
          <w:color w:val="auto"/>
          <w:sz w:val="21"/>
          <w:szCs w:val="21"/>
          <w:highlight w:val="none"/>
          <w:u w:val="single"/>
        </w:rPr>
        <w:t>（中型企业、小型企业、微型企业）</w:t>
      </w:r>
      <w:r>
        <w:rPr>
          <w:rFonts w:hint="eastAsia" w:ascii="宋体" w:hAnsi="宋体" w:eastAsia="宋体" w:cs="宋体"/>
          <w:bCs/>
          <w:color w:val="auto"/>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 </w:t>
      </w:r>
      <w:r>
        <w:rPr>
          <w:rFonts w:hint="eastAsia" w:ascii="宋体" w:hAnsi="宋体" w:eastAsia="宋体" w:cs="宋体"/>
          <w:bCs/>
          <w:color w:val="auto"/>
          <w:sz w:val="21"/>
          <w:szCs w:val="21"/>
          <w:highlight w:val="none"/>
          <w:u w:val="single"/>
        </w:rPr>
        <w:t>（标的名称）</w:t>
      </w:r>
      <w:r>
        <w:rPr>
          <w:rFonts w:hint="eastAsia" w:ascii="宋体" w:hAnsi="宋体" w:eastAsia="宋体" w:cs="宋体"/>
          <w:bCs/>
          <w:color w:val="auto"/>
          <w:sz w:val="21"/>
          <w:szCs w:val="21"/>
          <w:highlight w:val="none"/>
        </w:rPr>
        <w:t>，属于</w:t>
      </w:r>
      <w:r>
        <w:rPr>
          <w:rFonts w:hint="eastAsia" w:ascii="宋体" w:hAnsi="宋体" w:eastAsia="宋体" w:cs="宋体"/>
          <w:bCs/>
          <w:color w:val="auto"/>
          <w:sz w:val="21"/>
          <w:szCs w:val="21"/>
          <w:highlight w:val="none"/>
          <w:u w:val="single"/>
        </w:rPr>
        <w:t>（采购文件中明确的所属行业）</w:t>
      </w:r>
      <w:r>
        <w:rPr>
          <w:rFonts w:hint="eastAsia" w:ascii="宋体" w:hAnsi="宋体" w:eastAsia="宋体" w:cs="宋体"/>
          <w:bCs/>
          <w:color w:val="auto"/>
          <w:sz w:val="21"/>
          <w:szCs w:val="21"/>
          <w:highlight w:val="none"/>
        </w:rPr>
        <w:t>；承接企业为</w:t>
      </w:r>
      <w:r>
        <w:rPr>
          <w:rFonts w:hint="eastAsia" w:ascii="宋体" w:hAnsi="宋体" w:eastAsia="宋体" w:cs="宋体"/>
          <w:bCs/>
          <w:color w:val="auto"/>
          <w:sz w:val="21"/>
          <w:szCs w:val="21"/>
          <w:highlight w:val="none"/>
          <w:u w:val="single"/>
        </w:rPr>
        <w:t>（企业名称）</w:t>
      </w:r>
      <w:r>
        <w:rPr>
          <w:rFonts w:hint="eastAsia" w:ascii="宋体" w:hAnsi="宋体" w:eastAsia="宋体" w:cs="宋体"/>
          <w:bCs/>
          <w:color w:val="auto"/>
          <w:sz w:val="21"/>
          <w:szCs w:val="21"/>
          <w:highlight w:val="none"/>
        </w:rPr>
        <w:t>，从业人员</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人，营业收入为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万元，资产总额为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万元，属于</w:t>
      </w:r>
      <w:r>
        <w:rPr>
          <w:rFonts w:hint="eastAsia" w:ascii="宋体" w:hAnsi="宋体" w:eastAsia="宋体" w:cs="宋体"/>
          <w:bCs/>
          <w:color w:val="auto"/>
          <w:sz w:val="21"/>
          <w:szCs w:val="21"/>
          <w:highlight w:val="none"/>
          <w:u w:val="single"/>
        </w:rPr>
        <w:t>（中型企业、小型企业、微型企业）</w:t>
      </w:r>
      <w:r>
        <w:rPr>
          <w:rFonts w:hint="eastAsia" w:ascii="宋体" w:hAnsi="宋体" w:eastAsia="宋体" w:cs="宋体"/>
          <w:bCs/>
          <w:color w:val="auto"/>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宋体" w:hAnsi="宋体" w:eastAsia="宋体" w:cs="宋体"/>
          <w:bCs/>
          <w:color w:val="auto"/>
          <w:sz w:val="21"/>
          <w:szCs w:val="21"/>
          <w:highlight w:val="none"/>
        </w:rPr>
      </w:pPr>
    </w:p>
    <w:p>
      <w:pPr>
        <w:pageBreakBefore w:val="0"/>
        <w:widowControl w:val="0"/>
        <w:wordWrap/>
        <w:topLinePunct w:val="0"/>
        <w:bidi w:val="0"/>
        <w:adjustRightInd w:val="0"/>
        <w:snapToGrid w:val="0"/>
        <w:spacing w:line="360" w:lineRule="auto"/>
        <w:ind w:firstLine="3990" w:firstLineChars="1900"/>
        <w:jc w:val="left"/>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供应商名称（盖章）：</w:t>
      </w:r>
    </w:p>
    <w:p>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sectPr>
          <w:pgSz w:w="11906" w:h="16838"/>
          <w:pgMar w:top="1440" w:right="1800" w:bottom="1440" w:left="1800" w:header="794" w:footer="992" w:gutter="0"/>
          <w:pgNumType w:fmt="decimal"/>
          <w:cols w:space="425" w:num="1"/>
          <w:docGrid w:type="lines" w:linePitch="312" w:charSpace="0"/>
        </w:sectPr>
      </w:pPr>
      <w:r>
        <w:rPr>
          <w:rFonts w:hint="eastAsia" w:ascii="宋体" w:hAnsi="宋体" w:eastAsia="宋体" w:cs="宋体"/>
          <w:bCs/>
          <w:color w:val="auto"/>
          <w:sz w:val="21"/>
          <w:szCs w:val="21"/>
          <w:highlight w:val="none"/>
        </w:rPr>
        <w:t>②供应商提供《中小企业声明函》内容不实的，属于“隐瞒真实情况，提供虚假资料的” 情形，依照有关规定追究相应责任。</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附件3：监狱企业证明文件</w:t>
      </w:r>
    </w:p>
    <w:p>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highlight w:val="none"/>
          <w:lang w:val="zh-CN"/>
        </w:rPr>
        <w:sectPr>
          <w:pgSz w:w="11906" w:h="16838"/>
          <w:pgMar w:top="1440" w:right="1800" w:bottom="1440" w:left="1800" w:header="794" w:footer="992" w:gutter="0"/>
          <w:pgNumType w:fmt="decimal"/>
          <w:cols w:space="425" w:num="1"/>
          <w:docGrid w:type="lines" w:linePitch="312" w:charSpace="0"/>
        </w:sectPr>
      </w:pPr>
      <w:r>
        <w:rPr>
          <w:rFonts w:hint="eastAsia" w:ascii="宋体" w:hAnsi="宋体" w:eastAsia="宋体" w:cs="宋体"/>
          <w:bCs/>
          <w:color w:val="auto"/>
          <w:sz w:val="21"/>
          <w:szCs w:val="21"/>
          <w:highlight w:val="none"/>
          <w:lang w:val="zh-CN"/>
        </w:rPr>
        <w:t>享受</w:t>
      </w:r>
      <w:r>
        <w:rPr>
          <w:rFonts w:hint="eastAsia" w:ascii="Times New Roman" w:hAnsi="Times New Roman" w:eastAsia="宋体" w:cs="Times New Roman"/>
          <w:color w:val="auto"/>
          <w:sz w:val="21"/>
          <w:szCs w:val="21"/>
          <w:highlight w:val="none"/>
          <w:lang w:val="zh-CN"/>
        </w:rPr>
        <w:t>政策优惠的监狱企业须提供由省级以上监狱管理局、戒毒管理局（含新疆生产建设兵团）出具的属于监狱企业的证明文件。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附件4 </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 xml:space="preserve">                       残疾人福利性单位声明函</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单位的</w:t>
      </w:r>
      <w:r>
        <w:rPr>
          <w:rFonts w:hint="eastAsia" w:ascii="宋体" w:hAnsi="宋体" w:eastAsia="宋体" w:cs="宋体"/>
          <w:bCs/>
          <w:color w:val="auto"/>
          <w:sz w:val="21"/>
          <w:szCs w:val="21"/>
          <w:highlight w:val="none"/>
          <w:u w:val="single"/>
        </w:rPr>
        <w:t>（项目名称、项目编号、包号）</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宋体" w:hAnsi="宋体" w:eastAsia="宋体" w:cs="宋体"/>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宋体" w:hAnsi="宋体" w:eastAsia="宋体" w:cs="宋体"/>
          <w:color w:val="auto"/>
          <w:sz w:val="21"/>
          <w:szCs w:val="21"/>
          <w:highlight w:val="none"/>
        </w:rPr>
      </w:pP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单位名称（盖章）：　　　　　　　　</w:t>
      </w: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日期：</w:t>
      </w:r>
    </w:p>
    <w:p>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宋体" w:hAnsi="宋体" w:eastAsia="宋体" w:cs="宋体"/>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1"/>
          <w:szCs w:val="21"/>
          <w:highlight w:val="none"/>
        </w:rPr>
      </w:pPr>
    </w:p>
    <w:p>
      <w:pPr>
        <w:rPr>
          <w:rFonts w:hint="eastAsia"/>
          <w:color w:val="auto"/>
          <w:highlight w:val="none"/>
          <w:lang w:val="en-US" w:eastAsia="zh-CN"/>
        </w:rPr>
      </w:pPr>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黑体r">
    <w:altName w:val="黑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rPr>
                            <w:t xml:space="preserve">第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- 1 -</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页 共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NUMPAGES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41</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rPr>
                      <w:t xml:space="preserve">第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- 1 -</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页 共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NUMPAGES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41</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页</w:t>
                    </w:r>
                  </w:p>
                </w:txbxContent>
              </v:textbox>
            </v:shape>
          </w:pict>
        </mc:Fallback>
      </mc:AlternateContent>
    </w:r>
    <w:r>
      <w:rPr>
        <w:rFonts w:hint="eastAsia" w:ascii="Calibri" w:hAnsi="Calibri" w:eastAsia="宋体" w:cs="Times New Roman"/>
        <w:kern w:val="2"/>
        <w:sz w:val="18"/>
        <w:szCs w:val="24"/>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第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 共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NUMPAGES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114</w:t>
                          </w:r>
                          <w:r>
                            <w:rPr>
                              <w:rFonts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第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 共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NUMPAGES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114</w:t>
                    </w:r>
                    <w:r>
                      <w:rPr>
                        <w:rFonts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w:t>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1"/>
        <w:lang w:val="en-US" w:eastAsia="zh-CN" w:bidi="ar-SA"/>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both"/>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18"/>
        <w:szCs w:val="18"/>
        <w:lang w:val="en-US" w:eastAsia="zh-CN" w:bidi="ar-SA"/>
      </w:rPr>
      <w:t>海</w:t>
    </w:r>
    <w:r>
      <w:rPr>
        <w:rFonts w:hint="eastAsia" w:ascii="宋体" w:hAnsi="宋体" w:eastAsia="宋体" w:cs="Times New Roman"/>
        <w:b/>
        <w:bCs/>
        <w:kern w:val="2"/>
        <w:sz w:val="21"/>
        <w:szCs w:val="21"/>
        <w:lang w:val="en-US" w:eastAsia="zh-CN" w:bidi="ar-SA"/>
      </w:rPr>
      <w:t>口市政府采购中心                    海口市人民医院物业服务项目（C包 安保服务）</w:t>
    </w:r>
  </w:p>
  <w:p>
    <w:pPr>
      <w:widowControl w:val="0"/>
      <w:ind w:left="3975" w:leftChars="1893" w:firstLine="2741" w:firstLineChars="1300"/>
      <w:jc w:val="both"/>
      <w:outlineLvl w:val="0"/>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/HKGP-2021-0038</w:t>
    </w:r>
  </w:p>
  <w:p>
    <w:pPr>
      <w:widowControl w:val="0"/>
      <w:pBdr>
        <w:bottom w:val="none" w:color="auto" w:sz="0"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1"/>
        <w:lang w:val="en-US" w:eastAsia="zh-CN" w:bidi="ar-SA"/>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both"/>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18"/>
        <w:szCs w:val="18"/>
        <w:lang w:val="en-US" w:eastAsia="zh-CN" w:bidi="ar-SA"/>
      </w:rPr>
      <w:t>海</w:t>
    </w:r>
    <w:r>
      <w:rPr>
        <w:rFonts w:hint="eastAsia" w:ascii="宋体" w:hAnsi="宋体" w:eastAsia="宋体" w:cs="Times New Roman"/>
        <w:b/>
        <w:bCs/>
        <w:kern w:val="2"/>
        <w:sz w:val="21"/>
        <w:szCs w:val="21"/>
        <w:lang w:val="en-US" w:eastAsia="zh-CN" w:bidi="ar-SA"/>
      </w:rPr>
      <w:t>口市政府采购中心                    海口市人民医院物业服务项目（C包 安保服务）</w:t>
    </w:r>
  </w:p>
  <w:p>
    <w:pPr>
      <w:widowControl w:val="0"/>
      <w:ind w:left="3975" w:leftChars="1893" w:firstLine="2741" w:firstLineChars="1300"/>
      <w:jc w:val="both"/>
      <w:outlineLvl w:val="0"/>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/HKGP-2021-0038</w:t>
    </w:r>
  </w:p>
  <w:p>
    <w:pPr>
      <w:rPr>
        <w:rFonts w:ascii="Times New Roman" w:hAnsi="Times New Roman" w:eastAsia="宋体"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705F4"/>
    <w:multiLevelType w:val="singleLevel"/>
    <w:tmpl w:val="C24705F4"/>
    <w:lvl w:ilvl="0" w:tentative="0">
      <w:start w:val="5"/>
      <w:numFmt w:val="chineseCounting"/>
      <w:suff w:val="space"/>
      <w:lvlText w:val="第%1章"/>
      <w:lvlJc w:val="left"/>
      <w:rPr>
        <w:rFonts w:hint="eastAsia"/>
      </w:rPr>
    </w:lvl>
  </w:abstractNum>
  <w:abstractNum w:abstractNumId="1">
    <w:nsid w:val="F9B19318"/>
    <w:multiLevelType w:val="singleLevel"/>
    <w:tmpl w:val="F9B19318"/>
    <w:lvl w:ilvl="0" w:tentative="0">
      <w:start w:val="5"/>
      <w:numFmt w:val="chineseCounting"/>
      <w:suff w:val="nothing"/>
      <w:lvlText w:val="%1、"/>
      <w:lvlJc w:val="left"/>
      <w:rPr>
        <w:rFonts w:hint="eastAsia"/>
      </w:rPr>
    </w:lvl>
  </w:abstractNum>
  <w:abstractNum w:abstractNumId="2">
    <w:nsid w:val="FE17E76F"/>
    <w:multiLevelType w:val="singleLevel"/>
    <w:tmpl w:val="FE17E76F"/>
    <w:lvl w:ilvl="0" w:tentative="0">
      <w:start w:val="1"/>
      <w:numFmt w:val="decimal"/>
      <w:suff w:val="nothing"/>
      <w:lvlText w:val="%1、"/>
      <w:lvlJc w:val="left"/>
    </w:lvl>
  </w:abstractNum>
  <w:abstractNum w:abstractNumId="3">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4">
    <w:nsid w:val="4015E96B"/>
    <w:multiLevelType w:val="singleLevel"/>
    <w:tmpl w:val="4015E96B"/>
    <w:lvl w:ilvl="0" w:tentative="0">
      <w:start w:val="1"/>
      <w:numFmt w:val="upperLetter"/>
      <w:lvlText w:val="%1."/>
      <w:lvlJc w:val="left"/>
      <w:pPr>
        <w:tabs>
          <w:tab w:val="left" w:pos="312"/>
        </w:tabs>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NjcxYjAxNWVjNTMxYmYxOTJkYmFhNzlhZTczYmMifQ=="/>
  </w:docVars>
  <w:rsids>
    <w:rsidRoot w:val="008F16AF"/>
    <w:rsid w:val="00033D57"/>
    <w:rsid w:val="00055B51"/>
    <w:rsid w:val="000678E4"/>
    <w:rsid w:val="0007127F"/>
    <w:rsid w:val="00074BB9"/>
    <w:rsid w:val="0008036A"/>
    <w:rsid w:val="0009476E"/>
    <w:rsid w:val="000E0DAA"/>
    <w:rsid w:val="000E495F"/>
    <w:rsid w:val="00133D15"/>
    <w:rsid w:val="00185632"/>
    <w:rsid w:val="00243EDB"/>
    <w:rsid w:val="002732D9"/>
    <w:rsid w:val="002B1C89"/>
    <w:rsid w:val="002B586B"/>
    <w:rsid w:val="002C67CD"/>
    <w:rsid w:val="00315118"/>
    <w:rsid w:val="003300F4"/>
    <w:rsid w:val="00335255"/>
    <w:rsid w:val="003575C5"/>
    <w:rsid w:val="00361F0A"/>
    <w:rsid w:val="003F7194"/>
    <w:rsid w:val="004055FB"/>
    <w:rsid w:val="00441FDD"/>
    <w:rsid w:val="00486C33"/>
    <w:rsid w:val="00491A6A"/>
    <w:rsid w:val="004A6261"/>
    <w:rsid w:val="004F3779"/>
    <w:rsid w:val="005679E3"/>
    <w:rsid w:val="005A27C5"/>
    <w:rsid w:val="005E1D04"/>
    <w:rsid w:val="006158EB"/>
    <w:rsid w:val="006676F7"/>
    <w:rsid w:val="006C771A"/>
    <w:rsid w:val="006F41B8"/>
    <w:rsid w:val="00764A32"/>
    <w:rsid w:val="007B19C2"/>
    <w:rsid w:val="007C6A8B"/>
    <w:rsid w:val="008340B1"/>
    <w:rsid w:val="00836DCB"/>
    <w:rsid w:val="008639F8"/>
    <w:rsid w:val="00876C96"/>
    <w:rsid w:val="008E350E"/>
    <w:rsid w:val="008F16AF"/>
    <w:rsid w:val="009119F7"/>
    <w:rsid w:val="0093781A"/>
    <w:rsid w:val="0095162F"/>
    <w:rsid w:val="009608A7"/>
    <w:rsid w:val="009863F5"/>
    <w:rsid w:val="009A0716"/>
    <w:rsid w:val="009A13B3"/>
    <w:rsid w:val="009B7A78"/>
    <w:rsid w:val="009F0A33"/>
    <w:rsid w:val="009F23BF"/>
    <w:rsid w:val="00A37043"/>
    <w:rsid w:val="00A61042"/>
    <w:rsid w:val="00A90E9C"/>
    <w:rsid w:val="00A94F8E"/>
    <w:rsid w:val="00AF5442"/>
    <w:rsid w:val="00AF54B6"/>
    <w:rsid w:val="00B20CF0"/>
    <w:rsid w:val="00B32DB6"/>
    <w:rsid w:val="00BA5945"/>
    <w:rsid w:val="00BB23E5"/>
    <w:rsid w:val="00C44626"/>
    <w:rsid w:val="00C50784"/>
    <w:rsid w:val="00C926F2"/>
    <w:rsid w:val="00CF2FCB"/>
    <w:rsid w:val="00D0054D"/>
    <w:rsid w:val="00D421E4"/>
    <w:rsid w:val="00D50E23"/>
    <w:rsid w:val="00D97B6C"/>
    <w:rsid w:val="00DA3617"/>
    <w:rsid w:val="00DD5E4D"/>
    <w:rsid w:val="00DF0070"/>
    <w:rsid w:val="00E10DCF"/>
    <w:rsid w:val="00E1140B"/>
    <w:rsid w:val="00E223AC"/>
    <w:rsid w:val="00E300BA"/>
    <w:rsid w:val="00E437BB"/>
    <w:rsid w:val="00E5758C"/>
    <w:rsid w:val="00E870BF"/>
    <w:rsid w:val="00ED5799"/>
    <w:rsid w:val="00ED5E4D"/>
    <w:rsid w:val="00ED7B69"/>
    <w:rsid w:val="00F15079"/>
    <w:rsid w:val="00F57144"/>
    <w:rsid w:val="00F57BD5"/>
    <w:rsid w:val="00FC1A54"/>
    <w:rsid w:val="00FF3288"/>
    <w:rsid w:val="00FF3863"/>
    <w:rsid w:val="012A3539"/>
    <w:rsid w:val="013048B2"/>
    <w:rsid w:val="01E959B2"/>
    <w:rsid w:val="021D0EF3"/>
    <w:rsid w:val="02E86F93"/>
    <w:rsid w:val="02F076B3"/>
    <w:rsid w:val="03154020"/>
    <w:rsid w:val="03A21971"/>
    <w:rsid w:val="042919A3"/>
    <w:rsid w:val="04A36514"/>
    <w:rsid w:val="056B2F7D"/>
    <w:rsid w:val="056B701B"/>
    <w:rsid w:val="05C0366A"/>
    <w:rsid w:val="06E6006B"/>
    <w:rsid w:val="092A35B1"/>
    <w:rsid w:val="0A3C521F"/>
    <w:rsid w:val="0BC24184"/>
    <w:rsid w:val="0C813E83"/>
    <w:rsid w:val="0DAF7F3C"/>
    <w:rsid w:val="0E9953A0"/>
    <w:rsid w:val="0EDC45ED"/>
    <w:rsid w:val="105C74F2"/>
    <w:rsid w:val="10786963"/>
    <w:rsid w:val="11863428"/>
    <w:rsid w:val="12B176E7"/>
    <w:rsid w:val="135666F7"/>
    <w:rsid w:val="14574CCE"/>
    <w:rsid w:val="15B030EB"/>
    <w:rsid w:val="167C3D60"/>
    <w:rsid w:val="16951721"/>
    <w:rsid w:val="169F0668"/>
    <w:rsid w:val="16B23127"/>
    <w:rsid w:val="16B54E81"/>
    <w:rsid w:val="16DA5DF9"/>
    <w:rsid w:val="179577AF"/>
    <w:rsid w:val="17A12CFE"/>
    <w:rsid w:val="17E50EF7"/>
    <w:rsid w:val="18EF44C1"/>
    <w:rsid w:val="1A6A0AA2"/>
    <w:rsid w:val="1B463B31"/>
    <w:rsid w:val="1B5C45F8"/>
    <w:rsid w:val="1BE94961"/>
    <w:rsid w:val="1C875CC0"/>
    <w:rsid w:val="1CEF7C1B"/>
    <w:rsid w:val="1E8C34A7"/>
    <w:rsid w:val="1EF653D2"/>
    <w:rsid w:val="1F673936"/>
    <w:rsid w:val="20C444FE"/>
    <w:rsid w:val="2180547C"/>
    <w:rsid w:val="226B6A24"/>
    <w:rsid w:val="22E83DA8"/>
    <w:rsid w:val="23793BC4"/>
    <w:rsid w:val="24CE7F98"/>
    <w:rsid w:val="252B583D"/>
    <w:rsid w:val="25AB27AF"/>
    <w:rsid w:val="26357304"/>
    <w:rsid w:val="26CD22B6"/>
    <w:rsid w:val="26D842DD"/>
    <w:rsid w:val="27196C8A"/>
    <w:rsid w:val="277F570F"/>
    <w:rsid w:val="27B4251B"/>
    <w:rsid w:val="28255A25"/>
    <w:rsid w:val="28D177B8"/>
    <w:rsid w:val="29015419"/>
    <w:rsid w:val="296E2713"/>
    <w:rsid w:val="2A635BBC"/>
    <w:rsid w:val="2BE77F94"/>
    <w:rsid w:val="2D92753D"/>
    <w:rsid w:val="2F0B754D"/>
    <w:rsid w:val="30A96167"/>
    <w:rsid w:val="30AC7B07"/>
    <w:rsid w:val="31842BD4"/>
    <w:rsid w:val="31C678FD"/>
    <w:rsid w:val="34B8182C"/>
    <w:rsid w:val="35777F8B"/>
    <w:rsid w:val="363405FB"/>
    <w:rsid w:val="36DD2396"/>
    <w:rsid w:val="378E2D18"/>
    <w:rsid w:val="383C4522"/>
    <w:rsid w:val="38C37D81"/>
    <w:rsid w:val="392F1D06"/>
    <w:rsid w:val="39D05F8A"/>
    <w:rsid w:val="3CA14021"/>
    <w:rsid w:val="3CA628B2"/>
    <w:rsid w:val="3CDC4DB6"/>
    <w:rsid w:val="3D3F6C08"/>
    <w:rsid w:val="3DC35A9E"/>
    <w:rsid w:val="3E0D6AC7"/>
    <w:rsid w:val="3E7019FD"/>
    <w:rsid w:val="3E950C50"/>
    <w:rsid w:val="3F570031"/>
    <w:rsid w:val="406108F6"/>
    <w:rsid w:val="407A208B"/>
    <w:rsid w:val="41525BD0"/>
    <w:rsid w:val="418D051C"/>
    <w:rsid w:val="421E3457"/>
    <w:rsid w:val="43622422"/>
    <w:rsid w:val="437877D6"/>
    <w:rsid w:val="440B1CD5"/>
    <w:rsid w:val="44911B1A"/>
    <w:rsid w:val="44FF6D78"/>
    <w:rsid w:val="451A1204"/>
    <w:rsid w:val="454E1377"/>
    <w:rsid w:val="46134D0E"/>
    <w:rsid w:val="46BD2CD2"/>
    <w:rsid w:val="476300EE"/>
    <w:rsid w:val="47C0020C"/>
    <w:rsid w:val="481E36ED"/>
    <w:rsid w:val="484969B1"/>
    <w:rsid w:val="4921281B"/>
    <w:rsid w:val="4B4E6FB7"/>
    <w:rsid w:val="4C140C4E"/>
    <w:rsid w:val="4C7D0FFD"/>
    <w:rsid w:val="4D552CCD"/>
    <w:rsid w:val="4DCB524F"/>
    <w:rsid w:val="4E175327"/>
    <w:rsid w:val="4E5A3A56"/>
    <w:rsid w:val="4F1800EB"/>
    <w:rsid w:val="50962F12"/>
    <w:rsid w:val="50F724B7"/>
    <w:rsid w:val="51650EAA"/>
    <w:rsid w:val="51943ACC"/>
    <w:rsid w:val="5199088B"/>
    <w:rsid w:val="530E1852"/>
    <w:rsid w:val="53844015"/>
    <w:rsid w:val="54824E31"/>
    <w:rsid w:val="54A971F0"/>
    <w:rsid w:val="55175CBD"/>
    <w:rsid w:val="554B4D08"/>
    <w:rsid w:val="55D12C16"/>
    <w:rsid w:val="56C125FE"/>
    <w:rsid w:val="56C31CA3"/>
    <w:rsid w:val="57C33EC0"/>
    <w:rsid w:val="580A1996"/>
    <w:rsid w:val="589F45D1"/>
    <w:rsid w:val="58EB30B1"/>
    <w:rsid w:val="5A4E3118"/>
    <w:rsid w:val="5DBE1D4E"/>
    <w:rsid w:val="5E413D91"/>
    <w:rsid w:val="5F544FB9"/>
    <w:rsid w:val="5FDF3861"/>
    <w:rsid w:val="6000720C"/>
    <w:rsid w:val="60D21CA6"/>
    <w:rsid w:val="61CD7382"/>
    <w:rsid w:val="61DF5D9B"/>
    <w:rsid w:val="6241693A"/>
    <w:rsid w:val="624308AD"/>
    <w:rsid w:val="6321562C"/>
    <w:rsid w:val="63C55788"/>
    <w:rsid w:val="673100D9"/>
    <w:rsid w:val="673C510F"/>
    <w:rsid w:val="681F7185"/>
    <w:rsid w:val="68E92D65"/>
    <w:rsid w:val="69B4598D"/>
    <w:rsid w:val="69DF2D13"/>
    <w:rsid w:val="6AEA7129"/>
    <w:rsid w:val="6D8A46B9"/>
    <w:rsid w:val="6E4511AF"/>
    <w:rsid w:val="6F057274"/>
    <w:rsid w:val="6F465B11"/>
    <w:rsid w:val="6F713D92"/>
    <w:rsid w:val="6FB10456"/>
    <w:rsid w:val="7078504C"/>
    <w:rsid w:val="74001DED"/>
    <w:rsid w:val="75FD6141"/>
    <w:rsid w:val="7820412C"/>
    <w:rsid w:val="783E14C5"/>
    <w:rsid w:val="78603728"/>
    <w:rsid w:val="78CF3960"/>
    <w:rsid w:val="7A0B613F"/>
    <w:rsid w:val="7A8B2078"/>
    <w:rsid w:val="7BDB6CE9"/>
    <w:rsid w:val="7CC16371"/>
    <w:rsid w:val="7D3F1709"/>
    <w:rsid w:val="7E5516B0"/>
    <w:rsid w:val="7E617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autoRedefine/>
    <w:qFormat/>
    <w:uiPriority w:val="0"/>
    <w:pPr>
      <w:keepNext/>
      <w:keepLines/>
      <w:autoSpaceDE w:val="0"/>
      <w:autoSpaceDN w:val="0"/>
      <w:spacing w:before="260" w:after="260" w:line="416" w:lineRule="auto"/>
      <w:outlineLvl w:val="1"/>
    </w:pPr>
    <w:rPr>
      <w:rFonts w:ascii="Arial" w:hAnsi="Arial" w:eastAsia="仿宋"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964" w:firstLineChars="200"/>
    </w:pPr>
    <w:rPr>
      <w:rFonts w:ascii="Times New Roman" w:eastAsia="宋体"/>
      <w:sz w:val="21"/>
      <w:szCs w:val="24"/>
    </w:rPr>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华文仿宋" w:hAnsi="华文仿宋" w:eastAsia="华文仿宋" w:cs="华文仿宋"/>
      <w:sz w:val="28"/>
      <w:szCs w:val="28"/>
      <w:lang w:val="en-US" w:eastAsia="en-US" w:bidi="ar-SA"/>
    </w:rPr>
  </w:style>
  <w:style w:type="paragraph" w:styleId="6">
    <w:name w:val="Balloon Text"/>
    <w:basedOn w:val="1"/>
    <w:link w:val="17"/>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autoRedefine/>
    <w:qFormat/>
    <w:uiPriority w:val="0"/>
    <w:pPr>
      <w:snapToGrid w:val="0"/>
    </w:pPr>
    <w:rPr>
      <w:sz w:val="18"/>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autoRedefine/>
    <w:qFormat/>
    <w:uiPriority w:val="0"/>
    <w:pPr>
      <w:widowControl w:val="0"/>
      <w:autoSpaceDE w:val="0"/>
      <w:autoSpaceDN w:val="0"/>
      <w:adjustRightInd w:val="0"/>
    </w:pPr>
    <w:rPr>
      <w:rFonts w:ascii="黑体r" w:hAnsi="Times New Roman" w:eastAsia="黑体r" w:cs="黑体r"/>
      <w:color w:val="000000"/>
      <w:sz w:val="24"/>
      <w:szCs w:val="24"/>
      <w:lang w:val="en-US" w:eastAsia="zh-CN" w:bidi="ar-SA"/>
    </w:rPr>
  </w:style>
  <w:style w:type="character" w:customStyle="1" w:styleId="14">
    <w:name w:val="页脚 Char"/>
    <w:basedOn w:val="12"/>
    <w:link w:val="7"/>
    <w:autoRedefine/>
    <w:qFormat/>
    <w:uiPriority w:val="99"/>
    <w:rPr>
      <w:sz w:val="18"/>
      <w:szCs w:val="18"/>
    </w:rPr>
  </w:style>
  <w:style w:type="character" w:customStyle="1" w:styleId="15">
    <w:name w:val="页眉 Char"/>
    <w:basedOn w:val="12"/>
    <w:link w:val="8"/>
    <w:autoRedefine/>
    <w:qFormat/>
    <w:uiPriority w:val="99"/>
    <w:rPr>
      <w:sz w:val="18"/>
      <w:szCs w:val="18"/>
    </w:rPr>
  </w:style>
  <w:style w:type="paragraph" w:customStyle="1" w:styleId="16">
    <w:name w:val="p17"/>
    <w:basedOn w:val="1"/>
    <w:autoRedefine/>
    <w:qFormat/>
    <w:uiPriority w:val="0"/>
    <w:pPr>
      <w:widowControl/>
    </w:pPr>
    <w:rPr>
      <w:rFonts w:ascii="宋体" w:hAnsi="宋体" w:eastAsia="宋体" w:cs="Times New Roman"/>
      <w:szCs w:val="20"/>
    </w:rPr>
  </w:style>
  <w:style w:type="character" w:customStyle="1" w:styleId="17">
    <w:name w:val="批注框文本 Char"/>
    <w:basedOn w:val="12"/>
    <w:link w:val="6"/>
    <w:autoRedefine/>
    <w:semiHidden/>
    <w:qFormat/>
    <w:uiPriority w:val="99"/>
    <w:rPr>
      <w:kern w:val="2"/>
      <w:sz w:val="18"/>
      <w:szCs w:val="18"/>
    </w:rPr>
  </w:style>
  <w:style w:type="character" w:customStyle="1" w:styleId="18">
    <w:name w:val="标题 2 Char"/>
    <w:basedOn w:val="12"/>
    <w:link w:val="3"/>
    <w:autoRedefine/>
    <w:qFormat/>
    <w:uiPriority w:val="0"/>
    <w:rPr>
      <w:rFonts w:ascii="Arial" w:hAnsi="Arial" w:eastAsia="仿宋" w:cs="Times New Roman"/>
      <w:b/>
      <w:bCs/>
      <w:kern w:val="2"/>
      <w:sz w:val="32"/>
      <w:szCs w:val="32"/>
    </w:rPr>
  </w:style>
  <w:style w:type="paragraph" w:styleId="19">
    <w:name w:val="List Paragraph"/>
    <w:basedOn w:val="1"/>
    <w:autoRedefine/>
    <w:qFormat/>
    <w:uiPriority w:val="0"/>
    <w:pPr>
      <w:ind w:firstLine="420" w:firstLineChars="200"/>
    </w:pPr>
    <w:rPr>
      <w:rFonts w:ascii="Calibri" w:hAnsi="Calibri" w:eastAsia="宋体" w:cs="Times New Roman"/>
    </w:rPr>
  </w:style>
  <w:style w:type="character" w:customStyle="1" w:styleId="20">
    <w:name w:val="font51"/>
    <w:basedOn w:val="12"/>
    <w:autoRedefine/>
    <w:qFormat/>
    <w:uiPriority w:val="0"/>
    <w:rPr>
      <w:rFonts w:hint="eastAsia" w:ascii="黑体" w:hAnsi="宋体" w:eastAsia="黑体" w:cs="黑体"/>
      <w:b/>
      <w:color w:val="DD0806"/>
      <w:sz w:val="28"/>
      <w:szCs w:val="28"/>
      <w:u w:val="none"/>
    </w:rPr>
  </w:style>
  <w:style w:type="character" w:customStyle="1" w:styleId="21">
    <w:name w:val="font71"/>
    <w:basedOn w:val="12"/>
    <w:autoRedefine/>
    <w:qFormat/>
    <w:uiPriority w:val="0"/>
    <w:rPr>
      <w:rFonts w:hint="eastAsia" w:ascii="黑体" w:hAnsi="宋体" w:eastAsia="黑体" w:cs="黑体"/>
      <w:color w:val="000000"/>
      <w:sz w:val="28"/>
      <w:szCs w:val="28"/>
      <w:u w:val="none"/>
    </w:rPr>
  </w:style>
  <w:style w:type="character" w:customStyle="1" w:styleId="22">
    <w:name w:val="font61"/>
    <w:basedOn w:val="12"/>
    <w:autoRedefine/>
    <w:qFormat/>
    <w:uiPriority w:val="0"/>
    <w:rPr>
      <w:rFonts w:hint="default" w:ascii="Times New Roman" w:hAnsi="Times New Roman" w:cs="Times New Roman"/>
      <w:b/>
      <w:color w:val="000000"/>
      <w:sz w:val="24"/>
      <w:szCs w:val="24"/>
      <w:u w:val="none"/>
    </w:rPr>
  </w:style>
  <w:style w:type="character" w:customStyle="1" w:styleId="23">
    <w:name w:val="font81"/>
    <w:basedOn w:val="12"/>
    <w:autoRedefine/>
    <w:qFormat/>
    <w:uiPriority w:val="0"/>
    <w:rPr>
      <w:rFonts w:hint="eastAsia" w:ascii="宋体" w:hAnsi="宋体" w:eastAsia="宋体" w:cs="宋体"/>
      <w:b/>
      <w:color w:val="000000"/>
      <w:sz w:val="24"/>
      <w:szCs w:val="24"/>
      <w:u w:val="none"/>
    </w:rPr>
  </w:style>
  <w:style w:type="character" w:customStyle="1" w:styleId="24">
    <w:name w:val="font11"/>
    <w:basedOn w:val="12"/>
    <w:autoRedefine/>
    <w:qFormat/>
    <w:uiPriority w:val="0"/>
    <w:rPr>
      <w:rFonts w:hint="eastAsia" w:ascii="宋体" w:hAnsi="宋体" w:eastAsia="宋体" w:cs="宋体"/>
      <w:b/>
      <w:color w:val="DD0806"/>
      <w:sz w:val="24"/>
      <w:szCs w:val="24"/>
      <w:u w:val="single"/>
    </w:rPr>
  </w:style>
  <w:style w:type="character" w:customStyle="1" w:styleId="25">
    <w:name w:val="font112"/>
    <w:basedOn w:val="12"/>
    <w:autoRedefine/>
    <w:qFormat/>
    <w:uiPriority w:val="0"/>
    <w:rPr>
      <w:rFonts w:hint="eastAsia" w:ascii="宋体" w:hAnsi="宋体" w:eastAsia="宋体" w:cs="宋体"/>
      <w:b/>
      <w:color w:val="DD0806"/>
      <w:sz w:val="24"/>
      <w:szCs w:val="24"/>
      <w:u w:val="none"/>
    </w:rPr>
  </w:style>
  <w:style w:type="character" w:customStyle="1" w:styleId="26">
    <w:name w:val="font41"/>
    <w:basedOn w:val="12"/>
    <w:autoRedefine/>
    <w:qFormat/>
    <w:uiPriority w:val="0"/>
    <w:rPr>
      <w:rFonts w:hint="eastAsia" w:ascii="宋体" w:hAnsi="宋体" w:eastAsia="宋体" w:cs="宋体"/>
      <w:color w:val="000000"/>
      <w:sz w:val="24"/>
      <w:szCs w:val="24"/>
      <w:u w:val="none"/>
    </w:rPr>
  </w:style>
  <w:style w:type="paragraph" w:customStyle="1" w:styleId="27">
    <w:name w:val="正文首行缩进 21"/>
    <w:autoRedefine/>
    <w:qFormat/>
    <w:uiPriority w:val="0"/>
    <w:pPr>
      <w:ind w:firstLine="420"/>
    </w:pPr>
    <w:rPr>
      <w:rFonts w:ascii="仿宋_GB2312" w:hAnsi="仿宋_GB2312" w:eastAsia="仿宋_GB2312" w:cs="仿宋_GB231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B9C0E-648F-474F-9596-607AE4CB61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85</Words>
  <Characters>486</Characters>
  <Lines>4</Lines>
  <Paragraphs>1</Paragraphs>
  <TotalTime>3</TotalTime>
  <ScaleCrop>false</ScaleCrop>
  <LinksUpToDate>false</LinksUpToDate>
  <CharactersWithSpaces>570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2020-03-05T03:04:00Z</dcterms:created>
  <dc:creator>lenovo</dc:creator>
  <cp:lastModifiedBy>符慧华</cp:lastModifiedBy>
  <cp:lastPrinted>2024-05-24T08:36:00Z</cp:lastPrinted>
  <dcterms:modified xsi:type="dcterms:W3CDTF">2024-06-07T01:02:30Z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99DA80C1AE8F45B991083F41D9C181CB_13</vt:lpwstr>
  </property>
</Properties>
</file>