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360" w:lineRule="auto"/>
        <w:ind w:firstLine="422"/>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1044"/>
        <w:outlineLvl w:val="0"/>
        <w:rPr>
          <w:rFonts w:hint="eastAsia" w:asciiTheme="minorEastAsia" w:hAnsiTheme="minorEastAsia" w:eastAsiaTheme="minorEastAsia" w:cstheme="minorEastAsia"/>
          <w:b/>
          <w:sz w:val="52"/>
          <w:szCs w:val="52"/>
        </w:rPr>
      </w:pPr>
    </w:p>
    <w:p>
      <w:pPr>
        <w:adjustRightInd w:val="0"/>
        <w:snapToGrid w:val="0"/>
        <w:spacing w:line="360" w:lineRule="auto"/>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海口江东新区管理局</w:t>
      </w:r>
    </w:p>
    <w:p>
      <w:pPr>
        <w:adjustRightInd w:val="0"/>
        <w:snapToGrid w:val="0"/>
        <w:spacing w:line="500" w:lineRule="exact"/>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采购比选文件</w:t>
      </w:r>
    </w:p>
    <w:p>
      <w:pPr>
        <w:adjustRightInd w:val="0"/>
        <w:snapToGrid w:val="0"/>
        <w:spacing w:line="360" w:lineRule="auto"/>
        <w:jc w:val="center"/>
        <w:rPr>
          <w:rFonts w:hint="eastAsia" w:asciiTheme="minorEastAsia" w:hAnsiTheme="minorEastAsia" w:eastAsiaTheme="minorEastAsia" w:cstheme="minorEastAsia"/>
          <w:b/>
          <w:szCs w:val="21"/>
        </w:rPr>
      </w:pPr>
    </w:p>
    <w:p>
      <w:pPr>
        <w:spacing w:line="360" w:lineRule="auto"/>
        <w:rPr>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spacing w:line="360" w:lineRule="auto"/>
        <w:ind w:firstLine="1476" w:firstLineChars="700"/>
        <w:jc w:val="left"/>
        <w:outlineLvl w:val="0"/>
        <w:rPr>
          <w:rFonts w:hint="eastAsia" w:asciiTheme="minorEastAsia" w:hAnsiTheme="minorEastAsia" w:eastAsiaTheme="minorEastAsia" w:cstheme="minorEastAsia"/>
          <w:b/>
          <w:szCs w:val="21"/>
        </w:rPr>
      </w:pPr>
    </w:p>
    <w:p>
      <w:pPr>
        <w:pStyle w:val="10"/>
        <w:spacing w:line="360" w:lineRule="auto"/>
        <w:ind w:firstLine="562" w:firstLineChars="200"/>
        <w:jc w:val="left"/>
        <w:outlineLvl w:val="0"/>
        <w:rPr>
          <w:rFonts w:hint="default" w:asciiTheme="minorEastAsia" w:hAnsiTheme="minorEastAsia" w:eastAsiaTheme="minorEastAsia" w:cstheme="minorEastAsia"/>
          <w:b/>
          <w:sz w:val="28"/>
          <w:szCs w:val="28"/>
          <w:lang w:val="en-US" w:eastAsia="zh-CN"/>
        </w:rPr>
      </w:pPr>
      <w:bookmarkStart w:id="0" w:name="_Toc245887524"/>
      <w:bookmarkStart w:id="1" w:name="_Toc245888257"/>
      <w:bookmarkStart w:id="2" w:name="_Toc246826091"/>
      <w:bookmarkStart w:id="3" w:name="_Toc246825786"/>
      <w:r>
        <w:rPr>
          <w:rFonts w:hint="eastAsia" w:asciiTheme="minorEastAsia" w:hAnsiTheme="minorEastAsia" w:eastAsiaTheme="minorEastAsia" w:cstheme="minorEastAsia"/>
          <w:b/>
          <w:sz w:val="28"/>
          <w:szCs w:val="28"/>
        </w:rPr>
        <w:t>项目编号</w:t>
      </w:r>
      <w:bookmarkEnd w:id="0"/>
      <w:bookmarkEnd w:id="1"/>
      <w:bookmarkEnd w:id="2"/>
      <w:bookmarkEnd w:id="3"/>
      <w:bookmarkStart w:id="4" w:name="_Toc246825787"/>
      <w:bookmarkStart w:id="5" w:name="_Toc245888258"/>
      <w:bookmarkStart w:id="6" w:name="_Toc245887525"/>
      <w:bookmarkStart w:id="7" w:name="_Toc246826092"/>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zfcg-fw-20240808-001</w:t>
      </w:r>
    </w:p>
    <w:p>
      <w:pPr>
        <w:ind w:firstLine="562" w:firstLineChars="200"/>
        <w:rPr>
          <w:b/>
          <w:bCs/>
          <w:sz w:val="44"/>
          <w:szCs w:val="44"/>
        </w:rPr>
      </w:pPr>
      <w:r>
        <w:rPr>
          <w:rFonts w:hint="eastAsia" w:asciiTheme="minorEastAsia" w:hAnsiTheme="minorEastAsia" w:eastAsiaTheme="minorEastAsia" w:cstheme="minorEastAsia"/>
          <w:b/>
          <w:sz w:val="28"/>
          <w:szCs w:val="28"/>
        </w:rPr>
        <w:t>项目名称</w:t>
      </w:r>
      <w:bookmarkEnd w:id="4"/>
      <w:bookmarkEnd w:id="5"/>
      <w:bookmarkEnd w:id="6"/>
      <w:bookmarkEnd w:id="7"/>
      <w:bookmarkStart w:id="8" w:name="_Toc246825789"/>
      <w:bookmarkStart w:id="9" w:name="_Toc245888260"/>
      <w:bookmarkStart w:id="10" w:name="_Toc245887527"/>
      <w:bookmarkStart w:id="11" w:name="_Toc246826094"/>
      <w:r>
        <w:rPr>
          <w:rFonts w:hint="eastAsia" w:asciiTheme="minorEastAsia" w:hAnsiTheme="minorEastAsia" w:eastAsiaTheme="minorEastAsia" w:cstheme="minorEastAsia"/>
          <w:b/>
          <w:sz w:val="28"/>
          <w:szCs w:val="28"/>
        </w:rPr>
        <w:t>：</w:t>
      </w:r>
      <w:bookmarkEnd w:id="8"/>
      <w:bookmarkEnd w:id="9"/>
      <w:bookmarkEnd w:id="10"/>
      <w:bookmarkEnd w:id="11"/>
      <w:r>
        <w:rPr>
          <w:rFonts w:hint="eastAsia" w:asciiTheme="minorEastAsia" w:hAnsiTheme="minorEastAsia" w:eastAsiaTheme="minorEastAsia" w:cstheme="minorEastAsia"/>
          <w:b/>
          <w:sz w:val="28"/>
          <w:szCs w:val="28"/>
        </w:rPr>
        <w:t>海口江东新区近零碳示范区实施方案</w:t>
      </w:r>
    </w:p>
    <w:p>
      <w:pPr>
        <w:pStyle w:val="66"/>
        <w:rPr>
          <w:rFonts w:hint="eastAsia" w:asciiTheme="minorEastAsia" w:hAnsiTheme="minorEastAsia" w:eastAsiaTheme="minorEastAsia" w:cstheme="minorEastAsia"/>
          <w:b/>
          <w:sz w:val="28"/>
          <w:szCs w:val="28"/>
        </w:rPr>
      </w:pPr>
    </w:p>
    <w:p>
      <w:pPr>
        <w:pStyle w:val="10"/>
        <w:spacing w:line="360" w:lineRule="auto"/>
        <w:ind w:firstLine="1476" w:firstLineChars="700"/>
        <w:jc w:val="left"/>
        <w:outlineLvl w:val="0"/>
        <w:rPr>
          <w:rFonts w:hint="eastAsia" w:asciiTheme="minorEastAsia" w:hAnsiTheme="minorEastAsia" w:eastAsiaTheme="minorEastAsia" w:cstheme="minorEastAsia"/>
          <w:b/>
          <w:szCs w:val="21"/>
        </w:rPr>
      </w:pPr>
    </w:p>
    <w:p>
      <w:pPr>
        <w:pStyle w:val="10"/>
        <w:spacing w:line="360" w:lineRule="auto"/>
        <w:outlineLvl w:val="0"/>
        <w:rPr>
          <w:rFonts w:hint="eastAsia" w:asciiTheme="minorEastAsia" w:hAnsiTheme="minorEastAsia" w:eastAsiaTheme="minorEastAsia" w:cstheme="minorEastAsia"/>
          <w:bCs/>
          <w:szCs w:val="21"/>
        </w:rPr>
      </w:pPr>
    </w:p>
    <w:p>
      <w:pPr>
        <w:pStyle w:val="10"/>
        <w:adjustRightInd w:val="0"/>
        <w:snapToGrid w:val="0"/>
        <w:spacing w:line="360" w:lineRule="auto"/>
        <w:jc w:val="center"/>
        <w:outlineLvl w:val="0"/>
        <w:rPr>
          <w:rFonts w:hint="eastAsia" w:asciiTheme="minorEastAsia" w:hAnsiTheme="minorEastAsia" w:eastAsiaTheme="minorEastAsia" w:cstheme="minorEastAsia"/>
          <w:bCs/>
          <w:szCs w:val="21"/>
        </w:rPr>
      </w:pPr>
    </w:p>
    <w:p>
      <w:pPr>
        <w:pStyle w:val="7"/>
        <w:spacing w:line="360" w:lineRule="auto"/>
        <w:rPr>
          <w:rFonts w:hint="eastAsia" w:asciiTheme="minorEastAsia" w:hAnsiTheme="minorEastAsia" w:eastAsiaTheme="minorEastAsia" w:cstheme="minorEastAsia"/>
          <w:b/>
          <w:spacing w:val="40"/>
          <w:szCs w:val="21"/>
        </w:rPr>
      </w:pPr>
    </w:p>
    <w:p>
      <w:pPr>
        <w:pStyle w:val="32"/>
        <w:spacing w:line="360" w:lineRule="auto"/>
        <w:rPr>
          <w:color w:val="auto"/>
          <w:sz w:val="21"/>
          <w:szCs w:val="21"/>
        </w:rPr>
      </w:pPr>
    </w:p>
    <w:p>
      <w:pPr>
        <w:pStyle w:val="9"/>
        <w:ind w:left="0" w:leftChars="0" w:firstLine="0" w:firstLineChars="0"/>
      </w:pPr>
    </w:p>
    <w:p>
      <w:pPr>
        <w:pStyle w:val="9"/>
      </w:pPr>
    </w:p>
    <w:p>
      <w:pPr>
        <w:pStyle w:val="9"/>
      </w:pPr>
    </w:p>
    <w:p>
      <w:pPr>
        <w:adjustRightInd w:val="0"/>
        <w:snapToGrid w:val="0"/>
        <w:spacing w:line="360" w:lineRule="auto"/>
        <w:jc w:val="center"/>
        <w:rPr>
          <w:rFonts w:hint="eastAsia" w:asciiTheme="minorEastAsia" w:hAnsiTheme="minorEastAsia" w:eastAsiaTheme="minorEastAsia" w:cstheme="minorEastAsia"/>
          <w:b/>
          <w:spacing w:val="40"/>
          <w:szCs w:val="21"/>
        </w:rPr>
      </w:pPr>
    </w:p>
    <w:p>
      <w:pPr>
        <w:adjustRightInd w:val="0"/>
        <w:snapToGrid w:val="0"/>
        <w:spacing w:line="360" w:lineRule="auto"/>
        <w:jc w:val="center"/>
        <w:rPr>
          <w:rFonts w:hint="eastAsia" w:asciiTheme="minorEastAsia" w:hAnsiTheme="minorEastAsia" w:eastAsiaTheme="minorEastAsia" w:cstheme="minorEastAsia"/>
          <w:b/>
          <w:spacing w:val="40"/>
          <w:szCs w:val="21"/>
        </w:rPr>
      </w:pPr>
    </w:p>
    <w:p>
      <w:pPr>
        <w:pStyle w:val="10"/>
        <w:adjustRightInd w:val="0"/>
        <w:snapToGrid w:val="0"/>
        <w:spacing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 xml:space="preserve">   20</w:t>
      </w:r>
      <w:r>
        <w:rPr>
          <w:rFonts w:asciiTheme="minorEastAsia" w:hAnsiTheme="minorEastAsia" w:eastAsiaTheme="minorEastAsia" w:cstheme="minorEastAsia"/>
          <w:b/>
          <w:spacing w:val="40"/>
          <w:sz w:val="28"/>
          <w:szCs w:val="28"/>
        </w:rPr>
        <w:t>2</w:t>
      </w:r>
      <w:r>
        <w:rPr>
          <w:rFonts w:hint="eastAsia" w:asciiTheme="minorEastAsia" w:hAnsiTheme="minorEastAsia" w:eastAsiaTheme="minorEastAsia" w:cstheme="minorEastAsia"/>
          <w:b/>
          <w:spacing w:val="40"/>
          <w:sz w:val="28"/>
          <w:szCs w:val="28"/>
        </w:rPr>
        <w:t>4 年0</w:t>
      </w:r>
      <w:r>
        <w:rPr>
          <w:rFonts w:hint="eastAsia" w:asciiTheme="minorEastAsia" w:hAnsiTheme="minorEastAsia" w:eastAsiaTheme="minorEastAsia" w:cstheme="minorEastAsia"/>
          <w:b/>
          <w:spacing w:val="40"/>
          <w:sz w:val="28"/>
          <w:szCs w:val="28"/>
          <w:lang w:val="en-US" w:eastAsia="zh-CN"/>
        </w:rPr>
        <w:t>8</w:t>
      </w:r>
      <w:r>
        <w:rPr>
          <w:rFonts w:hint="eastAsia" w:asciiTheme="minorEastAsia" w:hAnsiTheme="minorEastAsia" w:eastAsiaTheme="minorEastAsia" w:cstheme="minorEastAsia"/>
          <w:b/>
          <w:spacing w:val="40"/>
          <w:sz w:val="28"/>
          <w:szCs w:val="28"/>
        </w:rPr>
        <w:t xml:space="preserve">月  </w:t>
      </w:r>
    </w:p>
    <w:p>
      <w:pPr>
        <w:pStyle w:val="10"/>
        <w:spacing w:line="360" w:lineRule="auto"/>
        <w:ind w:firstLine="422"/>
        <w:jc w:val="center"/>
        <w:outlineLvl w:val="0"/>
        <w:rPr>
          <w:rStyle w:val="26"/>
          <w:rFonts w:hint="eastAsia"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pPr>
        <w:pStyle w:val="10"/>
        <w:spacing w:line="360" w:lineRule="auto"/>
        <w:ind w:firstLine="422"/>
        <w:jc w:val="center"/>
        <w:outlineLvl w:val="0"/>
        <w:rPr>
          <w:rStyle w:val="26"/>
          <w:rFonts w:hint="eastAsia" w:hAnsi="宋体" w:cs="宋体"/>
          <w:b/>
          <w:color w:val="auto"/>
          <w:szCs w:val="21"/>
        </w:rPr>
      </w:pPr>
    </w:p>
    <w:p>
      <w:pPr>
        <w:pStyle w:val="10"/>
        <w:spacing w:line="360" w:lineRule="auto"/>
        <w:ind w:firstLine="482"/>
        <w:jc w:val="center"/>
        <w:outlineLvl w:val="0"/>
        <w:rPr>
          <w:rStyle w:val="26"/>
          <w:rFonts w:hint="eastAsia" w:hAnsi="宋体" w:cs="宋体"/>
          <w:b/>
          <w:color w:val="auto"/>
          <w:sz w:val="24"/>
          <w:szCs w:val="24"/>
        </w:rPr>
      </w:pPr>
      <w:r>
        <w:rPr>
          <w:rStyle w:val="26"/>
          <w:rFonts w:hint="eastAsia" w:hAnsi="宋体" w:cs="宋体"/>
          <w:b/>
          <w:color w:val="auto"/>
          <w:sz w:val="24"/>
          <w:szCs w:val="24"/>
        </w:rPr>
        <w:t>目  录</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Fonts w:hint="eastAsia" w:ascii="宋体" w:hAnsi="宋体" w:cs="宋体"/>
          <w:b/>
          <w:sz w:val="24"/>
        </w:rPr>
        <w:t>第一章  比选公告……………………………………………………</w:t>
      </w:r>
      <w:r>
        <w:rPr>
          <w:rFonts w:hint="eastAsia" w:ascii="宋体" w:hAnsi="宋体" w:cs="宋体"/>
          <w:b/>
          <w:sz w:val="24"/>
        </w:rPr>
        <w:fldChar w:fldCharType="end"/>
      </w:r>
      <w:r>
        <w:rPr>
          <w:rFonts w:hint="eastAsia" w:ascii="宋体" w:hAnsi="宋体" w:cs="宋体"/>
          <w:b/>
          <w:sz w:val="24"/>
        </w:rPr>
        <w:t>……3-4</w:t>
      </w:r>
    </w:p>
    <w:p>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Fonts w:hint="eastAsia" w:ascii="宋体" w:hAnsi="宋体" w:cs="宋体"/>
          <w:b/>
          <w:sz w:val="24"/>
        </w:rPr>
        <w:t>第二章  采购需求……………………………………………………</w:t>
      </w:r>
      <w:r>
        <w:rPr>
          <w:rFonts w:hint="eastAsia" w:ascii="宋体" w:hAnsi="宋体" w:cs="宋体"/>
          <w:b/>
          <w:sz w:val="24"/>
        </w:rPr>
        <w:fldChar w:fldCharType="end"/>
      </w:r>
      <w:r>
        <w:rPr>
          <w:rFonts w:hint="eastAsia" w:ascii="宋体" w:hAnsi="宋体" w:cs="宋体"/>
          <w:b/>
          <w:sz w:val="24"/>
        </w:rPr>
        <w:t>……5-7</w:t>
      </w:r>
    </w:p>
    <w:p>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第三章  供应商须知………………………………………</w:t>
      </w:r>
      <w:r>
        <w:rPr>
          <w:rFonts w:hint="eastAsia" w:ascii="宋体" w:hAnsi="宋体" w:cs="宋体"/>
          <w:b/>
          <w:sz w:val="24"/>
        </w:rPr>
        <w:fldChar w:fldCharType="end"/>
      </w:r>
      <w:r>
        <w:rPr>
          <w:rFonts w:hint="eastAsia" w:ascii="宋体" w:hAnsi="宋体" w:cs="宋体"/>
          <w:b/>
          <w:sz w:val="24"/>
        </w:rPr>
        <w:t>………………</w:t>
      </w:r>
      <w:r>
        <w:rPr>
          <w:rFonts w:hint="eastAsia" w:ascii="宋体" w:hAnsi="宋体" w:cs="宋体"/>
          <w:b/>
          <w:sz w:val="24"/>
        </w:rPr>
        <w:fldChar w:fldCharType="end"/>
      </w:r>
      <w:r>
        <w:rPr>
          <w:rFonts w:hint="eastAsia" w:ascii="宋体" w:hAnsi="宋体" w:cs="宋体"/>
          <w:b/>
          <w:sz w:val="24"/>
        </w:rPr>
        <w:t>8-21</w:t>
      </w:r>
    </w:p>
    <w:p>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Fonts w:hint="eastAsia" w:ascii="宋体" w:hAnsi="宋体" w:cs="宋体"/>
          <w:b/>
          <w:sz w:val="24"/>
        </w:rPr>
        <w:t>第四章  审查标准和评审标准………………………</w:t>
      </w:r>
      <w:r>
        <w:rPr>
          <w:rFonts w:hint="eastAsia" w:ascii="宋体" w:hAnsi="宋体" w:cs="宋体"/>
          <w:b/>
          <w:sz w:val="24"/>
        </w:rPr>
        <w:fldChar w:fldCharType="end"/>
      </w:r>
      <w:r>
        <w:rPr>
          <w:rFonts w:hint="eastAsia" w:ascii="宋体" w:hAnsi="宋体" w:cs="宋体"/>
          <w:b/>
          <w:sz w:val="24"/>
        </w:rPr>
        <w:t>……………………22-25</w:t>
      </w:r>
    </w:p>
    <w:p>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Fonts w:hint="eastAsia" w:ascii="宋体" w:hAnsi="宋体" w:cs="宋体"/>
          <w:b/>
          <w:sz w:val="24"/>
        </w:rPr>
        <w:t>第五章  采购合同格式……………………………………………………</w:t>
      </w:r>
      <w:r>
        <w:rPr>
          <w:rFonts w:hint="eastAsia" w:ascii="宋体" w:hAnsi="宋体" w:cs="宋体"/>
          <w:b/>
          <w:sz w:val="24"/>
        </w:rPr>
        <w:fldChar w:fldCharType="end"/>
      </w:r>
      <w:r>
        <w:rPr>
          <w:rFonts w:hint="eastAsia" w:ascii="宋体" w:hAnsi="宋体" w:cs="宋体"/>
          <w:b/>
          <w:sz w:val="24"/>
        </w:rPr>
        <w:t>26-43</w:t>
      </w:r>
    </w:p>
    <w:p>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第六章  响应文件格式及附件……………………………………………</w:t>
      </w:r>
      <w:r>
        <w:rPr>
          <w:rFonts w:hint="eastAsia" w:ascii="宋体" w:hAnsi="宋体" w:cs="宋体"/>
          <w:b/>
          <w:sz w:val="24"/>
        </w:rPr>
        <w:fldChar w:fldCharType="end"/>
      </w:r>
      <w:r>
        <w:rPr>
          <w:rFonts w:hint="eastAsia" w:ascii="宋体" w:hAnsi="宋体" w:cs="宋体"/>
          <w:b/>
          <w:sz w:val="24"/>
        </w:rPr>
        <w:t>44-52</w:t>
      </w:r>
    </w:p>
    <w:p>
      <w:pPr>
        <w:spacing w:line="360" w:lineRule="auto"/>
        <w:rPr>
          <w:rFonts w:hint="eastAsia" w:ascii="宋体" w:hAnsi="宋体" w:cs="宋体"/>
          <w:b/>
          <w:sz w:val="24"/>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outlineLvl w:val="0"/>
        <w:rPr>
          <w:rFonts w:hint="eastAsia" w:asciiTheme="minorEastAsia" w:hAnsiTheme="minorEastAsia" w:eastAsiaTheme="minorEastAsia" w:cstheme="minorEastAsia"/>
          <w:b/>
          <w:szCs w:val="21"/>
        </w:rPr>
      </w:pPr>
    </w:p>
    <w:p>
      <w:pPr>
        <w:pStyle w:val="10"/>
        <w:adjustRightInd w:val="0"/>
        <w:snapToGrid w:val="0"/>
        <w:spacing w:line="360" w:lineRule="auto"/>
        <w:ind w:firstLine="422"/>
        <w:jc w:val="center"/>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比选公告</w:t>
      </w:r>
    </w:p>
    <w:p>
      <w:pPr>
        <w:adjustRightInd w:val="0"/>
        <w:snapToGrid w:val="0"/>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一、项目基本情况</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w:t>
      </w:r>
      <w:r>
        <w:rPr>
          <w:rFonts w:hint="eastAsia" w:asciiTheme="minorEastAsia" w:hAnsiTheme="minorEastAsia" w:eastAsiaTheme="minorEastAsia" w:cstheme="minorEastAsia"/>
          <w:b/>
          <w:sz w:val="28"/>
          <w:szCs w:val="28"/>
          <w:lang w:val="en-US" w:eastAsia="zh-CN"/>
        </w:rPr>
        <w:t>zfcg-fw-20240808-001</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2、项目名称：海口江东新区近零碳示范区实施方案                </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3、预算金额：人民币1920000元</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hAnsi="宋体" w:cs="宋体"/>
          <w:kern w:val="28"/>
          <w:szCs w:val="21"/>
        </w:rPr>
        <w:t xml:space="preserve">  </w:t>
      </w:r>
      <w:r>
        <w:rPr>
          <w:rFonts w:hint="eastAsia" w:asciiTheme="minorEastAsia" w:hAnsiTheme="minorEastAsia" w:eastAsiaTheme="minorEastAsia" w:cstheme="minorEastAsia"/>
          <w:bCs/>
          <w:szCs w:val="21"/>
        </w:rPr>
        <w:t>最高限价:人民币1920000元</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4、采购需求一览表：</w:t>
      </w:r>
      <w:r>
        <w:rPr>
          <w:rFonts w:hint="eastAsia" w:hAnsi="宋体" w:cs="宋体"/>
          <w:bCs/>
          <w:szCs w:val="21"/>
        </w:rPr>
        <w:t>详细需求详见第二章《采购需求》</w:t>
      </w:r>
    </w:p>
    <w:p>
      <w:pPr>
        <w:spacing w:line="400" w:lineRule="exact"/>
        <w:ind w:right="-197" w:rightChars="-94" w:firstLine="420" w:firstLineChars="200"/>
        <w:rPr>
          <w:rFonts w:hint="eastAsia" w:ascii="宋体" w:hAnsi="宋体"/>
          <w:bCs/>
          <w:szCs w:val="21"/>
        </w:rPr>
      </w:pPr>
      <w:r>
        <w:rPr>
          <w:rFonts w:hint="eastAsia" w:asciiTheme="minorEastAsia" w:hAnsiTheme="minorEastAsia" w:eastAsiaTheme="minorEastAsia" w:cstheme="minorEastAsia"/>
          <w:bCs/>
          <w:szCs w:val="21"/>
        </w:rPr>
        <w:t>5、服务期限</w:t>
      </w:r>
      <w:bookmarkStart w:id="12" w:name="_Toc28359003"/>
      <w:bookmarkStart w:id="13" w:name="_Toc35393622"/>
      <w:bookmarkStart w:id="14" w:name="_Toc35393791"/>
      <w:bookmarkStart w:id="15" w:name="_Toc28359080"/>
      <w:r>
        <w:rPr>
          <w:rFonts w:hint="eastAsia" w:asciiTheme="minorEastAsia" w:hAnsiTheme="minorEastAsia" w:eastAsiaTheme="minorEastAsia" w:cstheme="minorEastAsia"/>
          <w:bCs/>
          <w:szCs w:val="21"/>
        </w:rPr>
        <w:t>：自合同签订之日起365日历天内完成</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6、服务地点：海口江东新区</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二、供应商的资格要求：</w:t>
      </w:r>
      <w:bookmarkEnd w:id="12"/>
      <w:bookmarkEnd w:id="13"/>
      <w:bookmarkEnd w:id="14"/>
      <w:bookmarkEnd w:id="15"/>
    </w:p>
    <w:p>
      <w:pPr>
        <w:pStyle w:val="10"/>
        <w:adjustRightInd w:val="0"/>
        <w:snapToGrid w:val="0"/>
        <w:spacing w:line="400" w:lineRule="exact"/>
        <w:ind w:firstLine="420" w:firstLineChars="200"/>
        <w:jc w:val="left"/>
        <w:outlineLvl w:val="0"/>
        <w:rPr>
          <w:rFonts w:hint="eastAsia" w:hAnsi="宋体" w:cs="宋体"/>
          <w:bCs/>
          <w:szCs w:val="21"/>
        </w:rPr>
      </w:pPr>
      <w:bookmarkStart w:id="16" w:name="_Toc28359004"/>
      <w:bookmarkStart w:id="17" w:name="_Toc35393623"/>
      <w:bookmarkStart w:id="18" w:name="_Toc28359081"/>
      <w:bookmarkStart w:id="19" w:name="_Toc35393792"/>
      <w:r>
        <w:rPr>
          <w:rFonts w:hint="eastAsia" w:hAnsi="宋体" w:cs="宋体"/>
          <w:bCs/>
          <w:szCs w:val="21"/>
        </w:rPr>
        <w:t>1、满足《中华人民共和国政府采购法》第二十二条规定；</w:t>
      </w:r>
    </w:p>
    <w:p>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2、落实政府采购政策需满足的资格要求：无；</w:t>
      </w:r>
    </w:p>
    <w:p>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3、符合采购人根据采购项目实际情况要求的特定资格条件和其他法律法规规定的条件，具体如下：</w:t>
      </w:r>
    </w:p>
    <w:p>
      <w:pPr>
        <w:pStyle w:val="10"/>
        <w:adjustRightInd w:val="0"/>
        <w:snapToGrid w:val="0"/>
        <w:spacing w:line="400" w:lineRule="exact"/>
        <w:ind w:firstLine="420" w:firstLineChars="200"/>
        <w:outlineLvl w:val="0"/>
        <w:rPr>
          <w:rFonts w:hint="eastAsia" w:hAnsi="宋体" w:cs="宋体"/>
          <w:bCs/>
          <w:szCs w:val="21"/>
        </w:rPr>
      </w:pPr>
      <w:r>
        <w:rPr>
          <w:rFonts w:hint="eastAsia" w:hAnsi="宋体" w:cs="宋体"/>
          <w:bCs/>
          <w:szCs w:val="21"/>
        </w:rPr>
        <w:t>3.1、供应商未被列入失信被执行人、</w:t>
      </w:r>
      <w:r>
        <w:rPr>
          <w:rFonts w:hint="eastAsia" w:hAnsi="宋体" w:cs="宋体"/>
          <w:bCs/>
          <w:color w:val="000000" w:themeColor="text1"/>
          <w:szCs w:val="21"/>
          <w14:textFill>
            <w14:solidFill>
              <w14:schemeClr w14:val="tx1"/>
            </w14:solidFill>
          </w14:textFill>
        </w:rPr>
        <w:t>重大税收违法案件当事人名单（税收违法黑名单）和政府采购严重违法失信行为记录名单</w:t>
      </w:r>
      <w:r>
        <w:rPr>
          <w:rFonts w:hint="eastAsia" w:hAnsi="宋体" w:cs="宋体"/>
          <w:bCs/>
          <w:szCs w:val="21"/>
        </w:rPr>
        <w:t>（须提供“信用中国”网站（www.creditchina.gov.cn)查询失信被执行人、重大税收违法失信主体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3.2本项目不接受联合体响应；</w:t>
      </w:r>
    </w:p>
    <w:p>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3.3 供应商应具备城乡规划编制乙级</w:t>
      </w:r>
      <w:r>
        <w:rPr>
          <w:rFonts w:hint="eastAsia" w:hAnsi="宋体" w:cs="宋体"/>
          <w:bCs/>
          <w:szCs w:val="21"/>
          <w:lang w:val="en-US" w:eastAsia="zh-CN"/>
        </w:rPr>
        <w:t>或</w:t>
      </w:r>
      <w:r>
        <w:rPr>
          <w:rFonts w:hint="eastAsia" w:hAnsi="宋体" w:cs="宋体"/>
          <w:bCs/>
          <w:szCs w:val="21"/>
        </w:rPr>
        <w:t>以上资质。</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w:t>
      </w:r>
      <w:bookmarkEnd w:id="16"/>
      <w:bookmarkEnd w:id="17"/>
      <w:bookmarkEnd w:id="18"/>
      <w:bookmarkEnd w:id="19"/>
      <w:r>
        <w:rPr>
          <w:rFonts w:hint="eastAsia" w:asciiTheme="minorEastAsia" w:hAnsiTheme="minorEastAsia" w:eastAsiaTheme="minorEastAsia" w:cstheme="minorEastAsia"/>
          <w:b/>
          <w:szCs w:val="21"/>
        </w:rPr>
        <w:t>采购文件获取办法</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1、采购比选文件获取时间： 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16</w:t>
      </w:r>
      <w:r>
        <w:rPr>
          <w:rFonts w:hint="eastAsia" w:asciiTheme="minorEastAsia" w:hAnsiTheme="minorEastAsia" w:eastAsiaTheme="minorEastAsia" w:cstheme="minorEastAsia"/>
          <w:bCs/>
          <w:szCs w:val="21"/>
        </w:rPr>
        <w:t>日00时00分至20</w:t>
      </w:r>
      <w:r>
        <w:rPr>
          <w:rFonts w:asciiTheme="minorEastAsia" w:hAnsiTheme="minorEastAsia" w:eastAsiaTheme="minorEastAsia" w:cstheme="minorEastAsia"/>
          <w:bCs/>
          <w:szCs w:val="21"/>
        </w:rPr>
        <w:t>24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日</w:t>
      </w:r>
      <w:r>
        <w:rPr>
          <w:rFonts w:hint="eastAsia" w:asciiTheme="minorEastAsia" w:hAnsiTheme="minorEastAsia" w:eastAsiaTheme="minorEastAsia" w:cstheme="minorEastAsia"/>
          <w:bCs/>
          <w:szCs w:val="21"/>
          <w:lang w:val="en-US" w:eastAsia="zh-CN"/>
        </w:rPr>
        <w:t>24时</w:t>
      </w:r>
      <w:r>
        <w:rPr>
          <w:rFonts w:hint="eastAsia" w:asciiTheme="minorEastAsia" w:hAnsiTheme="minorEastAsia" w:eastAsiaTheme="minorEastAsia" w:cstheme="minorEastAsia"/>
          <w:bCs/>
          <w:szCs w:val="21"/>
        </w:rPr>
        <w:t>（北京时间）；</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2、采购比选文件获取方式：请有意向参与本项目采购活动的单位在比选公告界面自行下载比选文件。</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bookmarkStart w:id="20" w:name="_Toc28359008"/>
      <w:bookmarkStart w:id="21" w:name="_Toc35393627"/>
      <w:bookmarkStart w:id="22" w:name="_Toc28359085"/>
      <w:bookmarkStart w:id="23" w:name="_Toc35393796"/>
      <w:r>
        <w:rPr>
          <w:rFonts w:hint="eastAsia" w:asciiTheme="minorEastAsia" w:hAnsiTheme="minorEastAsia" w:eastAsiaTheme="minorEastAsia" w:cstheme="minorEastAsia"/>
          <w:b/>
          <w:szCs w:val="21"/>
        </w:rPr>
        <w:t>四、响应文件递交截止时间、开标时间及地点</w:t>
      </w:r>
    </w:p>
    <w:p>
      <w:pPr>
        <w:adjustRightInd w:val="0"/>
        <w:snapToGrid w:val="0"/>
        <w:spacing w:line="400" w:lineRule="exact"/>
        <w:ind w:firstLine="420" w:firstLineChars="200"/>
        <w:rPr>
          <w:rFonts w:hint="eastAsia" w:asciiTheme="minorEastAsia" w:hAnsiTheme="minorEastAsia" w:eastAsiaTheme="minorEastAsia" w:cstheme="minorEastAsia"/>
          <w:bCs/>
          <w:szCs w:val="21"/>
        </w:rPr>
      </w:pPr>
      <w:bookmarkStart w:id="24" w:name="_Toc28359007"/>
      <w:bookmarkStart w:id="25" w:name="_Toc35393794"/>
      <w:bookmarkStart w:id="26" w:name="_Toc35393625"/>
      <w:bookmarkStart w:id="27" w:name="_Toc28359084"/>
      <w:r>
        <w:rPr>
          <w:rFonts w:hint="eastAsia" w:asciiTheme="minorEastAsia" w:hAnsiTheme="minorEastAsia" w:eastAsiaTheme="minorEastAsia" w:cstheme="minorEastAsia"/>
          <w:bCs/>
          <w:szCs w:val="21"/>
        </w:rPr>
        <w:t>1、响应文件递交截止时间:202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cstheme="minorEastAsia"/>
          <w:bCs/>
          <w:szCs w:val="21"/>
          <w:lang w:val="en-US" w:eastAsia="zh-CN"/>
        </w:rPr>
        <w:t>21</w:t>
      </w:r>
      <w:r>
        <w:rPr>
          <w:rFonts w:hint="eastAsia" w:asciiTheme="minorEastAsia" w:hAnsiTheme="minorEastAsia" w:eastAsiaTheme="minorEastAsia" w:cstheme="minorEastAsia"/>
          <w:bCs/>
          <w:szCs w:val="21"/>
        </w:rPr>
        <w:t>日下午</w:t>
      </w:r>
      <w:r>
        <w:rPr>
          <w:rFonts w:hint="eastAsia" w:asciiTheme="minorEastAsia" w:hAnsiTheme="minorEastAsia" w:cstheme="minorEastAsia"/>
          <w:bCs/>
          <w:szCs w:val="21"/>
          <w:lang w:val="en-US" w:eastAsia="zh-CN"/>
        </w:rPr>
        <w:t>15:30</w:t>
      </w:r>
      <w:r>
        <w:rPr>
          <w:rFonts w:hint="eastAsia" w:asciiTheme="minorEastAsia" w:hAnsiTheme="minorEastAsia" w:eastAsiaTheme="minorEastAsia" w:cstheme="minorEastAsia"/>
          <w:bCs/>
          <w:szCs w:val="21"/>
        </w:rPr>
        <w:t>（北京时间）；</w:t>
      </w:r>
    </w:p>
    <w:p>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2、开标时间:与响应文件递交截止时间为同一时间；</w:t>
      </w:r>
    </w:p>
    <w:p>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3、响应文件递交及开标地点:</w:t>
      </w:r>
      <w:r>
        <w:rPr>
          <w:rFonts w:hint="eastAsia" w:asciiTheme="minorEastAsia" w:hAnsiTheme="minorEastAsia" w:cstheme="minorEastAsia"/>
          <w:bCs/>
          <w:szCs w:val="21"/>
          <w:lang w:val="en-US" w:eastAsia="zh-CN"/>
        </w:rPr>
        <w:t>江东大道202号</w:t>
      </w:r>
      <w:r>
        <w:rPr>
          <w:rFonts w:hint="eastAsia" w:asciiTheme="minorEastAsia" w:hAnsiTheme="minorEastAsia" w:eastAsiaTheme="minorEastAsia" w:cstheme="minorEastAsia"/>
          <w:bCs/>
          <w:szCs w:val="21"/>
        </w:rPr>
        <w:t>海口江东新区管理局</w:t>
      </w:r>
      <w:r>
        <w:rPr>
          <w:rFonts w:hint="eastAsia" w:asciiTheme="minorEastAsia" w:hAnsiTheme="minorEastAsia" w:cstheme="minorEastAsia"/>
          <w:bCs/>
          <w:szCs w:val="21"/>
          <w:lang w:val="en-US" w:eastAsia="zh-CN"/>
        </w:rPr>
        <w:t>406室</w:t>
      </w:r>
      <w:r>
        <w:rPr>
          <w:rFonts w:hint="eastAsia" w:asciiTheme="minorEastAsia" w:hAnsiTheme="minorEastAsia" w:eastAsiaTheme="minorEastAsia" w:cstheme="minorEastAsia"/>
          <w:bCs/>
          <w:szCs w:val="21"/>
        </w:rPr>
        <w:t>；</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4、逾期提交/送达或者未送达指定地点的响应文件，视为无效响应文件不予接收。</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五、采购信息发布媒体</w:t>
      </w:r>
    </w:p>
    <w:p>
      <w:pPr>
        <w:adjustRightInd w:val="0"/>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1、本项目采购信息指定发布媒体为海口江东新区管理局官网；</w:t>
      </w:r>
    </w:p>
    <w:p>
      <w:pPr>
        <w:adjustRightInd w:val="0"/>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2、有关本项目采购比选文件的补遗、澄清及变更信息以上述网站公告与下载为准，采购比选文件与更正公告的内容相互矛盾时，以最后发出的更正公告内容为准。</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w:t>
      </w:r>
    </w:p>
    <w:bookmarkEnd w:id="24"/>
    <w:bookmarkEnd w:id="25"/>
    <w:bookmarkEnd w:id="26"/>
    <w:bookmarkEnd w:id="27"/>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szCs w:val="21"/>
        </w:rPr>
      </w:pPr>
      <w:bookmarkStart w:id="28" w:name="_Toc35393626"/>
      <w:bookmarkStart w:id="29" w:name="_Toc35393795"/>
      <w:r>
        <w:rPr>
          <w:rFonts w:hint="eastAsia" w:asciiTheme="minorEastAsia" w:hAnsiTheme="minorEastAsia" w:eastAsiaTheme="minorEastAsia" w:cstheme="minorEastAsia"/>
          <w:bCs/>
          <w:szCs w:val="21"/>
        </w:rPr>
        <w:t>本项目采购比选文件公告自本公告发布之日起不少于3个工作日，自202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16</w:t>
      </w:r>
      <w:r>
        <w:rPr>
          <w:rFonts w:hint="eastAsia" w:asciiTheme="minorEastAsia" w:hAnsiTheme="minorEastAsia" w:eastAsiaTheme="minorEastAsia" w:cstheme="minorEastAsia"/>
          <w:bCs/>
          <w:szCs w:val="21"/>
        </w:rPr>
        <w:t>日00时00分起至202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日24时止。</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七、其他补充事宜</w:t>
      </w:r>
      <w:bookmarkEnd w:id="28"/>
      <w:bookmarkEnd w:id="29"/>
      <w:r>
        <w:rPr>
          <w:rFonts w:hint="eastAsia" w:asciiTheme="minorEastAsia" w:hAnsiTheme="minorEastAsia" w:eastAsiaTheme="minorEastAsia" w:cstheme="minorEastAsia"/>
          <w:b/>
          <w:szCs w:val="21"/>
        </w:rPr>
        <w:t>：无</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bookmarkEnd w:id="20"/>
      <w:bookmarkEnd w:id="21"/>
      <w:bookmarkEnd w:id="22"/>
      <w:bookmarkEnd w:id="23"/>
    </w:p>
    <w:p>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名称：海口江东新区管理局</w:t>
      </w:r>
    </w:p>
    <w:p>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地址：海口市美兰区江东大道</w:t>
      </w:r>
      <w:r>
        <w:rPr>
          <w:rFonts w:asciiTheme="minorEastAsia" w:hAnsiTheme="minorEastAsia" w:eastAsiaTheme="minorEastAsia" w:cstheme="minorEastAsia"/>
          <w:bCs/>
          <w:szCs w:val="21"/>
        </w:rPr>
        <w:t>20</w:t>
      </w:r>
      <w:r>
        <w:rPr>
          <w:rFonts w:hint="eastAsia" w:asciiTheme="minorEastAsia" w:hAnsiTheme="minorEastAsia" w:eastAsiaTheme="minorEastAsia" w:cstheme="minorEastAsia"/>
          <w:bCs/>
          <w:szCs w:val="21"/>
        </w:rPr>
        <w:t>2号江东发展大厦</w:t>
      </w:r>
    </w:p>
    <w:p>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联系人：张女士</w:t>
      </w:r>
    </w:p>
    <w:p>
      <w:pPr>
        <w:snapToGrid w:val="0"/>
        <w:spacing w:line="400" w:lineRule="exact"/>
        <w:ind w:firstLine="420" w:firstLineChars="200"/>
        <w:jc w:val="left"/>
        <w:rPr>
          <w:rFonts w:hint="eastAsia" w:asciiTheme="minorEastAsia" w:hAnsiTheme="minorEastAsia" w:eastAsiaTheme="minorEastAsia" w:cstheme="minorEastAsia"/>
          <w:bCs/>
          <w:szCs w:val="21"/>
        </w:rPr>
        <w:sectPr>
          <w:headerReference r:id="rId7" w:type="first"/>
          <w:footerReference r:id="rId9" w:type="first"/>
          <w:footerReference r:id="rId8"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szCs w:val="21"/>
        </w:rPr>
        <w:t>联系方式： 089865686619</w:t>
      </w:r>
    </w:p>
    <w:p>
      <w:pPr>
        <w:adjustRightInd w:val="0"/>
        <w:snapToGrid w:val="0"/>
        <w:spacing w:line="360" w:lineRule="auto"/>
        <w:ind w:firstLine="3162" w:firstLineChars="1500"/>
        <w:rPr>
          <w:rFonts w:hint="eastAsia" w:ascii="宋体" w:hAnsi="宋体" w:cs="宋体"/>
          <w:b/>
          <w:szCs w:val="21"/>
        </w:rPr>
      </w:pPr>
      <w:r>
        <w:rPr>
          <w:rFonts w:hint="eastAsia" w:ascii="宋体" w:hAnsi="宋体" w:cs="宋体"/>
          <w:b/>
          <w:szCs w:val="21"/>
        </w:rPr>
        <w:t>第二章  采购需求</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1.项目背景</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全面贯彻习近平生态文明思想，积极稳妥</w:t>
      </w:r>
      <w:r>
        <w:rPr>
          <w:rFonts w:hint="eastAsia" w:asciiTheme="minorEastAsia" w:hAnsiTheme="minorEastAsia" w:eastAsiaTheme="minorEastAsia" w:cstheme="minorEastAsia"/>
          <w:bCs/>
          <w:szCs w:val="21"/>
        </w:rPr>
        <w:t>推进碳达峰碳中和，是党中央、国务院经过深思熟虑作出的重大战略决策，也是推动国家高质量发展的内在要求。海南作为我国未来经济社会发展的重要战略高地和对外展示窗口，近年的“双碳”工作步伐不断加快，工作要求不断提高。冯飞书记指出，“要结合海南实际，从宏观、中观、微观三个层面统筹开展系统集成创新，争当‘双碳’工作优等生”。2022年8月，海南省政府发布《海南省碳达峰实施方案》（琼府〔2022〕27号）（以下简称《方案》），全面部署海南碳达峰实施“路线图”，并要求加快形成一批标志性成果，使海南的“双碳”工作走在全国前列。作为重点任务，《方案》提出，</w:t>
      </w:r>
      <w:r>
        <w:rPr>
          <w:rFonts w:hint="eastAsia" w:asciiTheme="minorEastAsia" w:hAnsiTheme="minorEastAsia" w:eastAsiaTheme="minorEastAsia" w:cstheme="minorEastAsia"/>
          <w:bCs/>
          <w:szCs w:val="21"/>
          <w:lang w:val="zh-CN"/>
        </w:rPr>
        <w:t>支持海口江东新区等园区根据产业发展定位和资源禀赋探索开展不同类型低碳园区试点建设工作。</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为更好地落实</w:t>
      </w:r>
      <w:r>
        <w:rPr>
          <w:rFonts w:hint="eastAsia" w:asciiTheme="minorEastAsia" w:hAnsiTheme="minorEastAsia" w:eastAsiaTheme="minorEastAsia" w:cstheme="minorEastAsia"/>
          <w:bCs/>
          <w:szCs w:val="21"/>
        </w:rPr>
        <w:t>《方案》决策部署，充分发挥江东新区作为海南自贸港重点园区的创新、展示、体验和示范作用，</w:t>
      </w:r>
      <w:r>
        <w:rPr>
          <w:rFonts w:hint="eastAsia" w:asciiTheme="minorEastAsia" w:hAnsiTheme="minorEastAsia" w:eastAsiaTheme="minorEastAsia" w:cstheme="minorEastAsia"/>
          <w:bCs/>
          <w:szCs w:val="21"/>
          <w:lang w:val="zh-CN"/>
        </w:rPr>
        <w:t>决定启动</w:t>
      </w:r>
      <w:bookmarkStart w:id="30" w:name="_Hlk132378793"/>
      <w:r>
        <w:rPr>
          <w:rFonts w:hint="eastAsia" w:asciiTheme="minorEastAsia" w:hAnsiTheme="minorEastAsia" w:eastAsiaTheme="minorEastAsia" w:cstheme="minorEastAsia"/>
          <w:bCs/>
          <w:szCs w:val="21"/>
          <w:lang w:val="zh-CN"/>
        </w:rPr>
        <w:t>江东新区</w:t>
      </w:r>
      <w:bookmarkEnd w:id="30"/>
      <w:r>
        <w:rPr>
          <w:rFonts w:hint="eastAsia" w:asciiTheme="minorEastAsia" w:hAnsiTheme="minorEastAsia" w:eastAsiaTheme="minorEastAsia" w:cstheme="minorEastAsia"/>
          <w:bCs/>
          <w:szCs w:val="21"/>
          <w:lang w:val="zh-CN"/>
        </w:rPr>
        <w:t>近零碳示范区（以下简称“示范区”）实施方案的编制工作。以示范区建设为起点，按照“世界一流、国内领先”的目标，通过整体谋划、分步实施，逐步将江东新区打造成为绿色低碳城市体制机制和技术产品的集成创新示范区，争当海南“双碳”工作优等生队伍的排头兵。</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2.编制费用估算</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2.1项目编制费用估算：1920000.00元。</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3.项目目标</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在示范区已有研究基础上更新优化，根据现状建设情况，调整既定目标、管控指标和实施路径，编制实施方案，明确项目清单，建设任务、实施步骤，指导示范区有序建设。</w:t>
      </w:r>
    </w:p>
    <w:p>
      <w:pPr>
        <w:pStyle w:val="10"/>
        <w:numPr>
          <w:ilvl w:val="0"/>
          <w:numId w:val="0"/>
        </w:numPr>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4.</w:t>
      </w:r>
      <w:r>
        <w:rPr>
          <w:rFonts w:hint="eastAsia" w:asciiTheme="minorEastAsia" w:hAnsiTheme="minorEastAsia" w:eastAsiaTheme="minorEastAsia" w:cstheme="minorEastAsia"/>
          <w:b/>
          <w:szCs w:val="21"/>
        </w:rPr>
        <w:t>工作内容</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1、建设目标和指标</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在示范区已有研究基础上更新优化，根据现状建设情况，调整既定目标、管控指标和实施路径，并针对近期重点建设</w:t>
      </w:r>
      <w:r>
        <w:rPr>
          <w:rFonts w:hint="eastAsia" w:asciiTheme="minorEastAsia" w:hAnsiTheme="minorEastAsia" w:eastAsiaTheme="minorEastAsia" w:cstheme="minorEastAsia"/>
          <w:bCs/>
          <w:szCs w:val="21"/>
          <w:lang w:val="en-US" w:eastAsia="zh-CN"/>
        </w:rPr>
        <w:t>区域</w:t>
      </w:r>
      <w:r>
        <w:rPr>
          <w:rFonts w:hint="eastAsia" w:asciiTheme="minorEastAsia" w:hAnsiTheme="minorEastAsia" w:eastAsiaTheme="minorEastAsia" w:cstheme="minorEastAsia"/>
          <w:bCs/>
          <w:szCs w:val="21"/>
          <w:lang w:val="zh-CN"/>
        </w:rPr>
        <w:t>（起步区及南片区、</w:t>
      </w:r>
      <w:r>
        <w:rPr>
          <w:rFonts w:hint="eastAsia" w:asciiTheme="minorEastAsia" w:hAnsiTheme="minorEastAsia" w:eastAsiaTheme="minorEastAsia" w:cstheme="minorEastAsia"/>
          <w:bCs/>
          <w:szCs w:val="21"/>
          <w:lang w:val="zh-CN" w:eastAsia="zh-CN"/>
        </w:rPr>
        <w:t>临空经济区</w:t>
      </w:r>
      <w:r>
        <w:rPr>
          <w:rFonts w:hint="eastAsia" w:asciiTheme="minorEastAsia" w:hAnsiTheme="minorEastAsia" w:eastAsiaTheme="minorEastAsia" w:cstheme="minorEastAsia"/>
          <w:bCs/>
          <w:szCs w:val="21"/>
          <w:lang w:val="zh-CN"/>
        </w:rPr>
        <w:t>）分别提出对应的建设目标和指标。</w:t>
      </w:r>
    </w:p>
    <w:p>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2、近期重点片区建设任务和项目谋划</w:t>
      </w:r>
    </w:p>
    <w:p>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结合新区各个片区建设需求和建设条件，明确建设任务、实施步骤。聚焦起步区及南片区、</w:t>
      </w:r>
      <w:r>
        <w:rPr>
          <w:rFonts w:hint="eastAsia" w:asciiTheme="minorEastAsia" w:hAnsiTheme="minorEastAsia" w:eastAsiaTheme="minorEastAsia" w:cstheme="minorEastAsia"/>
          <w:bCs/>
          <w:szCs w:val="21"/>
          <w:lang w:val="zh-CN" w:eastAsia="zh-CN"/>
        </w:rPr>
        <w:t>临空经济区</w:t>
      </w:r>
      <w:r>
        <w:rPr>
          <w:rFonts w:hint="eastAsia" w:asciiTheme="minorEastAsia" w:hAnsiTheme="minorEastAsia" w:eastAsiaTheme="minorEastAsia" w:cstheme="minorEastAsia"/>
          <w:bCs/>
          <w:szCs w:val="21"/>
          <w:lang w:val="zh-CN"/>
        </w:rPr>
        <w:t>2个近期重点建设</w:t>
      </w:r>
      <w:r>
        <w:rPr>
          <w:rFonts w:hint="eastAsia" w:asciiTheme="minorEastAsia" w:hAnsiTheme="minorEastAsia" w:eastAsiaTheme="minorEastAsia" w:cstheme="minorEastAsia"/>
          <w:bCs/>
          <w:szCs w:val="21"/>
          <w:lang w:val="en-US" w:eastAsia="zh-CN"/>
        </w:rPr>
        <w:t>区域</w:t>
      </w:r>
      <w:r>
        <w:rPr>
          <w:rFonts w:hint="eastAsia" w:asciiTheme="minorEastAsia" w:hAnsiTheme="minorEastAsia" w:eastAsiaTheme="minorEastAsia" w:cstheme="minorEastAsia"/>
          <w:bCs/>
          <w:szCs w:val="21"/>
          <w:lang w:val="zh-CN"/>
        </w:rPr>
        <w:t>的建设需求和建设条件，从功能布局出发，聚焦“能源、生态、智慧、生活、生产”5组降碳技术集成创新链条，形成“绿色能源供给、建筑降碳、交通降碳、水资源综合利用、固体废物综合利用、公共空间利用、智慧运营“7方面实施路径，开展项目谋划，</w:t>
      </w:r>
      <w:r>
        <w:rPr>
          <w:rFonts w:hint="eastAsia" w:asciiTheme="minorEastAsia" w:hAnsiTheme="minorEastAsia" w:eastAsiaTheme="minorEastAsia" w:cstheme="minorEastAsia"/>
          <w:bCs/>
          <w:szCs w:val="21"/>
        </w:rPr>
        <w:t>项目谋划需达到项目建议书深度，</w:t>
      </w:r>
      <w:r>
        <w:rPr>
          <w:rFonts w:hint="eastAsia" w:asciiTheme="minorEastAsia" w:hAnsiTheme="minorEastAsia" w:eastAsiaTheme="minorEastAsia" w:cstheme="minorEastAsia"/>
          <w:bCs/>
          <w:szCs w:val="21"/>
          <w:lang w:val="zh-CN"/>
        </w:rPr>
        <w:t>统筹布局各类项目包。</w:t>
      </w:r>
      <w:r>
        <w:rPr>
          <w:rFonts w:hint="eastAsia" w:asciiTheme="minorEastAsia" w:hAnsiTheme="minorEastAsia" w:eastAsiaTheme="minorEastAsia" w:cstheme="minorEastAsia"/>
          <w:bCs/>
          <w:szCs w:val="21"/>
        </w:rPr>
        <w:t>包括但不限于以下内容：</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（1）绿色能源供给</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明确能源需求类型、规模和特点，建设多能互补的能源低碳化利用策略。充分优化集中式、分散式可再生能源利用方案，统筹绿色能源供给项目布局，提出建设标准和技术要求，建立源网荷储调一体化的能源供给新模式。谋划布局近零碳能源基础设施工程项目，初步开展项目选址进行项目包装，确保零碳能源项目与其他工程项目的协同。</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（2）建筑降碳</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针对已建和未建建筑，通过分类分级、数字化模拟等方法，在已有研究指标基础上针对能源、绿建、资源循环等具体指标更新优化更新，提出推荐技术清单，确定优先实施区域及项目。提升技术侧重BAPV+BIPV光伏发电系统、小型风力发电系统、热泵系统、建筑全电气化、电化学+水蓄冷+冰蓄冷储能系统、VtoG+光储一体化充电站、智慧能源监测管理设备等降碳技术的规模化和集成化应用。谋划近期开展的近零碳、光储直柔等示范建筑的选址，形成项目推荐清单。</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（3）交通降碳</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 xml:space="preserve">优化交通配套基础设施，推广光储充一体化充电站建设和停车场绿色化建设，提高充电桩建设比例，促进交通领域新能源和新技术的应用。 </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（4）水资源综合利用</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通过源头控制和低碳技术应用，提高再生水利用率，降低给水系统和污水处理系统的碳排放。提出污水系统碳减排方案，提出设施设备和处理工艺优化建议。</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（5）固体废物综合利用</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细化可回收物分类收集制度，建立从产生到处理全过程、从处理到服务全方位的固废产业链。提出可生化垃圾原位资源化处理方案。</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（6）公共空间利用</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在不影响用地功能和城市风貌的前提下，充分利用城区内绿地、广场、停车场等空间资源，结合景观、遮阳设施布置分布式光伏和储能系统。梳理城区外有条件土地，以符合用地政策为原则，统筹布局农光/渔光互补作为绿色能源供应空间。</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（7）智慧运营</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依托江东新区现有智慧化展厅设施设备，提出新区零碳智慧管理中心建设设想，预留接口，实现对新能源、建筑、交通、市政、等多系统的降碳运行监测和智能调度。</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（8）区域海绵化工程</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（9）其他工作内容</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根据实际工作需要增加相关内容。</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3、近零碳示范区建设管理机制研究</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将在低碳园区建设管理实施办法、碳排放评估管理、低碳项目土地税收优惠政策、碳关税及碳金融创新等管理制度和管理手段上进行深入研究，提出符合地方实际的创新思路与做法，真正实现自贸港制度创新集成的突破，保证总体建设目标指标的顺利落地。</w:t>
      </w:r>
    </w:p>
    <w:p>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4.4、涉碳项目降碳技术及效果评价</w:t>
      </w:r>
    </w:p>
    <w:p>
      <w:pPr>
        <w:adjustRightInd w:val="0"/>
        <w:snapToGrid w:val="0"/>
        <w:spacing w:line="400" w:lineRule="exact"/>
        <w:ind w:firstLine="420" w:firstLineChars="200"/>
        <w:jc w:val="left"/>
        <w:outlineLvl w:val="0"/>
      </w:pPr>
      <w:r>
        <w:rPr>
          <w:rFonts w:hint="eastAsia" w:asciiTheme="minorEastAsia" w:hAnsiTheme="minorEastAsia" w:eastAsiaTheme="minorEastAsia" w:cstheme="minorEastAsia"/>
          <w:bCs/>
          <w:szCs w:val="21"/>
        </w:rPr>
        <w:t>为加强在立项阶段对各类涉碳建设项目的指导，保障降碳指标的顺利落实，在示范区创建期间对各类建筑、交通、能源、市政等涉及碳排放项目的建设方案在前期可研阶段进行降碳技术及效果的复核评价，并根据示范区总体减碳目标提供相关评价意见。</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5.成果要求</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（一）成果要求</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1、成果为《江东新区近零碳示范区实施方案》总报告，</w:t>
      </w:r>
      <w:r>
        <w:rPr>
          <w:rFonts w:hint="eastAsia" w:asciiTheme="minorEastAsia" w:hAnsiTheme="minorEastAsia" w:eastAsiaTheme="minorEastAsia" w:cstheme="minorEastAsia"/>
          <w:bCs/>
          <w:szCs w:val="21"/>
        </w:rPr>
        <w:t>其中</w:t>
      </w:r>
      <w:r>
        <w:rPr>
          <w:rFonts w:hint="eastAsia" w:asciiTheme="minorEastAsia" w:hAnsiTheme="minorEastAsia" w:eastAsiaTheme="minorEastAsia" w:cstheme="minorEastAsia"/>
          <w:bCs/>
          <w:szCs w:val="21"/>
          <w:lang w:val="zh-CN"/>
        </w:rPr>
        <w:t>纸</w:t>
      </w:r>
      <w:r>
        <w:rPr>
          <w:rFonts w:hint="eastAsia" w:asciiTheme="minorEastAsia" w:hAnsiTheme="minorEastAsia" w:eastAsiaTheme="minorEastAsia" w:cstheme="minorEastAsia"/>
          <w:bCs/>
          <w:szCs w:val="21"/>
        </w:rPr>
        <w:t>质成果6套</w:t>
      </w:r>
      <w:r>
        <w:rPr>
          <w:rFonts w:hint="eastAsia" w:asciiTheme="minorEastAsia" w:hAnsiTheme="minorEastAsia" w:eastAsiaTheme="minorEastAsia" w:cstheme="minorEastAsia"/>
          <w:bCs/>
          <w:szCs w:val="21"/>
          <w:lang w:val="zh-CN"/>
        </w:rPr>
        <w:t>和</w:t>
      </w:r>
      <w:r>
        <w:rPr>
          <w:rFonts w:hint="eastAsia" w:asciiTheme="minorEastAsia" w:hAnsiTheme="minorEastAsia" w:eastAsiaTheme="minorEastAsia" w:cstheme="minorEastAsia"/>
          <w:bCs/>
          <w:szCs w:val="21"/>
        </w:rPr>
        <w:t>成果</w:t>
      </w:r>
      <w:r>
        <w:rPr>
          <w:rFonts w:hint="eastAsia" w:asciiTheme="minorEastAsia" w:hAnsiTheme="minorEastAsia" w:eastAsiaTheme="minorEastAsia" w:cstheme="minorEastAsia"/>
          <w:bCs/>
          <w:szCs w:val="21"/>
          <w:lang w:val="zh-CN"/>
        </w:rPr>
        <w:t>电子文件</w:t>
      </w:r>
      <w:r>
        <w:rPr>
          <w:rFonts w:hint="eastAsia" w:asciiTheme="minorEastAsia" w:hAnsiTheme="minorEastAsia" w:eastAsiaTheme="minorEastAsia" w:cstheme="minorEastAsia"/>
          <w:bCs/>
          <w:szCs w:val="21"/>
        </w:rPr>
        <w:t>1套</w:t>
      </w:r>
      <w:r>
        <w:rPr>
          <w:rFonts w:hint="eastAsia" w:asciiTheme="minorEastAsia" w:hAnsiTheme="minorEastAsia" w:eastAsiaTheme="minorEastAsia" w:cstheme="minorEastAsia"/>
          <w:bCs/>
          <w:szCs w:val="21"/>
          <w:lang w:val="zh-CN"/>
        </w:rPr>
        <w:t>。</w:t>
      </w:r>
    </w:p>
    <w:p>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2、涉碳项目立项阶段开展</w:t>
      </w:r>
      <w:r>
        <w:rPr>
          <w:rFonts w:hint="eastAsia" w:asciiTheme="minorEastAsia" w:hAnsiTheme="minorEastAsia" w:eastAsiaTheme="minorEastAsia" w:cstheme="minorEastAsia"/>
          <w:bCs/>
          <w:szCs w:val="21"/>
        </w:rPr>
        <w:t>降碳技术及效果评价</w:t>
      </w:r>
      <w:r>
        <w:rPr>
          <w:rFonts w:hint="eastAsia" w:asciiTheme="minorEastAsia" w:hAnsiTheme="minorEastAsia" w:eastAsiaTheme="minorEastAsia" w:cstheme="minorEastAsia"/>
          <w:bCs/>
          <w:szCs w:val="21"/>
          <w:lang w:val="zh-CN"/>
        </w:rPr>
        <w:t>（内容见上文）。</w:t>
      </w:r>
    </w:p>
    <w:p>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3、按采购人需求提供其他相关咨询报告。</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（二）服务期要求</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自合同签订之日起365日历天内完成</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（三）付款条件</w:t>
      </w:r>
    </w:p>
    <w:p>
      <w:pPr>
        <w:pStyle w:val="10"/>
        <w:adjustRightInd w:val="0"/>
        <w:snapToGrid w:val="0"/>
        <w:spacing w:line="400" w:lineRule="exact"/>
        <w:ind w:firstLine="420" w:firstLineChars="200"/>
        <w:outlineLvl w:val="0"/>
        <w:rPr>
          <w:rFonts w:hint="eastAsia" w:hAnsi="宋体" w:cs="宋体"/>
          <w:bCs/>
          <w:szCs w:val="21"/>
        </w:rPr>
      </w:pPr>
      <w:r>
        <w:rPr>
          <w:rFonts w:hint="eastAsia" w:hAnsi="宋体" w:cs="宋体"/>
          <w:bCs/>
          <w:szCs w:val="21"/>
        </w:rPr>
        <w:t>本合同签订之日起15日内，采购人向中标供应商支付中标价款的30%作为预付款；中标供应商提供初步方案之日起1</w:t>
      </w:r>
      <w:r>
        <w:rPr>
          <w:rFonts w:hAnsi="宋体" w:cs="宋体"/>
          <w:bCs/>
          <w:szCs w:val="21"/>
        </w:rPr>
        <w:t>5</w:t>
      </w:r>
      <w:r>
        <w:rPr>
          <w:rFonts w:hint="eastAsia" w:hAnsi="宋体" w:cs="宋体"/>
          <w:bCs/>
          <w:szCs w:val="21"/>
        </w:rPr>
        <w:t>日内，采购人向中标供应商支付中标价款的30%；成果通过专家评审，并完成修订提交最终成果之日起1</w:t>
      </w:r>
      <w:r>
        <w:rPr>
          <w:rFonts w:hAnsi="宋体" w:cs="宋体"/>
          <w:bCs/>
          <w:szCs w:val="21"/>
        </w:rPr>
        <w:t>5</w:t>
      </w:r>
      <w:r>
        <w:rPr>
          <w:rFonts w:hint="eastAsia" w:hAnsi="宋体" w:cs="宋体"/>
          <w:bCs/>
          <w:szCs w:val="21"/>
        </w:rPr>
        <w:t>日内，采购人向中标供应商支付中标价款的30%，实施方案正式通过之日起15日内，采购人向中标供应商支付中标价款的10%，全部结清剩余尾款。</w:t>
      </w:r>
    </w:p>
    <w:p>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6.其他要求</w:t>
      </w:r>
    </w:p>
    <w:p>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1.若项目执行过程中出现成交供应商不按响应文件或合同内容要求执行，无法满足于项目排查要求、弄虚作假、降低质量标准、超过服务期限等行为，采购人有权终止合同，并报政府采购管理部门严肃处理。</w:t>
      </w:r>
    </w:p>
    <w:p>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2.具体服务内容与采购人沟通，以采购人意见为主。</w:t>
      </w:r>
    </w:p>
    <w:p>
      <w:pPr>
        <w:pStyle w:val="10"/>
        <w:adjustRightInd w:val="0"/>
        <w:spacing w:line="400" w:lineRule="exact"/>
        <w:jc w:val="left"/>
        <w:outlineLvl w:val="0"/>
        <w:rPr>
          <w:rFonts w:hint="eastAsia" w:hAnsi="宋体" w:cs="宋体"/>
          <w:bCs/>
          <w:szCs w:val="21"/>
        </w:rPr>
        <w:sectPr>
          <w:footerReference r:id="rId10" w:type="default"/>
          <w:pgSz w:w="11906" w:h="16838"/>
          <w:pgMar w:top="1440" w:right="1800" w:bottom="1440" w:left="1800" w:header="794" w:footer="992" w:gutter="0"/>
          <w:cols w:space="425" w:num="1"/>
          <w:docGrid w:type="lines" w:linePitch="312" w:charSpace="0"/>
        </w:sectPr>
      </w:pPr>
    </w:p>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pPr>
        <w:adjustRightInd w:val="0"/>
        <w:snapToGrid w:val="0"/>
        <w:spacing w:before="120" w:after="24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
                <w:sz w:val="21"/>
                <w:szCs w:val="21"/>
                <w:lang w:val="zh-CN"/>
              </w:rPr>
            </w:pPr>
            <w:bookmarkStart w:id="31"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3"/>
              <w:snapToGrid w:val="0"/>
              <w:spacing w:line="360" w:lineRule="auto"/>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3"/>
              <w:snapToGrid w:val="0"/>
              <w:spacing w:line="360" w:lineRule="auto"/>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有无带</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kern w:val="0"/>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szCs w:val="21"/>
              </w:rPr>
              <w:t>无)</w:t>
            </w:r>
          </w:p>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有，</w:t>
            </w:r>
            <w:r>
              <w:rPr>
                <w:rFonts w:hint="eastAsia" w:asciiTheme="minorEastAsia" w:hAnsiTheme="minorEastAsia" w:eastAsiaTheme="minorEastAsia" w:cstheme="minorEastAsia"/>
                <w:bCs/>
                <w:szCs w:val="21"/>
              </w:rPr>
              <w:t>带</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szCs w:val="21"/>
              </w:rPr>
              <w:t>的是实质性要求，供应商</w:t>
            </w:r>
            <w:r>
              <w:rPr>
                <w:rFonts w:hint="eastAsia" w:asciiTheme="minorEastAsia" w:hAnsiTheme="minorEastAsia" w:eastAsiaTheme="minorEastAsia" w:cstheme="minorEastAsia"/>
                <w:bCs/>
                <w:szCs w:val="21"/>
                <w:lang w:val="zh-CN"/>
              </w:rPr>
              <w:t>必须作出实质性响应满足或优于采购文件的要求，否则视为无效</w:t>
            </w:r>
            <w:r>
              <w:rPr>
                <w:rFonts w:hint="eastAsia" w:asciiTheme="minorEastAsia" w:hAnsiTheme="minorEastAsia" w:eastAsiaTheme="minorEastAsia" w:cstheme="minorEastAsia"/>
                <w:bCs/>
                <w:szCs w:val="21"/>
              </w:rPr>
              <w:t>响应</w:t>
            </w:r>
            <w:r>
              <w:rPr>
                <w:rFonts w:hint="eastAsia" w:asciiTheme="minorEastAsia" w:hAnsiTheme="minorEastAsia" w:eastAsiaTheme="minorEastAsia" w:cstheme="minorEastAsia"/>
                <w:bCs/>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hint="eastAsia" w:asciiTheme="minorEastAsia" w:hAnsiTheme="minorEastAsia" w:eastAsiaTheme="minorEastAsia" w:cstheme="minorEastAsia"/>
                <w:bCs/>
                <w:szCs w:val="21"/>
              </w:rPr>
            </w:pPr>
            <w:r>
              <w:rPr>
                <w:rFonts w:hint="eastAsia" w:ascii="宋体" w:hAnsi="宋体" w:cs="宋体"/>
                <w:bCs/>
                <w:kern w:val="0"/>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w:t>
            </w:r>
            <w:r>
              <w:rPr>
                <w:rFonts w:hint="eastAsia" w:ascii="宋体" w:hAnsi="宋体" w:cs="宋体"/>
                <w:bCs/>
                <w:kern w:val="0"/>
                <w:szCs w:val="21"/>
              </w:rPr>
              <w:t>响应</w:t>
            </w:r>
            <w:r>
              <w:rPr>
                <w:rFonts w:hint="eastAsia" w:ascii="宋体" w:hAnsi="宋体" w:cs="宋体"/>
                <w:bCs/>
                <w:kern w:val="0"/>
                <w:szCs w:val="21"/>
                <w:lang w:val="zh-CN"/>
              </w:rPr>
              <w:t>声明函；</w:t>
            </w:r>
          </w:p>
          <w:p>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2、法定代表人授权委托书（提供委托代理人的身份证复印件，非中国国籍的则提供护照复印件）（非法定代表人签署响应文件适用）；</w:t>
            </w:r>
          </w:p>
          <w:p>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4、提供营业执照副本、或事业单位法人证书（事业单位）、或执业许可证（非企业专业服务机构）的复印件；如果供应商为自然人的则提供身份证复印件；</w:t>
            </w:r>
          </w:p>
          <w:p>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6</w:t>
            </w:r>
            <w:r>
              <w:rPr>
                <w:rFonts w:hint="eastAsia" w:ascii="宋体" w:hAnsi="宋体" w:cs="宋体"/>
                <w:bCs/>
                <w:kern w:val="0"/>
                <w:szCs w:val="21"/>
                <w:lang w:val="zh-CN"/>
              </w:rPr>
              <w:t>、资格审查及符合性审查要求提供的其他资料（详见资格审查表及符合性审查表要求）；</w:t>
            </w:r>
          </w:p>
          <w:p>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、评审标准要求提供的其他资料（详见评审细则要求）；</w:t>
            </w:r>
          </w:p>
          <w:p>
            <w:pPr>
              <w:adjustRightInd w:val="0"/>
              <w:snapToGrid w:val="0"/>
              <w:spacing w:line="360" w:lineRule="auto"/>
              <w:ind w:left="210" w:leftChars="100"/>
              <w:jc w:val="left"/>
              <w:rPr>
                <w:rFonts w:hint="eastAsia" w:asciiTheme="minorEastAsia" w:hAnsiTheme="minorEastAsia" w:eastAsiaTheme="minorEastAsia" w:cstheme="minorEastAsia"/>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、供应商认为需要提供的其他资格证明文件和商务资料。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本项目要求供应商</w:t>
            </w:r>
            <w:r>
              <w:rPr>
                <w:rFonts w:hint="eastAsia" w:asciiTheme="minorEastAsia" w:hAnsiTheme="minorEastAsia" w:eastAsiaTheme="minorEastAsia" w:cstheme="minorEastAsia"/>
                <w:bCs/>
                <w:kern w:val="0"/>
                <w:szCs w:val="21"/>
                <w:lang w:val="zh-CN"/>
              </w:rPr>
              <w:t>提供的</w:t>
            </w:r>
            <w:r>
              <w:rPr>
                <w:rFonts w:hint="eastAsia" w:asciiTheme="minorEastAsia" w:hAnsiTheme="minorEastAsia" w:eastAsiaTheme="minorEastAsia" w:cstheme="minorEastAsia"/>
                <w:bCs/>
                <w:kern w:val="0"/>
                <w:szCs w:val="21"/>
              </w:rPr>
              <w:t>响应</w:t>
            </w:r>
            <w:r>
              <w:rPr>
                <w:rFonts w:hint="eastAsia" w:asciiTheme="minorEastAsia" w:hAnsiTheme="minorEastAsia" w:eastAsiaTheme="minorEastAsia" w:cstheme="minorEastAsia"/>
                <w:bCs/>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pPr>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rPr>
              <w:t>2、响应</w:t>
            </w:r>
            <w:r>
              <w:rPr>
                <w:rFonts w:hint="eastAsia" w:asciiTheme="minorEastAsia" w:hAnsiTheme="minorEastAsia" w:eastAsiaTheme="minorEastAsia" w:cstheme="minorEastAsia"/>
                <w:bCs/>
                <w:kern w:val="0"/>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3"/>
              <w:snapToGrid w:val="0"/>
              <w:spacing w:line="360" w:lineRule="auto"/>
              <w:ind w:left="105" w:leftChars="50"/>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rPr>
                <w:rFonts w:hint="eastAsia"/>
                <w:bCs/>
                <w:kern w:val="2"/>
                <w:sz w:val="21"/>
                <w:szCs w:val="21"/>
              </w:rPr>
            </w:pPr>
            <w:r>
              <w:rPr>
                <w:rFonts w:hint="eastAsia"/>
                <w:bCs/>
                <w:kern w:val="2"/>
                <w:sz w:val="21"/>
                <w:szCs w:val="21"/>
                <w:lang w:val="zh-CN"/>
              </w:rPr>
              <w:t>响应保证金</w:t>
            </w:r>
            <w:r>
              <w:rPr>
                <w:rFonts w:hint="eastAsia"/>
                <w:bCs/>
                <w:kern w:val="2"/>
                <w:sz w:val="21"/>
                <w:szCs w:val="21"/>
              </w:rPr>
              <w:t>要求</w:t>
            </w:r>
          </w:p>
          <w:p>
            <w:pPr>
              <w:pStyle w:val="33"/>
              <w:snapToGrid w:val="0"/>
              <w:spacing w:line="360" w:lineRule="auto"/>
              <w:ind w:left="105" w:leftChars="50"/>
              <w:rPr>
                <w:rFonts w:hint="eastAsia"/>
                <w:bCs/>
                <w:kern w:val="2"/>
                <w:sz w:val="21"/>
                <w:szCs w:val="21"/>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6"/>
              <w:adjustRightInd w:val="0"/>
              <w:snapToGrid w:val="0"/>
              <w:spacing w:line="360" w:lineRule="auto"/>
              <w:ind w:left="105" w:leftChars="50" w:firstLine="420" w:firstLineChars="200"/>
              <w:rPr>
                <w:rFonts w:hint="eastAsia" w:asciiTheme="minorEastAsia" w:hAnsiTheme="minorEastAsia" w:cstheme="minorEastAsia"/>
                <w:bCs/>
                <w:szCs w:val="21"/>
              </w:rPr>
            </w:pPr>
            <w:r>
              <w:rPr>
                <w:rFonts w:hint="eastAsia" w:ascii="宋体" w:hAnsi="宋体" w:cs="宋体"/>
                <w:bCs/>
                <w:szCs w:val="21"/>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正本</w:t>
            </w:r>
            <w:r>
              <w:rPr>
                <w:rFonts w:hint="eastAsia" w:asciiTheme="minorEastAsia" w:hAnsiTheme="minorEastAsia" w:eastAsiaTheme="minorEastAsia" w:cstheme="minorEastAsia"/>
                <w:bCs/>
                <w:szCs w:val="21"/>
                <w:u w:val="single"/>
                <w:lang w:val="zh-CN"/>
              </w:rPr>
              <w:t xml:space="preserve"> 壹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u w:val="single"/>
              </w:rPr>
              <w:t xml:space="preserve"> 贰</w:t>
            </w:r>
            <w:r>
              <w:rPr>
                <w:rFonts w:hint="eastAsia" w:asciiTheme="minorEastAsia" w:hAnsiTheme="minorEastAsia" w:eastAsiaTheme="minorEastAsia" w:cstheme="minorEastAsia"/>
                <w:bCs/>
                <w:szCs w:val="21"/>
                <w:u w:val="single"/>
                <w:lang w:val="zh-CN"/>
              </w:rPr>
              <w:t xml:space="preserve">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3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③</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电子版响应文件</w:t>
            </w:r>
            <w:r>
              <w:rPr>
                <w:rFonts w:hint="eastAsia" w:asciiTheme="minorEastAsia" w:hAnsiTheme="minorEastAsia" w:eastAsiaTheme="minorEastAsia" w:cstheme="minorEastAsia"/>
                <w:bCs/>
                <w:szCs w:val="21"/>
              </w:rPr>
              <w:t>U盘一个。</w:t>
            </w:r>
          </w:p>
          <w:p>
            <w:pPr>
              <w:tabs>
                <w:tab w:val="left" w:pos="420"/>
              </w:tabs>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w:t>
            </w:r>
          </w:p>
          <w:p>
            <w:pPr>
              <w:tabs>
                <w:tab w:val="left" w:pos="420"/>
              </w:tabs>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1、少于数量要求的响应文件视为无效响应文件。</w:t>
            </w:r>
          </w:p>
          <w:p>
            <w:pPr>
              <w:pStyle w:val="6"/>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2、电子版响应文件（电子版</w:t>
            </w:r>
            <w:r>
              <w:rPr>
                <w:rFonts w:hint="eastAsia" w:asciiTheme="minorEastAsia" w:hAnsiTheme="minorEastAsia" w:eastAsiaTheme="minorEastAsia" w:cstheme="minorEastAsia"/>
                <w:bCs/>
                <w:szCs w:val="21"/>
                <w:lang w:val="zh-CN"/>
              </w:rPr>
              <w:t>响应文件</w:t>
            </w:r>
            <w:r>
              <w:rPr>
                <w:rFonts w:hint="eastAsia" w:asciiTheme="minorEastAsia" w:hAnsiTheme="minorEastAsia" w:eastAsiaTheme="minorEastAsia" w:cstheme="minorEastAsia"/>
                <w:bCs/>
                <w:szCs w:val="21"/>
              </w:rPr>
              <w:t>须是PDF格式）为正本完整版的扫描件</w:t>
            </w:r>
            <w:r>
              <w:rPr>
                <w:rFonts w:hint="eastAsia" w:asciiTheme="minorEastAsia" w:hAnsiTheme="minorEastAsia" w:eastAsiaTheme="minorEastAsia" w:cstheme="minorEastAsia"/>
                <w:bCs/>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3"/>
              <w:snapToGrid w:val="0"/>
              <w:spacing w:line="360" w:lineRule="auto"/>
              <w:ind w:left="9"/>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3"/>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3"/>
              <w:snapToGrid w:val="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1、响应文件正本和副本须密封，并在密封处加盖单位公章或供应商授权代表签名；</w:t>
            </w:r>
          </w:p>
          <w:p>
            <w:pPr>
              <w:pStyle w:val="33"/>
              <w:snapToGrid w:val="0"/>
              <w:spacing w:line="360" w:lineRule="auto"/>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2、电子版响应文件（PDF格式）与开标一览表一并密封，并在密封处加盖单位公章或供应商授权代表签名。</w:t>
            </w:r>
          </w:p>
          <w:p>
            <w:pPr>
              <w:pStyle w:val="33"/>
              <w:snapToGrid w:val="0"/>
              <w:spacing w:line="360" w:lineRule="auto"/>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3、电子版响应文件和纸质版响应文件一起提交。</w:t>
            </w:r>
          </w:p>
          <w:p>
            <w:pPr>
              <w:pStyle w:val="33"/>
              <w:snapToGrid w:val="0"/>
              <w:spacing w:line="360" w:lineRule="auto"/>
              <w:ind w:left="105" w:leftChars="50"/>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    正本（副本）</w:t>
            </w:r>
          </w:p>
          <w:p>
            <w:pPr>
              <w:adjustRightInd w:val="0"/>
              <w:snapToGrid w:val="0"/>
              <w:spacing w:line="360" w:lineRule="auto"/>
              <w:ind w:left="105" w:leftChars="50"/>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项目编号（分包号，如果有）：</w:t>
            </w:r>
          </w:p>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供应商的名称（加盖公章）：</w:t>
            </w:r>
          </w:p>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供应商联系人姓名、联系电话：</w:t>
            </w:r>
          </w:p>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于</w:t>
            </w:r>
            <w:r>
              <w:rPr>
                <w:rFonts w:hint="eastAsia" w:asciiTheme="minorEastAsia" w:hAnsiTheme="minorEastAsia" w:eastAsiaTheme="minorEastAsia" w:cstheme="minorEastAsia"/>
                <w:bCs/>
                <w:kern w:val="0"/>
                <w:szCs w:val="21"/>
              </w:rPr>
              <w:t>在</w:t>
            </w:r>
            <w:r>
              <w:rPr>
                <w:rFonts w:hint="eastAsia" w:asciiTheme="minorEastAsia" w:hAnsiTheme="minorEastAsia" w:eastAsiaTheme="minorEastAsia" w:cstheme="minorEastAsia"/>
                <w:bCs/>
                <w:kern w:val="0"/>
                <w:szCs w:val="21"/>
                <w:lang w:val="en-US" w:eastAsia="zh-CN"/>
              </w:rPr>
              <w:t>2024</w:t>
            </w:r>
            <w:r>
              <w:rPr>
                <w:rFonts w:hint="eastAsia" w:asciiTheme="minorEastAsia" w:hAnsiTheme="minorEastAsia" w:eastAsiaTheme="minorEastAsia" w:cstheme="minorEastAsia"/>
                <w:bCs/>
                <w:kern w:val="0"/>
                <w:szCs w:val="21"/>
                <w:lang w:val="zh-CN"/>
              </w:rPr>
              <w:t>年</w:t>
            </w:r>
            <w:r>
              <w:rPr>
                <w:rFonts w:hint="eastAsia" w:asciiTheme="minorEastAsia" w:hAnsiTheme="minorEastAsia" w:eastAsiaTheme="minorEastAsia" w:cstheme="minorEastAsia"/>
                <w:bCs/>
                <w:kern w:val="0"/>
                <w:szCs w:val="21"/>
                <w:lang w:val="en-US" w:eastAsia="zh-CN"/>
              </w:rPr>
              <w:t>8</w:t>
            </w:r>
            <w:r>
              <w:rPr>
                <w:rFonts w:hint="eastAsia" w:asciiTheme="minorEastAsia" w:hAnsiTheme="minorEastAsia" w:eastAsiaTheme="minorEastAsia" w:cstheme="minorEastAsia"/>
                <w:bCs/>
                <w:kern w:val="0"/>
                <w:szCs w:val="21"/>
                <w:lang w:val="zh-CN"/>
              </w:rPr>
              <w:t>月</w:t>
            </w:r>
            <w:r>
              <w:rPr>
                <w:rFonts w:hint="eastAsia" w:asciiTheme="minorEastAsia" w:hAnsiTheme="minorEastAsia" w:eastAsiaTheme="minorEastAsia" w:cstheme="minorEastAsia"/>
                <w:bCs/>
                <w:kern w:val="0"/>
                <w:szCs w:val="21"/>
                <w:lang w:val="en-US" w:eastAsia="zh-CN"/>
              </w:rPr>
              <w:t>21</w:t>
            </w:r>
            <w:r>
              <w:rPr>
                <w:rFonts w:hint="eastAsia" w:asciiTheme="minorEastAsia" w:hAnsiTheme="minorEastAsia" w:eastAsiaTheme="minorEastAsia" w:cstheme="minorEastAsia"/>
                <w:bCs/>
                <w:kern w:val="0"/>
                <w:szCs w:val="21"/>
                <w:lang w:val="zh-CN"/>
              </w:rPr>
              <w:t>日</w:t>
            </w:r>
            <w:r>
              <w:rPr>
                <w:rFonts w:hint="eastAsia" w:asciiTheme="minorEastAsia" w:hAnsiTheme="minorEastAsia" w:eastAsiaTheme="minorEastAsia" w:cstheme="minorEastAsia"/>
                <w:bCs/>
                <w:kern w:val="0"/>
                <w:szCs w:val="21"/>
                <w:lang w:val="en-US" w:eastAsia="zh-CN"/>
              </w:rPr>
              <w:t>15</w:t>
            </w:r>
            <w:r>
              <w:rPr>
                <w:rFonts w:hint="eastAsia" w:asciiTheme="minorEastAsia" w:hAnsiTheme="minorEastAsia" w:eastAsiaTheme="minorEastAsia" w:cstheme="minorEastAsia"/>
                <w:bCs/>
                <w:kern w:val="0"/>
                <w:szCs w:val="21"/>
                <w:lang w:val="zh-CN"/>
              </w:rPr>
              <w:t>时</w:t>
            </w:r>
            <w:r>
              <w:rPr>
                <w:rFonts w:hint="eastAsia" w:asciiTheme="minorEastAsia" w:hAnsiTheme="minorEastAsia" w:eastAsiaTheme="minorEastAsia" w:cstheme="minorEastAsia"/>
                <w:bCs/>
                <w:kern w:val="0"/>
                <w:szCs w:val="21"/>
                <w:lang w:val="en-US" w:eastAsia="zh-CN"/>
              </w:rPr>
              <w:t>30</w:t>
            </w:r>
            <w:r>
              <w:rPr>
                <w:rFonts w:hint="eastAsia" w:asciiTheme="minorEastAsia" w:hAnsiTheme="minorEastAsia" w:eastAsiaTheme="minorEastAsia" w:cstheme="minorEastAsia"/>
                <w:bCs/>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参加开标供应商代表身份证明文件</w:t>
            </w:r>
          </w:p>
        </w:tc>
        <w:tc>
          <w:tcPr>
            <w:tcW w:w="5220" w:type="dxa"/>
            <w:vAlign w:val="center"/>
          </w:tcPr>
          <w:p>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pPr>
              <w:adjustRightInd w:val="0"/>
              <w:snapToGrid w:val="0"/>
              <w:spacing w:line="360" w:lineRule="auto"/>
              <w:ind w:left="105" w:leftChars="50"/>
              <w:outlineLvl w:val="1"/>
            </w:pPr>
            <w:r>
              <w:rPr>
                <w:rFonts w:hint="eastAsia"/>
              </w:rPr>
              <w:t>1、主持人宣布开标会议开始；</w:t>
            </w:r>
          </w:p>
          <w:p>
            <w:pPr>
              <w:adjustRightInd w:val="0"/>
              <w:snapToGrid w:val="0"/>
              <w:spacing w:line="360" w:lineRule="auto"/>
              <w:ind w:left="105" w:leftChars="50"/>
              <w:outlineLvl w:val="1"/>
            </w:pPr>
            <w:r>
              <w:rPr>
                <w:rFonts w:hint="eastAsia"/>
              </w:rPr>
              <w:t>2、介绍参加开标会议的人员；</w:t>
            </w:r>
          </w:p>
          <w:p>
            <w:pPr>
              <w:adjustRightInd w:val="0"/>
              <w:snapToGrid w:val="0"/>
              <w:spacing w:line="360" w:lineRule="auto"/>
              <w:ind w:left="105" w:leftChars="50"/>
              <w:outlineLvl w:val="1"/>
            </w:pPr>
            <w:r>
              <w:rPr>
                <w:rFonts w:hint="eastAsia"/>
              </w:rPr>
              <w:t>3、宣读开标纪律；</w:t>
            </w:r>
          </w:p>
          <w:p>
            <w:pPr>
              <w:adjustRightInd w:val="0"/>
              <w:snapToGrid w:val="0"/>
              <w:spacing w:line="360" w:lineRule="auto"/>
              <w:ind w:left="105" w:leftChars="50"/>
              <w:outlineLvl w:val="1"/>
            </w:pPr>
            <w:r>
              <w:rPr>
                <w:rFonts w:hint="eastAsia"/>
              </w:rPr>
              <w:t>4、查验各响应文件的密封性并予以确认；</w:t>
            </w:r>
          </w:p>
          <w:p>
            <w:pPr>
              <w:adjustRightInd w:val="0"/>
              <w:snapToGrid w:val="0"/>
              <w:spacing w:line="360" w:lineRule="auto"/>
              <w:ind w:left="105" w:leftChars="50"/>
              <w:outlineLvl w:val="1"/>
            </w:pPr>
            <w:r>
              <w:rPr>
                <w:rFonts w:hint="eastAsia"/>
              </w:rPr>
              <w:t>5、拆封响应文件；</w:t>
            </w:r>
          </w:p>
          <w:p>
            <w:pPr>
              <w:adjustRightInd w:val="0"/>
              <w:snapToGrid w:val="0"/>
              <w:spacing w:line="360" w:lineRule="auto"/>
              <w:ind w:left="105" w:leftChars="50"/>
              <w:outlineLvl w:val="1"/>
            </w:pPr>
            <w:r>
              <w:rPr>
                <w:rFonts w:hint="eastAsia"/>
              </w:rPr>
              <w:t>6、唱标，唱标内容为“开标一览表”所载明的内容；</w:t>
            </w:r>
          </w:p>
          <w:p>
            <w:pPr>
              <w:adjustRightInd w:val="0"/>
              <w:snapToGrid w:val="0"/>
              <w:spacing w:line="360" w:lineRule="auto"/>
              <w:ind w:left="105" w:leftChars="50"/>
              <w:outlineLvl w:val="1"/>
            </w:pPr>
            <w:r>
              <w:rPr>
                <w:rFonts w:hint="eastAsia"/>
              </w:rPr>
              <w:t>7、记录唱标结果及开标过程；</w:t>
            </w:r>
          </w:p>
          <w:p>
            <w:pPr>
              <w:adjustRightInd w:val="0"/>
              <w:snapToGrid w:val="0"/>
              <w:spacing w:line="360" w:lineRule="auto"/>
              <w:ind w:left="105" w:leftChars="50"/>
            </w:pPr>
            <w:r>
              <w:rPr>
                <w:rFonts w:hint="eastAsia"/>
              </w:rPr>
              <w:t>8、主持人宣布开标会议结束。</w:t>
            </w:r>
          </w:p>
          <w:p>
            <w:pPr>
              <w:pStyle w:val="9"/>
              <w:ind w:left="0" w:leftChars="0" w:firstLine="0" w:firstLineChars="0"/>
            </w:pPr>
            <w:r>
              <w:rPr>
                <w:rFonts w:hint="eastAsia" w:ascii="宋体" w:hAnsi="宋体" w:eastAsia="宋体" w:cs="宋体"/>
              </w:rPr>
              <w:t>备注：本项目不要求供应商授权代表参与开标会议</w:t>
            </w:r>
            <w:r>
              <w:rPr>
                <w:rFonts w:hint="eastAsi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响应文件中开标一览表（报价表）内容与响应文件中相应内容不一致的，以开标一览表（报价表）为准,但价格评审时则以最不利于评审结果的标准取值。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pPr>
              <w:pStyle w:val="33"/>
              <w:snapToGrid w:val="0"/>
              <w:spacing w:line="360" w:lineRule="auto"/>
              <w:ind w:left="105" w:leftChars="5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评审方法</w:t>
            </w:r>
          </w:p>
        </w:tc>
        <w:tc>
          <w:tcPr>
            <w:tcW w:w="5220" w:type="dxa"/>
            <w:vAlign w:val="center"/>
          </w:tcPr>
          <w:p>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7655" w:type="dxa"/>
            <w:gridSpan w:val="2"/>
            <w:vAlign w:val="center"/>
          </w:tcPr>
          <w:p>
            <w:pPr>
              <w:pStyle w:val="33"/>
              <w:snapToGrid w:val="0"/>
              <w:spacing w:line="360" w:lineRule="auto"/>
              <w:ind w:left="105" w:leftChars="50"/>
              <w:rPr>
                <w:rFonts w:hint="eastAsia" w:asciiTheme="minorEastAsia" w:hAnsiTheme="minorEastAsia" w:cstheme="minorEastAsia"/>
                <w:bCs/>
                <w:sz w:val="21"/>
                <w:szCs w:val="21"/>
                <w:lang w:val="zh-CN"/>
              </w:rPr>
            </w:pPr>
            <w:r>
              <w:rPr>
                <w:rFonts w:hint="eastAsia" w:asciiTheme="minorEastAsia" w:hAnsiTheme="minorEastAsia" w:eastAsiaTheme="minorEastAsia" w:cstheme="minorEastAsia"/>
                <w:bCs/>
                <w:sz w:val="21"/>
                <w:szCs w:val="21"/>
              </w:rPr>
              <w:t>本项目</w:t>
            </w:r>
            <w:r>
              <w:rPr>
                <w:rFonts w:hint="eastAsia"/>
                <w:sz w:val="21"/>
                <w:szCs w:val="21"/>
              </w:rPr>
              <w:t>对应的中小企业划分标准所属行业：</w:t>
            </w:r>
          </w:p>
        </w:tc>
      </w:tr>
    </w:tbl>
    <w:p>
      <w:pPr>
        <w:adjustRightInd w:val="0"/>
        <w:snapToGrid w:val="0"/>
        <w:spacing w:line="360" w:lineRule="auto"/>
        <w:ind w:firstLine="420" w:firstLineChars="200"/>
        <w:outlineLvl w:val="1"/>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bookmarkEnd w:id="31"/>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bookmarkStart w:id="32" w:name="_Toc246826115"/>
      <w:r>
        <w:rPr>
          <w:rFonts w:hint="eastAsia" w:asciiTheme="minorEastAsia" w:hAnsiTheme="minorEastAsia" w:eastAsiaTheme="minorEastAsia" w:cstheme="minorEastAsia"/>
          <w:bCs/>
          <w:kern w:val="0"/>
          <w:szCs w:val="21"/>
        </w:rPr>
        <w:t>1、适用范围</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本采购文件仅适用于本次比选公告中所述项目的采购。</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本采购文件中的下列术语应解释为：</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w:t>
      </w:r>
      <w:bookmarkStart w:id="33" w:name="_Toc267320062"/>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bookmarkEnd w:id="33"/>
      <w:r>
        <w:rPr>
          <w:rFonts w:hint="eastAsia" w:asciiTheme="minorEastAsia" w:hAnsiTheme="minorEastAsia" w:eastAsiaTheme="minorEastAsia" w:cstheme="minorEastAsia"/>
          <w:bCs/>
          <w:kern w:val="0"/>
          <w:szCs w:val="21"/>
        </w:rPr>
        <w:t>供应商</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3.1合格供应商条件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3.1.2.1具有独立承担民事责任的能力；</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3.1.2.1具有良好的商业信誉和健全的财务会计制度；</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3.1.2.1具有履行合同所必需的设备和专业技术能力；</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3.1.2.1有依法缴纳税收和社会保障资金的良好记录；</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3.1.2.1参加政府采购活动前三年内，在经营活动中没有重大违法记录；</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  3.1.2.1法律、行政法规规定的其他条件。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3.1.3满足采购文件报价、商务和技术等实质性要求的；</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3.2供应商的风险</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3.2.1供应商没有按照采购文件的要求编制、签署、密封、标记、递交及修正响应文件的，或者响应文件没有对采购文件在各方面都做出实质性响应的，将导致响应无效。</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kern w:val="0"/>
          <w:szCs w:val="21"/>
        </w:rPr>
        <w:t>：</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视同响应文件提供虚假资料论处。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4、参与采购活动费用</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4.1无论响应过程中的做法和结果如何，供应商自行承担所有与参加采购活动有关的全部费用；</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5.1关于符合上述规定的小微企业（供应商）参与响应</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5.1.1监狱企业、残疾人福利性单位视同小型、微型企业；以联合体形式参加政府采购活动，联合体各方均为小微企业的，联合体视同为小微企业。</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5.1.2供应商为符合规定的小型或微型企业时，报价给予20%的价格扣除，用扣除后的价格参与评审；</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5.1.3供应商为大中型企业和其他自然人、法人或者其他组织与小微企业组成联合体或者大中型企业向小微企业分包的，对联合体报价给予6%</w:t>
      </w:r>
      <w:r>
        <w:rPr>
          <w:rFonts w:hint="eastAsia" w:asciiTheme="minorEastAsia" w:hAnsiTheme="minorEastAsia" w:eastAsiaTheme="minorEastAsia" w:cstheme="minorEastAsia"/>
          <w:bCs/>
          <w:i/>
          <w:iCs/>
          <w:szCs w:val="21"/>
          <w:u w:val="single"/>
        </w:rPr>
        <w:t>（</w:t>
      </w:r>
      <w:r>
        <w:rPr>
          <w:rFonts w:hint="eastAsia" w:asciiTheme="minorEastAsia" w:hAnsiTheme="minorEastAsia" w:eastAsiaTheme="minorEastAsia" w:cstheme="minorEastAsia"/>
          <w:bCs/>
          <w:szCs w:val="21"/>
        </w:rPr>
        <w:t>的价格扣除，用扣除后的价格参与评审；</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5.1.4本条款中两种价格扣除优惠原则不同时使用。</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5.1.5组成联合体或者接受分包的小微企业与联合体内其他企业、分包企业之间存在直接控股、管理关系的，不享受价格扣除优惠政策；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5.1.6供应商认为其为小型或微型企业的应提供合法有效的“中小企业声明函”（附件1），并明确企业类型；供应商认为其为监狱企业须提供由省级以上监狱管理局、戒毒管理局（含新疆生产建设兵团）出具的属于监狱企业的证明文件(附件2)；供应商认为其为符合条件的残疾人福利性单位在参加政府采购活动时，应当提供《残疾人福利性单位声明函》（附件3），并对声明的真实性负责，否则评审时不能享受相应的价格扣除。</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5.1.7在货物采购项目中，供应商提供的货物既有小微企业制造货物，也有大中型企业制造货物的，不享受本办法规定的小微企业扶持政策。</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5.1.8享受扶持政策获得政府采购合同的，小微企业不得将合同分包给大中型企业，中型企业不得将合同分包给大型企业。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关于强制采购节能产品、信息安全产品和优先采购环境标志产品的要求。</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5.2.2提供的产品属于信息安全产品的，供应商应当选择经国家认证的信息安全产品响应，并提供有效的中国国家信息安全产品认证证书复印件。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5.2.3提供的产品属于政府强制采购节能产品的，供应商应当选择《节能产品政府采购清单》中的产品响应，并提供有效的节能产品认证证书复印件。</w:t>
      </w:r>
    </w:p>
    <w:p>
      <w:pPr>
        <w:adjustRightInd w:val="0"/>
        <w:snapToGrid w:val="0"/>
        <w:spacing w:line="360" w:lineRule="auto"/>
        <w:ind w:firstLine="420" w:firstLineChars="200"/>
        <w:rPr>
          <w:szCs w:val="21"/>
        </w:rPr>
      </w:pPr>
      <w:r>
        <w:rPr>
          <w:rFonts w:hint="eastAsia" w:asciiTheme="minorEastAsia" w:hAnsiTheme="minorEastAsia" w:eastAsiaTheme="minorEastAsia" w:cstheme="minorEastAsia"/>
          <w:bCs/>
          <w:szCs w:val="21"/>
        </w:rPr>
        <w:t>5.2.4 提供的产品属于优先采购环境标志产品的，供应商应当选择《环境标志产品政府采购清单》中的产品响应，并提供有效的环境标志产品认证证书复印件。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6、注意事项</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6.1如果没有特别声明或要求，供应商被视为充分熟悉本招标项目所在地与履行合同有关的各种情况，包括自然环境、气候条件、劳动力及公用设施等，本采购文件不再对上述情况进行描述。</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6.2分包采购详见“供应商须知前附表”要求。</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34" w:name="_Toc246826107"/>
      <w:r>
        <w:rPr>
          <w:rFonts w:hint="eastAsia" w:asciiTheme="minorEastAsia" w:hAnsiTheme="minorEastAsia" w:eastAsiaTheme="minorEastAsia" w:cstheme="minorEastAsia"/>
          <w:bCs/>
          <w:szCs w:val="21"/>
        </w:rPr>
        <w:t>二、采购文件</w:t>
      </w:r>
      <w:bookmarkEnd w:id="34"/>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7、采购文件的组成</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采购文件用以阐明供应商准备响应文件所必须的信息，以及响应、开标、评审和签订合同等有关规定。采购文件以电子版形式下载，采购文件由下述章节组成：</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（1）比选公告</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（3）供应商须知</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（4）审查标准和评审标准</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（5）政府采购合同格式</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（6）响应文件格式及附件</w:t>
      </w:r>
    </w:p>
    <w:p>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35" w:name="_Toc183582211"/>
      <w:bookmarkStart w:id="36" w:name="_Toc183682348"/>
      <w:bookmarkStart w:id="37" w:name="_Toc217446040"/>
      <w:r>
        <w:rPr>
          <w:rFonts w:hint="eastAsia" w:asciiTheme="minorEastAsia" w:hAnsiTheme="minorEastAsia" w:eastAsiaTheme="minorEastAsia" w:cstheme="minorEastAsia"/>
          <w:bCs/>
          <w:szCs w:val="21"/>
        </w:rPr>
        <w:t>8、采购文件的澄清</w:t>
      </w:r>
      <w:bookmarkEnd w:id="35"/>
      <w:bookmarkEnd w:id="36"/>
      <w:r>
        <w:rPr>
          <w:rFonts w:hint="eastAsia" w:asciiTheme="minorEastAsia" w:hAnsiTheme="minorEastAsia" w:eastAsiaTheme="minorEastAsia" w:cstheme="minorEastAsia"/>
          <w:bCs/>
          <w:szCs w:val="21"/>
        </w:rPr>
        <w:t>和修改</w:t>
      </w:r>
      <w:bookmarkEnd w:id="37"/>
    </w:p>
    <w:p>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在响应文件递交截止时间前，采购人无论出于何种原因，可以对采购文件进行澄清或者修改。</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w:t>
      </w:r>
      <w:bookmarkStart w:id="38" w:name="_Toc430422414"/>
      <w:bookmarkStart w:id="39" w:name="_Toc430489120"/>
      <w:bookmarkStart w:id="40" w:name="_Toc430488645"/>
      <w:bookmarkStart w:id="41" w:name="_Toc430490613"/>
      <w:bookmarkStart w:id="42" w:name="_Toc430492127"/>
      <w:bookmarkStart w:id="43" w:name="_Toc415567498"/>
      <w:bookmarkStart w:id="44" w:name="_Toc430488852"/>
      <w:r>
        <w:rPr>
          <w:rFonts w:hint="eastAsia" w:asciiTheme="minorEastAsia" w:hAnsiTheme="minorEastAsia" w:eastAsiaTheme="minorEastAsia" w:cstheme="minorEastAsia"/>
          <w:bCs/>
          <w:szCs w:val="21"/>
        </w:rPr>
        <w:t xml:space="preserve"> 采购文件的修改</w:t>
      </w:r>
      <w:bookmarkEnd w:id="38"/>
      <w:bookmarkEnd w:id="39"/>
      <w:bookmarkEnd w:id="40"/>
      <w:bookmarkEnd w:id="41"/>
      <w:bookmarkEnd w:id="42"/>
      <w:bookmarkEnd w:id="43"/>
      <w:bookmarkEnd w:id="44"/>
    </w:p>
    <w:p>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45" w:name="_Toc245887536"/>
      <w:bookmarkStart w:id="46" w:name="_Toc245888275"/>
      <w:bookmarkStart w:id="47" w:name="_Toc246826109"/>
      <w:bookmarkStart w:id="48" w:name="_Toc246825804"/>
      <w:r>
        <w:rPr>
          <w:rFonts w:hint="eastAsia" w:asciiTheme="minorEastAsia" w:hAnsiTheme="minorEastAsia" w:eastAsiaTheme="minorEastAsia" w:cstheme="minorEastAsia"/>
          <w:bCs/>
          <w:szCs w:val="21"/>
        </w:rPr>
        <w:t>（1）在响应文件递交截止时间以前，采购人可主动或依供应商要求澄清或质疑的问题对采购文件进行必要的补遗、澄清或修改；</w:t>
      </w:r>
      <w:bookmarkEnd w:id="45"/>
      <w:bookmarkEnd w:id="46"/>
      <w:bookmarkEnd w:id="47"/>
      <w:bookmarkEnd w:id="48"/>
      <w:bookmarkStart w:id="49" w:name="_Toc208848971"/>
      <w:bookmarkStart w:id="50" w:name="_Toc217446041"/>
    </w:p>
    <w:p>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（3）补遗、澄清或修改后的内容是采购文件的组成部分，并对潜在供应商具有约束力。有关</w:t>
      </w:r>
      <w:r>
        <w:rPr>
          <w:rFonts w:hint="eastAsia" w:asciiTheme="minorEastAsia" w:hAnsiTheme="minorEastAsia" w:eastAsiaTheme="minorEastAsia" w:cstheme="minorEastAsia"/>
          <w:bCs/>
          <w:spacing w:val="-8"/>
          <w:szCs w:val="21"/>
        </w:rPr>
        <w:t>本项目采购文件的补遗、澄清及变更信息以第一章指定网站公告及下载内容为准，</w:t>
      </w:r>
      <w:r>
        <w:rPr>
          <w:rFonts w:hint="eastAsia" w:asciiTheme="minorEastAsia" w:hAnsiTheme="minorEastAsia" w:eastAsiaTheme="minorEastAsia" w:cstheme="minorEastAsia"/>
          <w:bCs/>
          <w:szCs w:val="21"/>
        </w:rPr>
        <w:t>采购人不再另行通知，潜在供应商须及时关注关于本项目采购信息的更新事项，否则自行承担由此产生的风险。采购文件与更正公告的内容相互矛盾时，以最后发出的更正公告为准。</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9、其他</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9.1标前答疑会和</w:t>
      </w:r>
      <w:bookmarkEnd w:id="49"/>
      <w:bookmarkEnd w:id="50"/>
      <w:r>
        <w:rPr>
          <w:rFonts w:hint="eastAsia" w:asciiTheme="minorEastAsia" w:hAnsiTheme="minorEastAsia" w:eastAsiaTheme="minorEastAsia" w:cstheme="minorEastAsia"/>
          <w:bCs/>
          <w:szCs w:val="21"/>
        </w:rPr>
        <w:t>现场考察</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9.1.3采购人在考察现场中口头介绍的情况（如有），供供应商在编制响应文件时参考，采购人不对供应商据此作出的判断和决策负责。</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9.1.4采购人不单独或者分别组织只有1个供应商参加的现场考察及标前答疑会。</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9.1.5供应商自行承担参加答疑或现场考察所发生的一切费用。</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9.2述标和/或演示</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具体要求详见第二章“采购需求”和/或“供应商须知前附表”有关规定。</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1" w:name="_Toc246826110"/>
      <w:r>
        <w:rPr>
          <w:rFonts w:hint="eastAsia" w:asciiTheme="minorEastAsia" w:hAnsiTheme="minorEastAsia" w:eastAsiaTheme="minorEastAsia" w:cstheme="minorEastAsia"/>
          <w:bCs/>
          <w:szCs w:val="21"/>
        </w:rPr>
        <w:t>三、响应文件的编写</w:t>
      </w:r>
      <w:bookmarkEnd w:id="51"/>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响应文件的编制要求：供应商应当根据采购文件的要求编制响应文件（包括签名和盖章），否则自行承担由此产生的风险。</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10.3每一单项服务项目只允许有一个报价，否则将被视为无效响应。</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10.4只允许供应商有一个响应方案，否则将被视为无效响应。（采购文件允许有备选方案的除外）</w:t>
      </w: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10.5响应文件的正本、副本和电子版响应文件的数量应当符合采购文件的要求。</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10.6响应文件必须编页码，页码必须连续。</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10.7响应文件应装订牢固不可拆卸（如：胶订），如因装订不牢固导致的任何损失及风险由供应商承担。</w:t>
      </w:r>
    </w:p>
    <w:p>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 响应文件语言、货物及计量单位</w:t>
      </w:r>
    </w:p>
    <w:p>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11.1除采购文件中另有规定外，供应商提交的响应文件及其与采购人和采购人所有来往文件均应使用中文，若有不同文本，以中文文本为准。非中文的响应文件内容应翻译成中文。</w:t>
      </w:r>
    </w:p>
    <w:p>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11.2货币单位：本次采购项目的响应均以人民币报价。</w:t>
      </w:r>
    </w:p>
    <w:p>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11.3计量单位：除采购文件中另有规定外，供应商在响应文件中及其与采购人所有往来文件中所使用的计量单位均应采用中华人民共和国法定计量单位。</w:t>
      </w:r>
      <w:bookmarkStart w:id="52" w:name="_Toc217446046"/>
    </w:p>
    <w:bookmarkEnd w:id="52"/>
    <w:p>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12.1响应文件的商务部分</w:t>
      </w:r>
    </w:p>
    <w:p>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 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12.1.2 不满足商务部分实质性要求的将视为无效响应。</w:t>
      </w:r>
    </w:p>
    <w:p>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 响应文件的技术部分</w:t>
      </w:r>
    </w:p>
    <w:p>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pPr>
        <w:autoSpaceDE w:val="0"/>
        <w:autoSpaceDN w:val="0"/>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12.3 响应文件的价格部分 </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效响应。</w:t>
      </w:r>
    </w:p>
    <w:p>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响应文件的其他部分</w:t>
      </w:r>
    </w:p>
    <w:p>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其他部分由供应商根据编制响应文件需要提供的其他相关文件组成。</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13、响应有效期</w:t>
      </w:r>
    </w:p>
    <w:p>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14、响应保证金</w:t>
      </w:r>
    </w:p>
    <w:p>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14.1 如项目需交纳响应保证金，则响应保证金为响应文件的组成部分之一。</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14.2 供应商应在提交响应文件之前向采购人交纳“供应商须知前附表”所规定的响应保证金。联合体响应的，由联合体中的一方提交响应保证金，以一方名义提交响应保证金的，对联合体各方均具有约束力。</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14.3 响应保证金用于保护本次采购活动免受供应商的行为而引起的风险。</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14.4 供应商未按采购文件要求提交响应保证金的，视为无效响应；项目免收响应保证金的除外。</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14.5 未成交供应商的响应保证金将在成交通知书发出后5个工作日内退还，成交供应商的响应保证金将在合同送达采购人存档及公告后5个工作日内退还。</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14.6 响应保证金的有效期与响应有效期一致。</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14.7供应商交纳响应保证金的单位名称须与响应的单位名称一致，否则自行承担响应无效的风险。</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14.8 发生以下情况之一的，响应保证金将不予退还：</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（1）供应商在响应有效期内撤回已提交的响应文件的；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（2）供应商在响应文件中提供虚假材料的；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（3）除因不可抗力或采购文件认可的情形以外，成交供应商放弃成交资格的；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（4）供应商与采购人、其他供应商或者采购人恶意串通的；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（5）成交供应商无正当理由不与采购人签订合同的；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（6）供应商有违反政府采购法律、法规和扰乱会场秩序行为的；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（7）拒绝履行合同义务的；</w:t>
      </w:r>
    </w:p>
    <w:p>
      <w:pPr>
        <w:pStyle w:val="9"/>
        <w:ind w:left="0" w:leftChars="0"/>
        <w:rPr>
          <w:rFonts w:eastAsiaTheme="minorEastAsia"/>
        </w:rPr>
      </w:pPr>
      <w:r>
        <w:rPr>
          <w:rFonts w:hint="eastAsia" w:asciiTheme="minorEastAsia" w:hAnsiTheme="minorEastAsia" w:eastAsiaTheme="minorEastAsia" w:cstheme="minorEastAsia"/>
        </w:rPr>
        <w:t>（8）法律法规及采购文件规定的其他情形。</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上述不予退还响应保证金的情况给采购人或采购人造成损失的，还要承担赔偿责任。</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响应文件的格式及签署</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响应文件正本一份，副本若干份，电子版响应文件（PDF格式）U盘一个。正本、副本必须打印装订，副本可以用正本的完整复印件，并在封面标明“正本”、“副本”字样。电子版响应文件（PDF格式）为正本完整版的扫描件。正本与副本如有不一致，则以正本为准。</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15.3响应文件所使用的印章必须为单位公章，且与供应商单位名称完全一致，不能以其他业务章或附属机构印章代替，否则视为无效响应文件；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15.4响应文件中的任何行间插字，涂改和增删，须由法定代表人或经其正式授权的代表在旁边签字方可有效；</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15.5供应商应按照采购文件第六章中提供的“响应文件格式”编制响应文件，如自有格式并按其格式编制的响应文件，其内容必须包含“响应文件格式”中所有的实质性内容并受其约束。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15.6供应商须将响应文件的商务部分、技术部分和价格部分整合为一份响应文件，并制作详细目录、页码索引。</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15.7响应文件因字迹潦草或表达不清所引起的后果由供应商负责。</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3" w:name="_Toc246826111"/>
      <w:r>
        <w:rPr>
          <w:rFonts w:hint="eastAsia" w:asciiTheme="minorEastAsia" w:hAnsiTheme="minorEastAsia" w:eastAsiaTheme="minorEastAsia" w:cstheme="minorEastAsia"/>
          <w:bCs/>
          <w:szCs w:val="21"/>
        </w:rPr>
        <w:t>四、响应文件的提交</w:t>
      </w:r>
      <w:bookmarkEnd w:id="53"/>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16.响应文件的密封和递交</w:t>
      </w: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供应商应将纸质版响应文件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bCs/>
          <w:szCs w:val="21"/>
        </w:rPr>
        <w:t>电子版响应文件（PDF格式）密封提交，响应文件密封袋上标示“供应商须知前附表”所规定的内容。</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16.2电子版响应文件U盘应密封提交。</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16.3供应商应将响应文件按照本须知正文第16.1条及16.2的规定进行密封和标记后，按第一章/比选公告注明的递交响应文件地址送至采购人指定地点。</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16.4如果未按上述规定进行密封和标记，采购人将不承担由此造成的对响应文件的误投或提前拆封的责任。</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16.5响应文件应在第一章/比选公告中所规定的响应文件递交截止时间前送达，迟到的响应文件为无效响应文件, 将被拒收；未按照采购文件要求密封的响应文件将被拒收。</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16.6 接受邮寄的响应文件，但必须密封完整。</w:t>
      </w:r>
      <w:bookmarkStart w:id="54" w:name="_Toc183682365"/>
      <w:bookmarkStart w:id="55" w:name="_Toc183582228"/>
      <w:bookmarkStart w:id="56" w:name="_Toc217446055"/>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17.响应文件的修改和撤</w:t>
      </w:r>
      <w:bookmarkEnd w:id="54"/>
      <w:bookmarkEnd w:id="55"/>
      <w:r>
        <w:rPr>
          <w:rFonts w:hint="eastAsia" w:asciiTheme="minorEastAsia" w:hAnsiTheme="minorEastAsia" w:eastAsiaTheme="minorEastAsia" w:cstheme="minorEastAsia"/>
          <w:bCs/>
          <w:szCs w:val="21"/>
        </w:rPr>
        <w:t>回</w:t>
      </w:r>
      <w:bookmarkEnd w:id="56"/>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57" w:name="_Toc246826112"/>
      <w:r>
        <w:rPr>
          <w:rFonts w:hint="eastAsia" w:asciiTheme="minorEastAsia" w:hAnsiTheme="minorEastAsia" w:eastAsiaTheme="minorEastAsia" w:cstheme="minorEastAsia"/>
          <w:bCs/>
          <w:szCs w:val="21"/>
        </w:rPr>
        <w:t>17.l 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响应文件的修改文件应按第15条规定签署，并按第 16.1条规定盖章及标记，还须注明“修改响应文件”和“开标前不得启封”字样。修改文件须在响应文件递交截止时间前送达规定的响应文件递交地点。上述补充或修改若涉及响应报价，必须注明“最终唯一报价”字样，否则将视为有选择的报价。</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供应商不得在响应文件递交截止时间以后修改或/和撤回响应文件。</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w:t>
      </w:r>
      <w:bookmarkEnd w:id="57"/>
      <w:r>
        <w:rPr>
          <w:rFonts w:hint="eastAsia" w:asciiTheme="minorEastAsia" w:hAnsiTheme="minorEastAsia" w:eastAsiaTheme="minorEastAsia" w:cstheme="minorEastAsia"/>
          <w:bCs/>
          <w:szCs w:val="21"/>
        </w:rPr>
        <w:t>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在第一章/比选公告所规定的开标时间和地点开标。</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18.2开标时，供应商法定代表人或法人授权的供应商授权代表须携带个人身份证（或其他有效证件）复印件和授权委托书原件亲自出席开标会并确认开标情况。如果不参加开标会议的，则视为认可开标情况。</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供应商代表或采购人内部监督部门，检查响应文件的密封情况，。供应商认为响应文件存在密封有瑕疵情形的，现场应如实记录，由评审委员会对响应文件实质性有效与否作出判断，由此产生的风险由供应商自行承担。</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18.4开标程序详见“供应商须知前附表”。</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18.5唱标要求详见“供应商须知前附表”。</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19.1评审委员会</w:t>
      </w: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19.1.1评审委员会由采购人各部门代表组成，成员人数应当为3人以上单数。</w:t>
      </w:r>
    </w:p>
    <w:p>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19.1.2评审委员会成员与供应商有下列利害关系之一的，应当回避：</w:t>
      </w:r>
    </w:p>
    <w:p>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（1）参加采购活动前3年内与供应商存在劳动关系；</w:t>
      </w:r>
    </w:p>
    <w:p>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（2）参加采购活动前3年内担任供应商的董事、监事；</w:t>
      </w:r>
    </w:p>
    <w:p>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（3）参加采购活动前3年内是供应商的控股股东或者实际控制人；</w:t>
      </w:r>
    </w:p>
    <w:p>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（5）与供应商有其他可能影响政府采购活动公平、公正进行的关系。</w:t>
      </w:r>
    </w:p>
    <w:p>
      <w:pPr>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宋体" w:hAnsi="宋体" w:cs="宋体"/>
          <w:bCs/>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6"/>
        <w:adjustRightInd w:val="0"/>
        <w:snapToGrid w:val="0"/>
        <w:spacing w:line="360" w:lineRule="auto"/>
        <w:ind w:firstLine="420" w:firstLineChars="200"/>
        <w:rPr>
          <w:rFonts w:hint="eastAsia"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评审委员会将严格遵守评审工作纪律，按照客观、公正、审慎的原则，根据采购文件规定的评审程序、评审方法和评审标准进行独立评审。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响应文件的评审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符合性审查：依据采购文件的规定，评审委员会将从响应文件的有效性、完整性和对采购文件的响应程度进行审查，以确定是否符合对采购文件的实质性要求作出响应。</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响应文件的澄清 </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（1）响应文件中开标一览表（报价表）内容与响应文件中相应内容不一致的，以开标一览表（报价表）为准；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（4）总价金额与按单价汇总金额不一致的，以单价金额计算结果为准；同时出现两种以上不一致的，按照前款规定的顺序修正。修正后的报价经供应商确认后产生约束力，供应商不确认的，其响应无效。</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评审委员会将按第四章所规定的评审方法与标准，对资格性审查和符合性检查合格的响应文件进行评审。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19.2.5有下列情形之一的，视为供应商串通响应，其响应无效：</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（一）不同供应商的响应文件由同一单位或者个人编制；</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（二）不同供应商委托同一单位或者个人办理项目响应相关事宜；</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（三）不同供应商的响应文件载明的项目管理成员或者联系人员为同一人；</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（四）不同供应商的响应文件异常一致或者响应报价呈规律性差异；</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（五）不同供应商的响应文件相互混装；</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（六）不同供应商的响应保证金从同一单位或者个人的账户转出。</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20、废标</w:t>
      </w:r>
      <w:bookmarkStart w:id="58" w:name="_Toc217446072"/>
      <w:r>
        <w:rPr>
          <w:rFonts w:hint="eastAsia" w:asciiTheme="minorEastAsia" w:hAnsiTheme="minorEastAsia" w:eastAsiaTheme="minorEastAsia" w:cstheme="minorEastAsia"/>
          <w:bCs/>
          <w:szCs w:val="21"/>
        </w:rPr>
        <w:t>的情形</w:t>
      </w:r>
      <w:bookmarkEnd w:id="58"/>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（1）出现影响采购公正的违法、违规行为的；</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（2）供应商的报价均超过了预算，采购人不能支付的；</w:t>
      </w:r>
    </w:p>
    <w:p>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（3）因重大变故，采购任务取消的。</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21、纪律和监督</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59" w:name="_Toc246996962"/>
      <w:bookmarkStart w:id="60" w:name="_Toc152042351"/>
      <w:bookmarkStart w:id="61" w:name="_Toc179632593"/>
      <w:bookmarkStart w:id="62" w:name="_Toc296590983"/>
      <w:bookmarkStart w:id="63" w:name="_Toc152045575"/>
      <w:bookmarkStart w:id="64" w:name="_Toc246996219"/>
      <w:bookmarkStart w:id="65" w:name="_Toc296602462"/>
      <w:bookmarkStart w:id="66" w:name="_Toc247085733"/>
      <w:bookmarkStart w:id="67" w:name="_Toc144974543"/>
      <w:r>
        <w:rPr>
          <w:rFonts w:hint="eastAsia" w:asciiTheme="minorEastAsia" w:hAnsiTheme="minorEastAsia" w:eastAsiaTheme="minorEastAsia" w:cstheme="minorEastAsia"/>
          <w:bCs/>
          <w:szCs w:val="21"/>
        </w:rPr>
        <w:t>21.1 对采购人的纪律要求</w:t>
      </w:r>
      <w:bookmarkEnd w:id="59"/>
      <w:bookmarkEnd w:id="60"/>
      <w:bookmarkEnd w:id="61"/>
      <w:bookmarkEnd w:id="62"/>
      <w:bookmarkEnd w:id="63"/>
      <w:bookmarkEnd w:id="64"/>
      <w:bookmarkEnd w:id="65"/>
      <w:bookmarkEnd w:id="66"/>
      <w:bookmarkEnd w:id="67"/>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采购人不得泄漏招标采购活动中应当保密的情况和资料，不得与供应商串通损害国家利益、社会公共利益或者他人合法权益。</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68" w:name="_Toc246996963"/>
      <w:bookmarkStart w:id="69" w:name="_Toc296602463"/>
      <w:bookmarkStart w:id="70" w:name="_Toc152045576"/>
      <w:bookmarkStart w:id="71" w:name="_Toc246996220"/>
      <w:bookmarkStart w:id="72" w:name="_Toc152042352"/>
      <w:bookmarkStart w:id="73" w:name="_Toc247085734"/>
      <w:bookmarkStart w:id="74" w:name="_Toc144974544"/>
      <w:bookmarkStart w:id="75" w:name="_Toc179632594"/>
      <w:r>
        <w:rPr>
          <w:rFonts w:hint="eastAsia" w:asciiTheme="minorEastAsia" w:hAnsiTheme="minorEastAsia" w:eastAsiaTheme="minorEastAsia" w:cstheme="minorEastAsia"/>
          <w:bCs/>
          <w:szCs w:val="21"/>
        </w:rPr>
        <w:t>21.2对供应商的纪律要求</w:t>
      </w:r>
      <w:bookmarkEnd w:id="68"/>
      <w:bookmarkEnd w:id="69"/>
      <w:bookmarkEnd w:id="70"/>
      <w:bookmarkEnd w:id="71"/>
      <w:bookmarkEnd w:id="72"/>
      <w:bookmarkEnd w:id="73"/>
      <w:bookmarkEnd w:id="74"/>
      <w:bookmarkEnd w:id="75"/>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供应商不得相互串通响应或者与采购人串通响应，不得向采购人或者评审委员会成员行贿谋取成交，不得以他人名义响应或者以其他方式弄虚作假骗取成交；供应商不得以任何方式干扰、影响评审工作。</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76" w:name="_Toc246996964"/>
      <w:bookmarkStart w:id="77" w:name="_Toc296602464"/>
      <w:bookmarkStart w:id="78" w:name="_Toc144974545"/>
      <w:bookmarkStart w:id="79" w:name="_Toc152042353"/>
      <w:bookmarkStart w:id="80" w:name="_Toc247085735"/>
      <w:bookmarkStart w:id="81" w:name="_Toc246996221"/>
      <w:bookmarkStart w:id="82" w:name="_Toc152045577"/>
      <w:bookmarkStart w:id="83" w:name="_Toc179632595"/>
      <w:r>
        <w:rPr>
          <w:rFonts w:hint="eastAsia" w:asciiTheme="minorEastAsia" w:hAnsiTheme="minorEastAsia" w:eastAsiaTheme="minorEastAsia" w:cstheme="minorEastAsia"/>
          <w:bCs/>
          <w:szCs w:val="21"/>
        </w:rPr>
        <w:t>21.3对评审委员会成员的纪律要求</w:t>
      </w:r>
      <w:bookmarkEnd w:id="76"/>
      <w:bookmarkEnd w:id="77"/>
      <w:bookmarkEnd w:id="78"/>
      <w:bookmarkEnd w:id="79"/>
      <w:bookmarkEnd w:id="80"/>
      <w:bookmarkEnd w:id="81"/>
      <w:bookmarkEnd w:id="82"/>
      <w:bookmarkEnd w:id="83"/>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84" w:name="_Toc152045578"/>
      <w:bookmarkStart w:id="85" w:name="_Toc179632596"/>
      <w:bookmarkStart w:id="86" w:name="_Toc246996222"/>
      <w:bookmarkStart w:id="87" w:name="_Toc296602465"/>
      <w:bookmarkStart w:id="88" w:name="_Toc246996965"/>
      <w:bookmarkStart w:id="89" w:name="_Toc152042354"/>
      <w:bookmarkStart w:id="90" w:name="_Toc247085736"/>
      <w:r>
        <w:rPr>
          <w:rFonts w:hint="eastAsia" w:asciiTheme="minorEastAsia" w:hAnsiTheme="minorEastAsia" w:eastAsiaTheme="minorEastAsia" w:cstheme="minorEastAsia"/>
          <w:bCs/>
          <w:szCs w:val="21"/>
        </w:rPr>
        <w:t>21.4对与评审活动有关的工作人员的纪律要求</w:t>
      </w:r>
      <w:bookmarkEnd w:id="84"/>
      <w:bookmarkEnd w:id="85"/>
      <w:bookmarkEnd w:id="86"/>
      <w:bookmarkEnd w:id="87"/>
      <w:bookmarkEnd w:id="88"/>
      <w:bookmarkEnd w:id="89"/>
      <w:bookmarkEnd w:id="90"/>
    </w:p>
    <w:p>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91" w:name="_Toc152042355"/>
      <w:r>
        <w:rPr>
          <w:rFonts w:hint="eastAsia" w:asciiTheme="minorEastAsia" w:hAnsiTheme="minorEastAsia" w:eastAsiaTheme="minorEastAsia" w:cstheme="minorEastAsia"/>
          <w:bCs/>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91"/>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92" w:name="_Toc246826113"/>
      <w:r>
        <w:rPr>
          <w:rFonts w:hint="eastAsia" w:asciiTheme="minorEastAsia" w:hAnsiTheme="minorEastAsia" w:eastAsiaTheme="minorEastAsia" w:cstheme="minorEastAsia"/>
          <w:bCs/>
          <w:szCs w:val="21"/>
        </w:rPr>
        <w:t>六、定标、合同</w:t>
      </w:r>
      <w:bookmarkEnd w:id="92"/>
      <w:r>
        <w:rPr>
          <w:rFonts w:hint="eastAsia" w:asciiTheme="minorEastAsia" w:hAnsiTheme="minorEastAsia" w:eastAsiaTheme="minorEastAsia" w:cstheme="minorEastAsia"/>
          <w:bCs/>
          <w:szCs w:val="21"/>
        </w:rPr>
        <w:t>与验收</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22.1任何单项因素的最优不能作为成交的保证。</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22.2评审委员会推荐排名第一且经采购人确认的供应商即为成交供应商。</w:t>
      </w:r>
    </w:p>
    <w:p>
      <w:pPr>
        <w:adjustRightInd w:val="0"/>
        <w:snapToGrid w:val="0"/>
        <w:spacing w:line="360" w:lineRule="auto"/>
        <w:ind w:left="420" w:left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23、成交通知</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23.1由采购人在比选公告发布媒体上公布成交结果，并向成交供应商发送《成交通知书》。</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23.2成交通知书为签订政府采购合同的依据，是合同的有效组成部分。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23.3成交通知书对采购人和成交人均具有法律效力。成交通知书发出后，采购人改变成交结果，或者成交人无正当理由放弃成交的，应当承担相应的法律责任。</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24.1成交人在收到《成交通知书》后，应在规定的时间内与采购人签订采购合同。由于成交人的原因逾期未与采购人签订采购合同的，将视为放弃成交，取消其成交资格并将按相关规定进行处理。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24.2采购人不得向成交人提出任何不合理的要求作为签订合同的条件，不得与成交人私下订立背离合同实质性内容的任何协议，所签订的合同不得对采购文件和成交人响应文件作实质性修改。</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93" w:name="_Toc217446069"/>
      <w:r>
        <w:rPr>
          <w:rFonts w:hint="eastAsia" w:asciiTheme="minorEastAsia" w:hAnsiTheme="minorEastAsia" w:eastAsiaTheme="minorEastAsia" w:cstheme="minorEastAsia"/>
          <w:bCs/>
          <w:szCs w:val="21"/>
        </w:rPr>
        <w:t>25、合同</w:t>
      </w:r>
      <w:bookmarkEnd w:id="93"/>
      <w:r>
        <w:rPr>
          <w:rFonts w:hint="eastAsia" w:asciiTheme="minorEastAsia" w:hAnsiTheme="minorEastAsia" w:eastAsiaTheme="minorEastAsia" w:cstheme="minorEastAsia"/>
          <w:bCs/>
          <w:szCs w:val="21"/>
        </w:rPr>
        <w:t>履行</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25.1成交人与采购人签订合同后，合同双方应严格执行合同条款，履行合同规定的义务，保证合同的顺利完成。</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25.2采购人应严格按照合同约定事项，制定科学合理的验收方案开展验收；</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25.3在合同履行过程中，如发生合同纠纷，合同双方应按照《民法典》的有关规定进行处理。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七、评审方法</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26、采购比选评审方法分为:综合评分法。</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综合评分法，是指响应文件满足采购文件全部实质性要求且按照评审因素的量化指标评审得分最高的供应商为成交候选人的评审方法。</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评审总得分＝F1×A1＋F2×A2＋……＋Fn×An</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其中价格分统一采用低价优先法计算，即满足采购文件要求且响应价格最低的响应报价为评审基准价，其价格分为满分。其他供应商的价格分统一按照下列公式计算：</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响应报价得分＝（评审基准价／响应报价）×价格权值×100　　</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八、质疑</w:t>
      </w:r>
    </w:p>
    <w:p>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27、供应商认为采购文件、采购过程和成交或者成交结果使自己的合法权益受到损害的，应当在知道或者应知其权益受到损害之日起七个工作日（质疑有效期）内，向采购人提出询问或以书面形式向其质疑。 </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采购文件的质疑有效期为采购文件公告期限届满之日起3个工作日内；采购过程的质疑有效期为各采购程序环节结束之日起3个工作日内；采购结果的质疑有效期为采购结果公告期限届满之日起3个工作日内。</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九、无效响应的其他有关规定：</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30、除符合采购文件中载明的无效响应规定外，如果发现下列情况之一者，同样作无效响应处理，其中30.1至30.3款情形的所有相关供应商均作无效响应处理。因此产生其他法律责任的由供应商自行承担：</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30.1不同供应商的法定代表人、委托代理人等由同一个单位缴纳社会保险的；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30.2由同一人携带两个及以上供应商的企业资料参与开标会议的；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文件的规定提交</w:t>
      </w:r>
      <w:r>
        <w:rPr>
          <w:rFonts w:hint="eastAsia" w:asciiTheme="minorEastAsia" w:hAnsiTheme="minorEastAsia" w:eastAsiaTheme="minorEastAsia" w:cstheme="minorEastAsia"/>
          <w:bCs/>
          <w:szCs w:val="21"/>
        </w:rPr>
        <w:t>响应</w:t>
      </w:r>
      <w:r>
        <w:rPr>
          <w:rFonts w:asciiTheme="minorEastAsia" w:hAnsiTheme="minorEastAsia" w:eastAsiaTheme="minorEastAsia" w:cstheme="minorEastAsia"/>
          <w:bCs/>
          <w:szCs w:val="21"/>
        </w:rPr>
        <w:t>保证金的；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30.8响应文件</w:t>
      </w:r>
      <w:r>
        <w:rPr>
          <w:rFonts w:asciiTheme="minorEastAsia" w:hAnsiTheme="minorEastAsia" w:eastAsiaTheme="minorEastAsia" w:cstheme="minorEastAsia"/>
          <w:bCs/>
          <w:szCs w:val="21"/>
        </w:rPr>
        <w:t>未按</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文件要求签署、盖章的；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文件中规定的资格要求的；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文件中规定的预算金额或者最高限价的；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30.11响应文件</w:t>
      </w:r>
      <w:r>
        <w:rPr>
          <w:rFonts w:asciiTheme="minorEastAsia" w:hAnsiTheme="minorEastAsia" w:eastAsiaTheme="minorEastAsia" w:cstheme="minorEastAsia"/>
          <w:bCs/>
          <w:szCs w:val="21"/>
        </w:rPr>
        <w:t>含有采购人不能接受的附加条件的；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文件规定的其他无效情形。</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31.1存在恶意串通响应行为的；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十、适用法律</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sectPr>
          <w:footerReference r:id="rId11" w:type="default"/>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32、采购人、采购人及供应商的一切采购活动均适用《政府采购法》、《政府采购法实施条例》及其配套的法规、规章、政策。</w:t>
      </w:r>
    </w:p>
    <w:p>
      <w:pPr>
        <w:pStyle w:val="2"/>
        <w:adjustRightInd w:val="0"/>
        <w:snapToGrid w:val="0"/>
        <w:spacing w:line="360" w:lineRule="auto"/>
        <w:ind w:firstLine="0"/>
        <w:jc w:val="center"/>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第四章  </w:t>
      </w:r>
      <w:bookmarkEnd w:id="32"/>
      <w:r>
        <w:rPr>
          <w:rFonts w:hint="eastAsia" w:asciiTheme="minorEastAsia" w:hAnsiTheme="minorEastAsia" w:eastAsiaTheme="minorEastAsia" w:cstheme="minorEastAsia"/>
          <w:b/>
          <w:szCs w:val="21"/>
        </w:rPr>
        <w:t>审查标准和</w:t>
      </w:r>
      <w:bookmarkStart w:id="94" w:name="_Toc246826116"/>
      <w:r>
        <w:rPr>
          <w:rFonts w:hint="eastAsia" w:asciiTheme="minorEastAsia" w:hAnsiTheme="minorEastAsia" w:eastAsiaTheme="minorEastAsia" w:cstheme="minorEastAsia"/>
          <w:b/>
          <w:szCs w:val="21"/>
        </w:rPr>
        <w:t>评审标准</w:t>
      </w:r>
    </w:p>
    <w:bookmarkEnd w:id="94"/>
    <w:p>
      <w:pPr>
        <w:spacing w:line="360" w:lineRule="auto"/>
        <w:ind w:firstLine="422" w:firstLineChars="200"/>
        <w:outlineLvl w:val="0"/>
        <w:rPr>
          <w:rFonts w:hint="eastAsia" w:ascii="宋体" w:hAnsi="宋体" w:cs="宋体"/>
          <w:b/>
          <w:szCs w:val="21"/>
        </w:rPr>
      </w:pPr>
      <w:bookmarkStart w:id="95" w:name="_Toc246826117"/>
      <w:r>
        <w:rPr>
          <w:rFonts w:hint="eastAsia" w:ascii="宋体" w:hAnsi="宋体" w:cs="宋体"/>
          <w:b/>
          <w:szCs w:val="21"/>
        </w:rPr>
        <w:t>一、基本要求：</w:t>
      </w:r>
    </w:p>
    <w:p>
      <w:pPr>
        <w:pStyle w:val="2"/>
        <w:snapToGrid w:val="0"/>
        <w:spacing w:line="360" w:lineRule="auto"/>
        <w:ind w:firstLineChars="200"/>
        <w:outlineLvl w:val="0"/>
        <w:rPr>
          <w:rFonts w:hint="eastAsia" w:ascii="宋体" w:hAnsi="宋体" w:cs="宋体"/>
          <w:bCs/>
          <w:szCs w:val="21"/>
        </w:rPr>
      </w:pPr>
      <w:r>
        <w:rPr>
          <w:rFonts w:hint="eastAsia" w:ascii="宋体" w:hAnsi="宋体" w:cs="宋体"/>
          <w:bCs/>
          <w:szCs w:val="21"/>
        </w:rPr>
        <w:t>（一）资格审查、符合性审查或评审标准中凡涉及到提供针对本项目授权书、承诺书的，均须以原件为准，否则不予认可。</w:t>
      </w:r>
    </w:p>
    <w:p>
      <w:pPr>
        <w:pStyle w:val="2"/>
        <w:snapToGrid w:val="0"/>
        <w:spacing w:line="360" w:lineRule="auto"/>
        <w:ind w:firstLineChars="200"/>
        <w:outlineLvl w:val="0"/>
        <w:rPr>
          <w:rFonts w:hint="eastAsia" w:ascii="宋体" w:hAnsi="宋体" w:cs="宋体"/>
          <w:bCs/>
          <w:szCs w:val="21"/>
        </w:rPr>
      </w:pPr>
      <w:r>
        <w:rPr>
          <w:rFonts w:hint="eastAsia" w:ascii="宋体" w:hAnsi="宋体" w:cs="宋体"/>
          <w:bCs/>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snapToGrid w:val="0"/>
        <w:spacing w:line="360" w:lineRule="auto"/>
        <w:ind w:firstLine="420" w:firstLineChars="200"/>
        <w:outlineLvl w:val="0"/>
        <w:rPr>
          <w:rFonts w:hint="eastAsia" w:ascii="宋体" w:hAnsi="宋体" w:cs="宋体"/>
          <w:b/>
          <w:szCs w:val="21"/>
        </w:rPr>
      </w:pPr>
      <w:r>
        <w:rPr>
          <w:rFonts w:hint="eastAsia" w:ascii="宋体" w:hAnsi="宋体" w:cs="宋体"/>
          <w:bCs/>
          <w:szCs w:val="21"/>
        </w:rPr>
        <w:t>（三）凡小微型企业或视同小微企业参与采购活动的，依照第三章5.1款规定执行。</w:t>
      </w:r>
    </w:p>
    <w:p>
      <w:pPr>
        <w:pStyle w:val="2"/>
        <w:snapToGrid w:val="0"/>
        <w:spacing w:line="360" w:lineRule="auto"/>
        <w:ind w:firstLine="422" w:firstLineChars="200"/>
        <w:outlineLvl w:val="1"/>
        <w:rPr>
          <w:rFonts w:hint="eastAsia" w:ascii="宋体" w:hAnsi="宋体" w:cs="宋体"/>
          <w:b/>
          <w:szCs w:val="21"/>
        </w:rPr>
      </w:pPr>
      <w:r>
        <w:rPr>
          <w:rFonts w:hint="eastAsia" w:ascii="宋体" w:hAnsi="宋体" w:cs="宋体"/>
          <w:b/>
          <w:szCs w:val="21"/>
        </w:rPr>
        <w:t>二、审查标准</w:t>
      </w:r>
    </w:p>
    <w:p>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2、在审查意见汇总的过程中，如存在不同审查意见，则按照少数服从多数的原则做出结论。</w:t>
      </w:r>
    </w:p>
    <w:p>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3、本表格“审查意见”栏默认“√”视为合格标示，“×”视为不合格标示。</w:t>
      </w:r>
    </w:p>
    <w:p>
      <w:pPr>
        <w:snapToGrid w:val="0"/>
        <w:spacing w:line="360" w:lineRule="auto"/>
        <w:ind w:firstLine="211" w:firstLineChars="100"/>
        <w:jc w:val="left"/>
        <w:rPr>
          <w:rFonts w:hint="eastAsia" w:ascii="宋体" w:hAnsi="宋体" w:cs="宋体"/>
          <w:b/>
          <w:szCs w:val="21"/>
        </w:rPr>
      </w:pPr>
      <w:r>
        <w:rPr>
          <w:rFonts w:hint="eastAsia" w:ascii="宋体" w:hAnsi="宋体" w:cs="宋体"/>
          <w:b/>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
                <w:szCs w:val="21"/>
              </w:rPr>
            </w:pPr>
            <w:r>
              <w:rPr>
                <w:rFonts w:hint="eastAsia" w:ascii="宋体" w:hAnsi="宋体" w:cs="宋体"/>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cs="宋体"/>
                <w:bCs/>
                <w:szCs w:val="21"/>
              </w:rPr>
            </w:pPr>
            <w:r>
              <w:rPr>
                <w:rFonts w:hint="eastAsia" w:ascii="宋体" w:hAnsi="宋体" w:cs="宋体"/>
                <w:bCs/>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hint="eastAsia" w:ascii="宋体" w:hAnsi="宋体" w:cs="宋体"/>
                <w:bCs/>
                <w:szCs w:val="21"/>
              </w:rPr>
            </w:pPr>
            <w:r>
              <w:rPr>
                <w:rFonts w:hint="eastAsia" w:ascii="宋体" w:hAnsi="宋体" w:cs="宋体"/>
                <w:bCs/>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cs="宋体"/>
                <w:bCs/>
                <w:kern w:val="0"/>
                <w:szCs w:val="21"/>
              </w:rPr>
            </w:pPr>
            <w:r>
              <w:rPr>
                <w:rFonts w:hint="eastAsia" w:ascii="宋体" w:hAnsi="宋体" w:cs="宋体"/>
                <w:bCs/>
                <w:kern w:val="0"/>
                <w:szCs w:val="21"/>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cs="宋体"/>
                <w:bCs/>
                <w:kern w:val="0"/>
                <w:szCs w:val="21"/>
                <w:lang w:val="zh-CN"/>
              </w:rPr>
            </w:pPr>
            <w:r>
              <w:rPr>
                <w:rFonts w:hint="eastAsia" w:ascii="宋体" w:hAnsi="宋体" w:cs="宋体"/>
                <w:bCs/>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cs="宋体"/>
                <w:bCs/>
                <w:kern w:val="0"/>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宋体" w:hAnsi="宋体" w:cs="宋体"/>
                <w:bCs/>
                <w:szCs w:val="21"/>
                <w:lang w:val="zh-CN"/>
              </w:rPr>
            </w:pPr>
            <w:r>
              <w:rPr>
                <w:rFonts w:hint="eastAsia" w:ascii="宋体" w:hAnsi="宋体" w:cs="宋体"/>
                <w:bCs/>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宋体" w:hAnsi="宋体" w:cs="宋体"/>
                <w:bCs/>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宋体" w:hAnsi="宋体" w:cs="宋体"/>
                <w:bCs/>
                <w:szCs w:val="21"/>
              </w:rPr>
            </w:pPr>
            <w:r>
              <w:rPr>
                <w:rFonts w:hint="eastAsia" w:ascii="宋体" w:hAnsi="宋体" w:cs="宋体"/>
                <w:bCs/>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eastAsia" w:ascii="宋体" w:hAnsi="宋体" w:cs="宋体"/>
                <w:bCs/>
                <w:szCs w:val="21"/>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宋体" w:hAnsi="宋体" w:cs="宋体"/>
                <w:bCs/>
                <w:szCs w:val="21"/>
              </w:rPr>
            </w:pPr>
            <w:r>
              <w:rPr>
                <w:rFonts w:hint="eastAsia" w:ascii="宋体" w:hAnsi="宋体" w:cs="宋体"/>
                <w:bCs/>
                <w:szCs w:val="21"/>
              </w:rPr>
              <w:t>供应商未被列入“信用中国”网站(www.creditchina.gov.cn)“记录失信被执行人或重大税收违法失信主体的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eastAsia" w:ascii="宋体" w:hAnsi="宋体" w:cs="宋体"/>
                <w:bCs/>
                <w:szCs w:val="21"/>
              </w:rPr>
            </w:pPr>
            <w:r>
              <w:rPr>
                <w:rFonts w:hint="eastAsia" w:ascii="宋体" w:hAnsi="宋体" w:cs="宋体"/>
                <w:bCs/>
                <w:kern w:val="0"/>
                <w:szCs w:val="21"/>
                <w:lang w:val="zh-CN"/>
              </w:rPr>
              <w:t>提供</w:t>
            </w:r>
            <w:r>
              <w:rPr>
                <w:rFonts w:hint="eastAsia" w:ascii="宋体" w:hAnsi="宋体" w:cs="宋体"/>
                <w:bCs/>
                <w:kern w:val="0"/>
                <w:szCs w:val="21"/>
              </w:rPr>
              <w:t>比选公告发布时间后</w:t>
            </w:r>
            <w:r>
              <w:rPr>
                <w:rFonts w:hint="eastAsia" w:ascii="宋体" w:hAnsi="宋体" w:cs="宋体"/>
                <w:bCs/>
                <w:kern w:val="0"/>
                <w:szCs w:val="21"/>
                <w:lang w:val="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宋体" w:hAnsi="宋体" w:cs="宋体"/>
                <w:bCs/>
                <w:szCs w:val="21"/>
              </w:rPr>
            </w:pPr>
            <w:r>
              <w:rPr>
                <w:rFonts w:hint="eastAsia" w:hAnsi="宋体" w:cs="宋体"/>
                <w:bCs/>
                <w:szCs w:val="21"/>
              </w:rPr>
              <w:t>城乡规划编制乙级</w:t>
            </w:r>
            <w:r>
              <w:rPr>
                <w:rFonts w:hint="eastAsia" w:hAnsi="宋体" w:cs="宋体"/>
                <w:bCs/>
                <w:szCs w:val="21"/>
                <w:lang w:val="en-US" w:eastAsia="zh-CN"/>
              </w:rPr>
              <w:t>或</w:t>
            </w:r>
            <w:r>
              <w:rPr>
                <w:rFonts w:hint="eastAsia" w:hAnsi="宋体" w:cs="宋体"/>
                <w:bCs/>
                <w:szCs w:val="21"/>
              </w:rPr>
              <w:t>以上资质</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提供资质证书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hint="eastAsia" w:ascii="宋体" w:hAnsi="宋体" w:cs="宋体"/>
                <w:bCs/>
                <w:szCs w:val="21"/>
              </w:rPr>
            </w:pPr>
          </w:p>
        </w:tc>
      </w:tr>
    </w:tbl>
    <w:p>
      <w:pPr>
        <w:pStyle w:val="7"/>
        <w:sectPr>
          <w:pgSz w:w="11906" w:h="16838"/>
          <w:pgMar w:top="1440" w:right="1800" w:bottom="1440" w:left="1800" w:header="794" w:footer="992" w:gutter="0"/>
          <w:cols w:space="425" w:num="1"/>
          <w:docGrid w:type="lines" w:linePitch="312" w:charSpace="0"/>
        </w:sectPr>
      </w:pPr>
    </w:p>
    <w:p/>
    <w:p>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cstheme="minorEastAsia"/>
                <w:bCs/>
                <w:szCs w:val="21"/>
              </w:rPr>
            </w:pPr>
            <w:r>
              <w:rPr>
                <w:rFonts w:hint="eastAsia" w:asciiTheme="minorEastAsia" w:hAnsiTheme="minorEastAsia" w:cstheme="minorEastAsia"/>
                <w:bCs/>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cstheme="minorEastAsia"/>
                <w:bCs/>
                <w:szCs w:val="21"/>
              </w:rPr>
            </w:pPr>
            <w:r>
              <w:rPr>
                <w:rFonts w:hint="eastAsia" w:asciiTheme="minorEastAsia" w:hAnsiTheme="minorEastAsia" w:cstheme="minorEastAsia"/>
                <w:bCs/>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bl>
    <w:p>
      <w:pPr>
        <w:pStyle w:val="9"/>
        <w:ind w:left="0" w:leftChars="0" w:firstLine="0" w:firstLineChars="0"/>
      </w:pPr>
    </w:p>
    <w:p>
      <w:pPr>
        <w:adjustRightInd w:val="0"/>
        <w:snapToGrid w:val="0"/>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三、评审标准</w:t>
      </w:r>
    </w:p>
    <w:p>
      <w:pPr>
        <w:adjustRightInd w:val="0"/>
        <w:snapToGrid w:val="0"/>
        <w:spacing w:line="360" w:lineRule="auto"/>
        <w:ind w:firstLine="422" w:firstLineChars="200"/>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（一）评审方法及评审结果排列顺序规定如下：</w:t>
      </w:r>
    </w:p>
    <w:p>
      <w:pPr>
        <w:pStyle w:val="6"/>
        <w:spacing w:line="360" w:lineRule="auto"/>
        <w:ind w:firstLine="420" w:firstLineChars="200"/>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采用综合评分法的，评审结果按评审后得分由高到低顺序排列。得分相同的，按响应报价由低到高顺序排列。得分且响应报价相同的并列或者评审委员会根据响应情况推荐评审结果排列顺序或予以授标建议。</w:t>
      </w:r>
    </w:p>
    <w:p>
      <w:pPr>
        <w:numPr>
          <w:ilvl w:val="0"/>
          <w:numId w:val="1"/>
        </w:numPr>
        <w:adjustRightInd w:val="0"/>
        <w:snapToGrid w:val="0"/>
        <w:spacing w:line="360" w:lineRule="auto"/>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90分</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10分</w:t>
            </w:r>
          </w:p>
        </w:tc>
      </w:tr>
      <w:bookmarkEnd w:id="95"/>
    </w:tbl>
    <w:p>
      <w:pPr>
        <w:adjustRightInd w:val="0"/>
        <w:snapToGrid w:val="0"/>
        <w:spacing w:line="360" w:lineRule="auto"/>
        <w:ind w:firstLine="422" w:firstLineChars="200"/>
        <w:outlineLvl w:val="1"/>
        <w:rPr>
          <w:rFonts w:hint="eastAsia" w:asciiTheme="minorEastAsia" w:hAnsiTheme="minorEastAsia" w:eastAsiaTheme="minorEastAsia" w:cstheme="minorEastAsia"/>
          <w:b/>
          <w:szCs w:val="21"/>
        </w:rPr>
      </w:pPr>
      <w:bookmarkStart w:id="96" w:name="_Toc246826118"/>
      <w:r>
        <w:rPr>
          <w:rFonts w:hint="eastAsia" w:asciiTheme="minorEastAsia" w:hAnsiTheme="minorEastAsia" w:eastAsiaTheme="minorEastAsia" w:cstheme="minorEastAsia"/>
          <w:b/>
          <w:szCs w:val="21"/>
        </w:rPr>
        <w:t>（三）响应报价的评审要求</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价格分统一采用低价优先法计算，即满足采购文件要求（通过资格审查和符合性审查）且评审价(指修正及价格扣除后的价格，下同)最低的为评审基准价，其价格分为满分。其他供应商的价格分统一按照下列公式计算：</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价格评分=（评审基准价／评审价）×价格分值</w:t>
      </w:r>
    </w:p>
    <w:p>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3、响应报价对小型、微型企业或者视同小型、微企业参与响应的参照第三章5.1款的规定以扣除后的价格参与评审。</w:t>
      </w:r>
    </w:p>
    <w:p>
      <w:pPr>
        <w:adjustRightInd w:val="0"/>
        <w:snapToGrid w:val="0"/>
        <w:spacing w:line="360" w:lineRule="auto"/>
        <w:ind w:firstLine="561"/>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（四）评审细则</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12"/>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sz w:val="20"/>
                <w:szCs w:val="20"/>
              </w:rPr>
            </w:pPr>
            <w:r>
              <w:rPr>
                <w:rFonts w:hint="eastAsia" w:ascii="宋体" w:hAnsi="宋体" w:cs="宋体"/>
                <w:b/>
                <w:sz w:val="20"/>
                <w:szCs w:val="20"/>
              </w:rPr>
              <w:t>条款号</w:t>
            </w:r>
          </w:p>
        </w:tc>
        <w:tc>
          <w:tcPr>
            <w:tcW w:w="7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sz w:val="20"/>
                <w:szCs w:val="20"/>
              </w:rPr>
            </w:pPr>
            <w:r>
              <w:rPr>
                <w:rFonts w:hint="eastAsia" w:ascii="宋体" w:hAnsi="宋体" w:cs="宋体"/>
                <w:b/>
                <w:sz w:val="20"/>
                <w:szCs w:val="20"/>
              </w:rPr>
              <w:t>评审因素</w:t>
            </w:r>
          </w:p>
        </w:tc>
        <w:tc>
          <w:tcPr>
            <w:tcW w:w="384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(总分100分)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价格评审</w:t>
            </w:r>
            <w:r>
              <w:rPr>
                <w:rFonts w:hint="eastAsia" w:asciiTheme="minorEastAsia" w:hAnsiTheme="minorEastAsia" w:eastAsiaTheme="minorEastAsia" w:cstheme="minorEastAsia"/>
                <w:sz w:val="18"/>
                <w:szCs w:val="18"/>
                <w:u w:val="single"/>
              </w:rPr>
              <w:t>10</w:t>
            </w:r>
            <w:r>
              <w:rPr>
                <w:rFonts w:hint="eastAsia" w:asciiTheme="minorEastAsia" w:hAnsiTheme="minorEastAsia" w:eastAsiaTheme="minorEastAsia" w:cstheme="minorEastAsia"/>
                <w:sz w:val="18"/>
                <w:szCs w:val="18"/>
              </w:rPr>
              <w:t>分</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技术部分</w:t>
            </w:r>
            <w:r>
              <w:rPr>
                <w:rFonts w:hint="eastAsia" w:asciiTheme="minorEastAsia" w:hAnsiTheme="minorEastAsia" w:eastAsiaTheme="minorEastAsia" w:cstheme="minorEastAsia"/>
                <w:sz w:val="18"/>
                <w:szCs w:val="18"/>
                <w:u w:val="single"/>
              </w:rPr>
              <w:t>55</w:t>
            </w:r>
            <w:r>
              <w:rPr>
                <w:rFonts w:hint="eastAsia" w:asciiTheme="minorEastAsia" w:hAnsiTheme="minorEastAsia" w:eastAsiaTheme="minorEastAsia" w:cstheme="minorEastAsia"/>
                <w:sz w:val="18"/>
                <w:szCs w:val="18"/>
              </w:rPr>
              <w:t>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商务部分</w:t>
            </w:r>
            <w:r>
              <w:rPr>
                <w:rFonts w:hint="eastAsia" w:asciiTheme="minorEastAsia" w:hAnsiTheme="minorEastAsia" w:eastAsiaTheme="minorEastAsia" w:cstheme="minorEastAsia"/>
                <w:sz w:val="18"/>
                <w:szCs w:val="18"/>
                <w:u w:val="single"/>
              </w:rPr>
              <w:t>35</w:t>
            </w:r>
            <w:r>
              <w:rPr>
                <w:rFonts w:hint="eastAsia" w:asciiTheme="minorEastAsia" w:hAnsiTheme="minorEastAsia" w:eastAsiaTheme="minorEastAsia" w:cs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（10分）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响应报价得分以满分</w:t>
            </w:r>
            <w:r>
              <w:rPr>
                <w:rFonts w:hint="eastAsia" w:asciiTheme="minorEastAsia" w:hAnsiTheme="minorEastAsia" w:eastAsiaTheme="minorEastAsia" w:cstheme="minorEastAsia"/>
                <w:sz w:val="18"/>
                <w:szCs w:val="18"/>
                <w:u w:val="single"/>
              </w:rPr>
              <w:t>10分</w:t>
            </w:r>
            <w:r>
              <w:rPr>
                <w:rFonts w:hint="eastAsia" w:asciiTheme="minorEastAsia" w:hAnsiTheme="minorEastAsia" w:eastAsiaTheme="minorEastAsia" w:cstheme="minorEastAsia"/>
                <w:sz w:val="18"/>
                <w:szCs w:val="18"/>
              </w:rPr>
              <w:t>计算。满足比选文件要求且响应报价最低的响应报价为评审基准价，其价格分为满分。其他供应商的价格分统一按照下列公式计算：</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响应报价得分=（评审基准价/响应报价）×10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41" w:type="pct"/>
            <w:vMerge w:val="restart"/>
            <w:tcBorders>
              <w:top w:val="single" w:color="auto" w:sz="4" w:space="0"/>
              <w:left w:val="single" w:color="auto" w:sz="4" w:space="0"/>
              <w:right w:val="single" w:color="auto" w:sz="4" w:space="0"/>
            </w:tcBorders>
            <w:noWrap/>
            <w:vAlign w:val="center"/>
          </w:tcPr>
          <w:p>
            <w:pPr>
              <w:jc w:val="center"/>
              <w:rPr>
                <w:rFonts w:hint="eastAsia" w:ascii="宋体" w:hAnsi="宋体" w:cs="宋体"/>
                <w:sz w:val="20"/>
                <w:szCs w:val="20"/>
              </w:rPr>
            </w:pPr>
            <w:r>
              <w:rPr>
                <w:rFonts w:hint="eastAsia" w:ascii="宋体" w:hAnsi="宋体" w:cs="宋体"/>
                <w:sz w:val="20"/>
                <w:szCs w:val="20"/>
              </w:rPr>
              <w:t>技术部分</w:t>
            </w:r>
          </w:p>
          <w:p>
            <w:pPr>
              <w:jc w:val="center"/>
              <w:rPr>
                <w:rFonts w:hint="eastAsia" w:ascii="宋体" w:hAnsi="宋体" w:cs="宋体"/>
                <w:sz w:val="20"/>
                <w:szCs w:val="20"/>
              </w:rPr>
            </w:pPr>
            <w:r>
              <w:rPr>
                <w:rFonts w:hint="eastAsia" w:ascii="宋体" w:hAnsi="宋体" w:cs="宋体"/>
                <w:sz w:val="20"/>
                <w:szCs w:val="20"/>
              </w:rPr>
              <w:t>（55分）</w:t>
            </w:r>
          </w:p>
          <w:p>
            <w:pPr>
              <w:jc w:val="center"/>
              <w:rPr>
                <w:rFonts w:hint="eastAsia" w:ascii="宋体" w:hAnsi="宋体" w:cs="宋体"/>
                <w:sz w:val="20"/>
                <w:szCs w:val="20"/>
              </w:rPr>
            </w:pPr>
          </w:p>
          <w:p>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对项目的理解度与认识度评价</w:t>
            </w:r>
            <w:r>
              <w:rPr>
                <w:rFonts w:hint="eastAsia" w:ascii="宋体" w:hAnsi="宋体" w:cs="宋体"/>
                <w:sz w:val="20"/>
                <w:szCs w:val="20"/>
              </w:rPr>
              <w:t>（20分）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rPr>
            </w:pPr>
            <w:r>
              <w:rPr>
                <w:rFonts w:hint="eastAsia" w:ascii="宋体" w:hAnsi="宋体" w:cs="宋体"/>
                <w:sz w:val="18"/>
                <w:szCs w:val="18"/>
              </w:rPr>
              <w:t>对</w:t>
            </w:r>
            <w:r>
              <w:rPr>
                <w:rFonts w:hint="eastAsia" w:asciiTheme="minorEastAsia" w:hAnsiTheme="minorEastAsia" w:eastAsiaTheme="minorEastAsia" w:cstheme="minorEastAsia"/>
                <w:sz w:val="18"/>
                <w:szCs w:val="18"/>
              </w:rPr>
              <w:t>海口江东新区生态低碳建设现状是否</w:t>
            </w:r>
            <w:r>
              <w:rPr>
                <w:rFonts w:hint="eastAsia" w:ascii="宋体" w:hAnsi="宋体" w:cs="宋体"/>
                <w:sz w:val="18"/>
                <w:szCs w:val="18"/>
              </w:rPr>
              <w:t>有全面准确了解、对存在问题分析是否准确、对项目需求理解是否透彻到位</w:t>
            </w:r>
            <w:r>
              <w:rPr>
                <w:rFonts w:hint="eastAsia" w:asciiTheme="minorEastAsia" w:hAnsiTheme="minorEastAsia" w:eastAsiaTheme="minorEastAsia" w:cstheme="minorEastAsia"/>
                <w:sz w:val="18"/>
                <w:szCs w:val="18"/>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现状、存在问题分析准确，需求理解透彻</w:t>
            </w:r>
            <w:r>
              <w:rPr>
                <w:rFonts w:asciiTheme="minorEastAsia" w:hAnsiTheme="minorEastAsia" w:eastAsiaTheme="minorEastAsia" w:cstheme="minorEastAsia"/>
                <w:sz w:val="18"/>
                <w:szCs w:val="18"/>
              </w:rPr>
              <w:t>，得</w:t>
            </w:r>
            <w:r>
              <w:rPr>
                <w:rFonts w:hint="eastAsia" w:asciiTheme="minorEastAsia" w:hAnsiTheme="minorEastAsia" w:eastAsiaTheme="minorEastAsia" w:cstheme="minorEastAsia"/>
                <w:sz w:val="18"/>
                <w:szCs w:val="18"/>
              </w:rPr>
              <w:t xml:space="preserve"> 15</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 xml:space="preserve">20 </w:t>
            </w:r>
            <w:r>
              <w:rPr>
                <w:rFonts w:asciiTheme="minorEastAsia" w:hAnsiTheme="minorEastAsia" w:eastAsiaTheme="minorEastAsia" w:cstheme="minorEastAsia"/>
                <w:sz w:val="18"/>
                <w:szCs w:val="18"/>
              </w:rPr>
              <w:t>分</w:t>
            </w:r>
            <w:r>
              <w:rPr>
                <w:rFonts w:hint="eastAsia" w:asciiTheme="minorEastAsia" w:hAnsiTheme="minorEastAsia" w:eastAsiaTheme="minorEastAsia" w:cstheme="minorEastAsia"/>
                <w:sz w:val="18"/>
                <w:szCs w:val="18"/>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现状、存在问题分析较准确，需求理解较透彻</w:t>
            </w:r>
            <w:r>
              <w:rPr>
                <w:rFonts w:asciiTheme="minorEastAsia" w:hAnsiTheme="minorEastAsia" w:eastAsiaTheme="minorEastAsia" w:cstheme="minorEastAsia"/>
                <w:sz w:val="18"/>
                <w:szCs w:val="18"/>
              </w:rPr>
              <w:t>，得</w:t>
            </w:r>
            <w:r>
              <w:rPr>
                <w:rFonts w:hint="eastAsia" w:asciiTheme="minorEastAsia" w:hAnsiTheme="minorEastAsia" w:eastAsiaTheme="minorEastAsia" w:cstheme="minorEastAsia"/>
                <w:sz w:val="18"/>
                <w:szCs w:val="18"/>
              </w:rPr>
              <w:t>10</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14</w:t>
            </w:r>
            <w:r>
              <w:rPr>
                <w:rFonts w:asciiTheme="minorEastAsia" w:hAnsiTheme="minorEastAsia" w:eastAsiaTheme="minorEastAsia" w:cstheme="minorEastAsia"/>
                <w:sz w:val="18"/>
                <w:szCs w:val="18"/>
              </w:rPr>
              <w:t>分</w:t>
            </w:r>
            <w:r>
              <w:rPr>
                <w:rFonts w:hint="eastAsia" w:asciiTheme="minorEastAsia" w:hAnsiTheme="minorEastAsia" w:eastAsiaTheme="minorEastAsia" w:cstheme="minorEastAsia"/>
                <w:sz w:val="18"/>
                <w:szCs w:val="18"/>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现状、存在问题分析及需求理解</w:t>
            </w:r>
            <w:r>
              <w:rPr>
                <w:rFonts w:asciiTheme="minorEastAsia" w:hAnsiTheme="minorEastAsia" w:eastAsiaTheme="minorEastAsia" w:cstheme="minorEastAsia"/>
                <w:sz w:val="18"/>
                <w:szCs w:val="18"/>
              </w:rPr>
              <w:t xml:space="preserve">一般，得 </w:t>
            </w: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9</w:t>
            </w:r>
            <w:r>
              <w:rPr>
                <w:rFonts w:asciiTheme="minorEastAsia" w:hAnsiTheme="minorEastAsia" w:eastAsiaTheme="minorEastAsia" w:cstheme="minorEastAsia"/>
                <w:sz w:val="18"/>
                <w:szCs w:val="18"/>
              </w:rPr>
              <w:t xml:space="preserve"> 分</w:t>
            </w:r>
            <w:r>
              <w:rPr>
                <w:rFonts w:hint="eastAsia" w:asciiTheme="minorEastAsia" w:hAnsiTheme="minorEastAsia" w:eastAsiaTheme="minorEastAsia" w:cstheme="minorEastAsia"/>
                <w:sz w:val="18"/>
                <w:szCs w:val="18"/>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现状、存在问题分析及需求理解</w:t>
            </w:r>
            <w:r>
              <w:rPr>
                <w:rFonts w:asciiTheme="minorEastAsia" w:hAnsiTheme="minorEastAsia" w:eastAsiaTheme="minorEastAsia" w:cstheme="minorEastAsia"/>
                <w:sz w:val="18"/>
                <w:szCs w:val="18"/>
              </w:rPr>
              <w:t xml:space="preserve">较弱，得 </w:t>
            </w: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5</w:t>
            </w:r>
            <w:r>
              <w:rPr>
                <w:rFonts w:asciiTheme="minorEastAsia" w:hAnsiTheme="minorEastAsia" w:eastAsiaTheme="minorEastAsia" w:cstheme="minorEastAsia"/>
                <w:sz w:val="18"/>
                <w:szCs w:val="18"/>
              </w:rPr>
              <w:t xml:space="preserve"> 分</w:t>
            </w:r>
            <w:r>
              <w:rPr>
                <w:rFonts w:hint="eastAsia" w:asciiTheme="minorEastAsia" w:hAnsiTheme="minorEastAsia" w:eastAsiaTheme="minorEastAsia" w:cstheme="minorEastAsia"/>
                <w:sz w:val="18"/>
                <w:szCs w:val="18"/>
              </w:rPr>
              <w:t xml:space="preserve">     </w:t>
            </w:r>
          </w:p>
          <w:p>
            <w:r>
              <w:rPr>
                <w:rFonts w:asciiTheme="minorEastAsia" w:hAnsiTheme="minorEastAsia" w:eastAsiaTheme="minorEastAsia" w:cstheme="minorEastAsia"/>
                <w:sz w:val="18"/>
                <w:szCs w:val="1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41" w:type="pct"/>
            <w:vMerge w:val="continue"/>
            <w:tcBorders>
              <w:left w:val="single" w:color="auto" w:sz="4" w:space="0"/>
              <w:right w:val="single" w:color="auto" w:sz="4" w:space="0"/>
            </w:tcBorders>
            <w:noWrap/>
            <w:vAlign w:val="center"/>
          </w:tcPr>
          <w:p>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项目工作思路与技术措施</w:t>
            </w:r>
            <w:r>
              <w:rPr>
                <w:rFonts w:hint="eastAsia" w:ascii="宋体" w:hAnsi="宋体" w:cs="宋体"/>
                <w:sz w:val="20"/>
                <w:szCs w:val="20"/>
              </w:rPr>
              <w:t>（20分）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sz w:val="18"/>
                <w:szCs w:val="18"/>
              </w:rPr>
            </w:pPr>
            <w:r>
              <w:rPr>
                <w:rFonts w:hint="eastAsia" w:ascii="宋体" w:hAnsi="宋体" w:cs="宋体"/>
                <w:sz w:val="18"/>
                <w:szCs w:val="18"/>
              </w:rPr>
              <w:t>本次方案编制思路的系统性与科学性，深入认识项目范围、建设周期、目标及指标，提出编制的主要思路。</w:t>
            </w:r>
          </w:p>
          <w:p>
            <w:pPr>
              <w:rPr>
                <w:rFonts w:hint="eastAsia" w:ascii="宋体" w:hAnsi="宋体" w:cs="宋体"/>
                <w:sz w:val="18"/>
                <w:szCs w:val="18"/>
              </w:rPr>
            </w:pPr>
            <w:r>
              <w:rPr>
                <w:rFonts w:hint="eastAsia" w:ascii="宋体" w:hAnsi="宋体" w:cs="宋体"/>
                <w:sz w:val="18"/>
                <w:szCs w:val="18"/>
              </w:rPr>
              <w:t>1.思路清晰，科学合理，能够根据实际情况制订，实施过程务实，充分满足项目需要，得</w:t>
            </w:r>
            <w:r>
              <w:rPr>
                <w:rFonts w:hint="eastAsia" w:ascii="宋体" w:hAnsi="宋体" w:cs="宋体"/>
                <w:sz w:val="18"/>
                <w:szCs w:val="18"/>
                <w:lang w:eastAsia="zh-CN"/>
              </w:rPr>
              <w:t>1</w:t>
            </w:r>
            <w:r>
              <w:rPr>
                <w:rFonts w:hint="eastAsia" w:ascii="宋体" w:hAnsi="宋体" w:cs="宋体"/>
                <w:sz w:val="18"/>
                <w:szCs w:val="18"/>
                <w:lang w:val="en-US" w:eastAsia="zh-CN"/>
              </w:rPr>
              <w:t>5</w:t>
            </w:r>
            <w:r>
              <w:rPr>
                <w:rFonts w:hint="eastAsia" w:ascii="宋体" w:hAnsi="宋体" w:cs="宋体"/>
                <w:sz w:val="18"/>
                <w:szCs w:val="18"/>
              </w:rPr>
              <w:t>-</w:t>
            </w:r>
            <w:r>
              <w:rPr>
                <w:rFonts w:hint="eastAsia" w:ascii="宋体" w:hAnsi="宋体" w:cs="宋体"/>
                <w:sz w:val="18"/>
                <w:szCs w:val="18"/>
                <w:lang w:eastAsia="zh-CN"/>
              </w:rPr>
              <w:t>2</w:t>
            </w:r>
            <w:r>
              <w:rPr>
                <w:rFonts w:hint="eastAsia" w:ascii="宋体" w:hAnsi="宋体" w:cs="宋体"/>
                <w:sz w:val="18"/>
                <w:szCs w:val="18"/>
                <w:lang w:val="en-US" w:eastAsia="zh-CN"/>
              </w:rPr>
              <w:t>0</w:t>
            </w:r>
            <w:r>
              <w:rPr>
                <w:rFonts w:hint="eastAsia" w:ascii="宋体" w:hAnsi="宋体" w:cs="宋体"/>
                <w:sz w:val="18"/>
                <w:szCs w:val="18"/>
              </w:rPr>
              <w:t xml:space="preserve">分； </w:t>
            </w:r>
          </w:p>
          <w:p>
            <w:pPr>
              <w:rPr>
                <w:rFonts w:hint="eastAsia" w:ascii="宋体" w:hAnsi="宋体" w:cs="宋体"/>
                <w:sz w:val="18"/>
                <w:szCs w:val="18"/>
              </w:rPr>
            </w:pPr>
            <w:r>
              <w:rPr>
                <w:rFonts w:hint="eastAsia" w:ascii="宋体" w:hAnsi="宋体" w:cs="宋体"/>
                <w:sz w:val="18"/>
                <w:szCs w:val="18"/>
              </w:rPr>
              <w:t>2.思路一般，能够根据实际情况制订，实施过程务实，基本满足项目需要，得</w:t>
            </w:r>
            <w:r>
              <w:rPr>
                <w:rFonts w:hint="eastAsia" w:ascii="宋体" w:hAnsi="宋体" w:cs="宋体"/>
                <w:sz w:val="18"/>
                <w:szCs w:val="18"/>
                <w:lang w:eastAsia="zh-CN"/>
              </w:rPr>
              <w:t>1</w:t>
            </w:r>
            <w:r>
              <w:rPr>
                <w:rFonts w:hint="eastAsia" w:ascii="宋体" w:hAnsi="宋体" w:cs="宋体"/>
                <w:sz w:val="18"/>
                <w:szCs w:val="18"/>
                <w:lang w:val="en-US" w:eastAsia="zh-CN"/>
              </w:rPr>
              <w:t>0</w:t>
            </w:r>
            <w:r>
              <w:rPr>
                <w:rFonts w:hint="eastAsia" w:ascii="宋体" w:hAnsi="宋体" w:cs="宋体"/>
                <w:sz w:val="18"/>
                <w:szCs w:val="18"/>
              </w:rPr>
              <w:t>-</w:t>
            </w:r>
            <w:r>
              <w:rPr>
                <w:rFonts w:hint="eastAsia" w:ascii="宋体" w:hAnsi="宋体" w:cs="宋体"/>
                <w:sz w:val="18"/>
                <w:szCs w:val="18"/>
                <w:lang w:eastAsia="zh-CN"/>
              </w:rPr>
              <w:t>1</w:t>
            </w:r>
            <w:r>
              <w:rPr>
                <w:rFonts w:hint="eastAsia" w:ascii="宋体" w:hAnsi="宋体" w:cs="宋体"/>
                <w:sz w:val="18"/>
                <w:szCs w:val="18"/>
                <w:lang w:val="en-US" w:eastAsia="zh-CN"/>
              </w:rPr>
              <w:t>4</w:t>
            </w:r>
            <w:r>
              <w:rPr>
                <w:rFonts w:hint="eastAsia" w:ascii="宋体" w:hAnsi="宋体" w:cs="宋体"/>
                <w:sz w:val="18"/>
                <w:szCs w:val="18"/>
              </w:rPr>
              <w:t xml:space="preserve">分； </w:t>
            </w:r>
          </w:p>
          <w:p>
            <w:pPr>
              <w:rPr>
                <w:rFonts w:hint="eastAsia" w:ascii="宋体" w:hAnsi="宋体" w:cs="宋体"/>
                <w:sz w:val="18"/>
                <w:szCs w:val="18"/>
              </w:rPr>
            </w:pPr>
            <w:r>
              <w:rPr>
                <w:rFonts w:hint="eastAsia" w:ascii="宋体" w:hAnsi="宋体" w:cs="宋体"/>
                <w:sz w:val="18"/>
                <w:szCs w:val="18"/>
              </w:rPr>
              <w:t>3.思路不清晰，实施过程不能满足项目需要，得</w:t>
            </w:r>
            <w:r>
              <w:rPr>
                <w:rFonts w:hint="eastAsia" w:ascii="宋体" w:hAnsi="宋体" w:cs="宋体"/>
                <w:sz w:val="18"/>
                <w:szCs w:val="18"/>
                <w:lang w:eastAsia="zh-CN"/>
              </w:rPr>
              <w:t>1</w:t>
            </w:r>
            <w:r>
              <w:rPr>
                <w:rFonts w:hint="eastAsia" w:ascii="宋体" w:hAnsi="宋体" w:cs="宋体"/>
                <w:sz w:val="18"/>
                <w:szCs w:val="18"/>
              </w:rPr>
              <w:t>-</w:t>
            </w:r>
            <w:r>
              <w:rPr>
                <w:rFonts w:hint="eastAsia" w:ascii="宋体" w:hAnsi="宋体" w:cs="宋体"/>
                <w:sz w:val="18"/>
                <w:szCs w:val="18"/>
                <w:lang w:val="en-US" w:eastAsia="zh-CN"/>
              </w:rPr>
              <w:t>9</w:t>
            </w:r>
            <w:r>
              <w:rPr>
                <w:rFonts w:hint="eastAsia" w:ascii="宋体" w:hAnsi="宋体" w:cs="宋体"/>
                <w:sz w:val="18"/>
                <w:szCs w:val="18"/>
              </w:rPr>
              <w:t>分。</w:t>
            </w:r>
          </w:p>
          <w:p>
            <w:r>
              <w:rPr>
                <w:rFonts w:asciiTheme="minorEastAsia" w:hAnsiTheme="minorEastAsia" w:eastAsiaTheme="minorEastAsia" w:cstheme="minorEastAsia"/>
                <w:sz w:val="18"/>
                <w:szCs w:val="1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continue"/>
            <w:tcBorders>
              <w:left w:val="single" w:color="auto" w:sz="4" w:space="0"/>
              <w:right w:val="single" w:color="auto" w:sz="4" w:space="0"/>
            </w:tcBorders>
            <w:noWrap/>
            <w:vAlign w:val="center"/>
          </w:tcPr>
          <w:p>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项目实施方案及质量保障措施</w:t>
            </w:r>
            <w:r>
              <w:rPr>
                <w:rFonts w:hint="eastAsia" w:ascii="宋体" w:hAnsi="宋体" w:cs="宋体"/>
                <w:sz w:val="20"/>
                <w:szCs w:val="20"/>
              </w:rPr>
              <w:t>（15分）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sz w:val="18"/>
                <w:szCs w:val="18"/>
              </w:rPr>
              <w:t>本项目实施方案的组织管理、工作流程、进度安排、质量保障措施、应急情况处理措施响应情况进行综合评审：</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内容全面、可操作性强，得11-15分；</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内容较全面、可操作性较强，得6-10分；</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内容及可操作性一般，得1-5分；</w:t>
            </w:r>
          </w:p>
          <w:p>
            <w:pPr>
              <w:rPr>
                <w:rFonts w:hint="eastAsia" w:asciiTheme="minorEastAsia" w:hAnsiTheme="minorEastAsia" w:eastAsiaTheme="minorEastAsia" w:cstheme="minorEastAsia"/>
                <w:szCs w:val="21"/>
              </w:rPr>
            </w:pPr>
            <w:r>
              <w:rPr>
                <w:rFonts w:asciiTheme="minorEastAsia" w:hAnsiTheme="minorEastAsia" w:eastAsiaTheme="minorEastAsia" w:cstheme="minorEastAsia"/>
                <w:sz w:val="18"/>
                <w:szCs w:val="18"/>
              </w:rPr>
              <w:t>未提供不得分</w:t>
            </w: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restart"/>
            <w:tcBorders>
              <w:left w:val="single" w:color="auto" w:sz="4" w:space="0"/>
              <w:right w:val="single" w:color="auto" w:sz="4" w:space="0"/>
            </w:tcBorders>
            <w:noWrap/>
            <w:vAlign w:val="center"/>
          </w:tcPr>
          <w:p>
            <w:pPr>
              <w:jc w:val="center"/>
              <w:rPr>
                <w:rFonts w:hint="eastAsia" w:ascii="宋体" w:hAnsi="宋体" w:cs="宋体"/>
                <w:sz w:val="20"/>
                <w:szCs w:val="20"/>
              </w:rPr>
            </w:pPr>
            <w:r>
              <w:rPr>
                <w:rFonts w:hint="eastAsia" w:ascii="宋体" w:hAnsi="宋体" w:cs="宋体"/>
                <w:sz w:val="20"/>
                <w:szCs w:val="20"/>
              </w:rPr>
              <w:t>商务部分（35分）</w:t>
            </w:r>
          </w:p>
        </w:tc>
        <w:tc>
          <w:tcPr>
            <w:tcW w:w="7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0"/>
                <w:szCs w:val="20"/>
              </w:rPr>
            </w:pPr>
            <w:r>
              <w:rPr>
                <w:rFonts w:hint="eastAsia" w:ascii="宋体" w:hAnsi="宋体" w:cs="宋体"/>
                <w:sz w:val="20"/>
                <w:szCs w:val="20"/>
              </w:rPr>
              <w:t>项目负责人情况（</w:t>
            </w:r>
            <w:r>
              <w:rPr>
                <w:rStyle w:val="28"/>
                <w:rFonts w:hint="eastAsia"/>
                <w:lang w:val="en-US" w:eastAsia="zh-CN"/>
              </w:rPr>
              <w:t>5</w:t>
            </w:r>
            <w:r>
              <w:rPr>
                <w:rFonts w:hint="eastAsia" w:ascii="宋体" w:hAnsi="宋体" w:cs="宋体"/>
                <w:sz w:val="20"/>
                <w:szCs w:val="20"/>
              </w:rPr>
              <w:t>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GB"/>
              </w:rPr>
              <w:t>拟安排本项目的项目负责人，必须为供应商自有员工，具备以下资质条件：</w:t>
            </w:r>
          </w:p>
          <w:p>
            <w:pPr>
              <w:numPr>
                <w:ilvl w:val="0"/>
                <w:numId w:val="0"/>
              </w:numPr>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eastAsia="zh-CN" w:bidi="ar"/>
              </w:rPr>
              <w:t>具备正高级职称</w:t>
            </w:r>
            <w:r>
              <w:rPr>
                <w:rFonts w:hint="eastAsia" w:asciiTheme="minorEastAsia" w:hAnsiTheme="minorEastAsia" w:eastAsiaTheme="minorEastAsia" w:cstheme="minorEastAsia"/>
                <w:sz w:val="18"/>
                <w:szCs w:val="18"/>
                <w:lang w:val="en-US" w:eastAsia="zh-CN" w:bidi="ar"/>
              </w:rPr>
              <w:t>及</w:t>
            </w:r>
            <w:r>
              <w:rPr>
                <w:rFonts w:hint="eastAsia" w:asciiTheme="minorEastAsia" w:hAnsiTheme="minorEastAsia" w:eastAsiaTheme="minorEastAsia" w:cstheme="minorEastAsia"/>
                <w:sz w:val="18"/>
                <w:szCs w:val="18"/>
                <w:lang w:eastAsia="zh-CN" w:bidi="ar"/>
              </w:rPr>
              <w:t>注册城乡规划师证书的，得5分，</w:t>
            </w:r>
            <w:r>
              <w:rPr>
                <w:rFonts w:hint="eastAsia" w:asciiTheme="minorEastAsia" w:hAnsiTheme="minorEastAsia" w:eastAsiaTheme="minorEastAsia" w:cstheme="minorEastAsia"/>
                <w:sz w:val="18"/>
                <w:szCs w:val="18"/>
                <w:lang w:val="en-US" w:eastAsia="zh-CN" w:bidi="ar"/>
              </w:rPr>
              <w:t>只具备其一得2分</w:t>
            </w:r>
            <w:r>
              <w:rPr>
                <w:rFonts w:hint="eastAsia" w:asciiTheme="minorEastAsia" w:hAnsiTheme="minorEastAsia" w:eastAsiaTheme="minorEastAsia" w:cstheme="minorEastAsia"/>
                <w:sz w:val="18"/>
                <w:szCs w:val="18"/>
                <w:lang w:eastAsia="zh-CN" w:bidi="ar"/>
              </w:rPr>
              <w:t>；</w:t>
            </w:r>
          </w:p>
          <w:p>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US" w:eastAsia="zh-CN"/>
              </w:rPr>
              <w:t>证明材料</w:t>
            </w:r>
            <w:r>
              <w:rPr>
                <w:rFonts w:hint="eastAsia" w:asciiTheme="minorEastAsia" w:hAnsiTheme="minorEastAsia" w:eastAsiaTheme="minorEastAsia" w:cstheme="minorEastAsia"/>
                <w:sz w:val="18"/>
                <w:szCs w:val="18"/>
                <w:lang w:val="en-GB"/>
              </w:rPr>
              <w:t>：①相应证书复印件；②上述人员在</w:t>
            </w:r>
            <w:r>
              <w:rPr>
                <w:rFonts w:hint="eastAsia" w:asciiTheme="minorEastAsia" w:hAnsiTheme="minorEastAsia" w:eastAsiaTheme="minorEastAsia" w:cstheme="minorEastAsia"/>
                <w:sz w:val="18"/>
                <w:szCs w:val="18"/>
              </w:rPr>
              <w:t>本</w:t>
            </w:r>
            <w:r>
              <w:rPr>
                <w:rFonts w:hint="eastAsia" w:asciiTheme="minorEastAsia" w:hAnsiTheme="minorEastAsia" w:eastAsiaTheme="minorEastAsia" w:cstheme="minorEastAsia"/>
                <w:sz w:val="18"/>
                <w:szCs w:val="18"/>
                <w:lang w:val="en-GB"/>
              </w:rPr>
              <w:t>单位</w:t>
            </w:r>
            <w:r>
              <w:rPr>
                <w:rFonts w:hint="eastAsia" w:asciiTheme="minorEastAsia" w:hAnsiTheme="minorEastAsia" w:eastAsiaTheme="minorEastAsia" w:cstheme="minorEastAsia"/>
                <w:sz w:val="18"/>
                <w:szCs w:val="18"/>
              </w:rPr>
              <w:t>2024年</w:t>
            </w:r>
            <w:r>
              <w:rPr>
                <w:rFonts w:hint="eastAsia" w:asciiTheme="minorEastAsia" w:hAnsiTheme="minorEastAsia" w:eastAsiaTheme="minorEastAsia" w:cstheme="minorEastAsia"/>
                <w:sz w:val="18"/>
                <w:szCs w:val="18"/>
                <w:lang w:val="en-US" w:eastAsia="zh-CN"/>
              </w:rPr>
              <w:t>任意3个月</w:t>
            </w:r>
            <w:r>
              <w:rPr>
                <w:rFonts w:hint="eastAsia" w:asciiTheme="minorEastAsia" w:hAnsiTheme="minorEastAsia" w:eastAsiaTheme="minorEastAsia" w:cstheme="minorEastAsia"/>
                <w:sz w:val="18"/>
                <w:szCs w:val="18"/>
                <w:lang w:val="en-GB"/>
              </w:rPr>
              <w:t>的社保证明</w:t>
            </w:r>
            <w:r>
              <w:rPr>
                <w:rFonts w:hint="eastAsia" w:asciiTheme="minorEastAsia" w:hAnsiTheme="minorEastAsia" w:eastAsiaTheme="minorEastAsia" w:cstheme="minorEastAsia"/>
                <w:sz w:val="18"/>
                <w:szCs w:val="18"/>
              </w:rPr>
              <w:t>和资质证书</w:t>
            </w:r>
            <w:r>
              <w:rPr>
                <w:rFonts w:hint="eastAsia" w:asciiTheme="minorEastAsia" w:hAnsiTheme="minorEastAsia" w:eastAsiaTheme="minorEastAsia" w:cstheme="minorEastAsia"/>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41" w:type="pct"/>
            <w:vMerge w:val="continue"/>
            <w:tcBorders>
              <w:left w:val="single" w:color="auto" w:sz="4" w:space="0"/>
              <w:right w:val="single" w:color="auto" w:sz="4" w:space="0"/>
            </w:tcBorders>
            <w:noWrap/>
            <w:vAlign w:val="center"/>
          </w:tcPr>
          <w:p>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技术负责人情况（5份）</w:t>
            </w:r>
          </w:p>
        </w:tc>
        <w:tc>
          <w:tcPr>
            <w:tcW w:w="38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US" w:eastAsia="zh-CN"/>
              </w:rPr>
              <w:t>拟</w:t>
            </w:r>
            <w:r>
              <w:rPr>
                <w:rFonts w:hint="eastAsia" w:asciiTheme="minorEastAsia" w:hAnsiTheme="minorEastAsia" w:eastAsiaTheme="minorEastAsia" w:cstheme="minorEastAsia"/>
                <w:sz w:val="18"/>
                <w:szCs w:val="18"/>
                <w:lang w:val="en-GB"/>
              </w:rPr>
              <w:t>安排本项目的</w:t>
            </w:r>
            <w:r>
              <w:rPr>
                <w:rFonts w:hint="eastAsia" w:asciiTheme="minorEastAsia" w:hAnsiTheme="minorEastAsia" w:eastAsiaTheme="minorEastAsia" w:cstheme="minorEastAsia"/>
                <w:sz w:val="18"/>
                <w:szCs w:val="18"/>
                <w:lang w:val="en-US" w:eastAsia="zh-CN"/>
              </w:rPr>
              <w:t>技术负责</w:t>
            </w:r>
            <w:r>
              <w:rPr>
                <w:rFonts w:hint="eastAsia" w:asciiTheme="minorEastAsia" w:hAnsiTheme="minorEastAsia" w:eastAsiaTheme="minorEastAsia" w:cstheme="minorEastAsia"/>
                <w:sz w:val="18"/>
                <w:szCs w:val="18"/>
                <w:lang w:val="en-GB"/>
              </w:rPr>
              <w:t>人，必须为供应商自有员工，具备以下资质条件：</w:t>
            </w:r>
          </w:p>
          <w:p>
            <w:pPr>
              <w:numPr>
                <w:ilvl w:val="0"/>
                <w:numId w:val="0"/>
              </w:numPr>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eastAsia="zh-CN" w:bidi="ar"/>
              </w:rPr>
              <w:t>具备正高级职称及碳排放管理师（高级）证书的，得5分，</w:t>
            </w:r>
            <w:r>
              <w:rPr>
                <w:rFonts w:hint="eastAsia" w:asciiTheme="minorEastAsia" w:hAnsiTheme="minorEastAsia" w:eastAsiaTheme="minorEastAsia" w:cstheme="minorEastAsia"/>
                <w:sz w:val="18"/>
                <w:szCs w:val="18"/>
                <w:lang w:val="en-US" w:eastAsia="zh-CN" w:bidi="ar"/>
              </w:rPr>
              <w:t>只具备其一得2分</w:t>
            </w:r>
            <w:r>
              <w:rPr>
                <w:rFonts w:hint="eastAsia" w:asciiTheme="minorEastAsia" w:hAnsiTheme="minorEastAsia" w:eastAsiaTheme="minorEastAsia" w:cstheme="minorEastAsia"/>
                <w:sz w:val="18"/>
                <w:szCs w:val="18"/>
                <w:lang w:eastAsia="zh-CN" w:bidi="ar"/>
              </w:rPr>
              <w:t>；</w:t>
            </w:r>
          </w:p>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证明材料</w:t>
            </w:r>
            <w:r>
              <w:rPr>
                <w:rFonts w:hint="eastAsia" w:asciiTheme="minorEastAsia" w:hAnsiTheme="minorEastAsia" w:eastAsiaTheme="minorEastAsia" w:cstheme="minorEastAsia"/>
                <w:sz w:val="18"/>
                <w:szCs w:val="18"/>
                <w:lang w:val="en-GB"/>
              </w:rPr>
              <w:t>：①相应证书复印件；②上述人员在</w:t>
            </w:r>
            <w:r>
              <w:rPr>
                <w:rFonts w:hint="eastAsia" w:asciiTheme="minorEastAsia" w:hAnsiTheme="minorEastAsia" w:eastAsiaTheme="minorEastAsia" w:cstheme="minorEastAsia"/>
                <w:sz w:val="18"/>
                <w:szCs w:val="18"/>
              </w:rPr>
              <w:t>本</w:t>
            </w:r>
            <w:r>
              <w:rPr>
                <w:rFonts w:hint="eastAsia" w:asciiTheme="minorEastAsia" w:hAnsiTheme="minorEastAsia" w:eastAsiaTheme="minorEastAsia" w:cstheme="minorEastAsia"/>
                <w:sz w:val="18"/>
                <w:szCs w:val="18"/>
                <w:lang w:val="en-GB"/>
              </w:rPr>
              <w:t>单位</w:t>
            </w:r>
            <w:r>
              <w:rPr>
                <w:rFonts w:hint="eastAsia" w:asciiTheme="minorEastAsia" w:hAnsiTheme="minorEastAsia" w:eastAsiaTheme="minorEastAsia" w:cstheme="minorEastAsia"/>
                <w:sz w:val="18"/>
                <w:szCs w:val="18"/>
              </w:rPr>
              <w:t>2024年</w:t>
            </w:r>
            <w:r>
              <w:rPr>
                <w:rFonts w:hint="eastAsia" w:asciiTheme="minorEastAsia" w:hAnsiTheme="minorEastAsia" w:eastAsiaTheme="minorEastAsia" w:cstheme="minorEastAsia"/>
                <w:sz w:val="18"/>
                <w:szCs w:val="18"/>
                <w:lang w:val="en-US" w:eastAsia="zh-CN"/>
              </w:rPr>
              <w:t>任意3个月</w:t>
            </w:r>
            <w:r>
              <w:rPr>
                <w:rFonts w:hint="eastAsia" w:asciiTheme="minorEastAsia" w:hAnsiTheme="minorEastAsia" w:eastAsiaTheme="minorEastAsia" w:cstheme="minorEastAsia"/>
                <w:sz w:val="18"/>
                <w:szCs w:val="18"/>
                <w:lang w:val="en-GB"/>
              </w:rPr>
              <w:t>的社保证明</w:t>
            </w:r>
            <w:r>
              <w:rPr>
                <w:rFonts w:hint="eastAsia" w:asciiTheme="minorEastAsia" w:hAnsiTheme="minorEastAsia" w:eastAsiaTheme="minorEastAsia" w:cstheme="minorEastAsia"/>
                <w:sz w:val="18"/>
                <w:szCs w:val="18"/>
              </w:rPr>
              <w:t>和资质证书</w:t>
            </w:r>
            <w:r>
              <w:rPr>
                <w:rFonts w:hint="eastAsia" w:asciiTheme="minorEastAsia" w:hAnsiTheme="minorEastAsia" w:eastAsiaTheme="minorEastAsia" w:cstheme="minorEastAsia"/>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continue"/>
            <w:tcBorders>
              <w:left w:val="single" w:color="auto" w:sz="4" w:space="0"/>
              <w:right w:val="single" w:color="auto" w:sz="4" w:space="0"/>
            </w:tcBorders>
            <w:noWrap/>
            <w:vAlign w:val="center"/>
          </w:tcPr>
          <w:p>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0"/>
                <w:szCs w:val="20"/>
              </w:rPr>
            </w:pPr>
            <w:r>
              <w:rPr>
                <w:rFonts w:hint="eastAsia" w:ascii="宋体" w:hAnsi="宋体" w:cs="宋体"/>
                <w:sz w:val="20"/>
                <w:szCs w:val="20"/>
              </w:rPr>
              <w:t>项目组人员情况（项目负责人</w:t>
            </w:r>
            <w:r>
              <w:rPr>
                <w:rFonts w:hint="eastAsia" w:ascii="宋体" w:hAnsi="宋体" w:cs="宋体"/>
                <w:sz w:val="20"/>
                <w:szCs w:val="20"/>
                <w:lang w:val="en-US" w:eastAsia="zh-CN"/>
              </w:rPr>
              <w:t>及技术负责人</w:t>
            </w:r>
            <w:r>
              <w:rPr>
                <w:rFonts w:hint="eastAsia" w:ascii="宋体" w:hAnsi="宋体" w:cs="宋体"/>
                <w:sz w:val="20"/>
                <w:szCs w:val="20"/>
              </w:rPr>
              <w:t>除外）（</w:t>
            </w:r>
            <w:r>
              <w:rPr>
                <w:rFonts w:hint="eastAsia" w:ascii="宋体" w:hAnsi="宋体" w:cs="宋体"/>
                <w:sz w:val="20"/>
                <w:szCs w:val="20"/>
                <w:lang w:val="en-US" w:eastAsia="zh-CN"/>
              </w:rPr>
              <w:t>15</w:t>
            </w:r>
            <w:r>
              <w:rPr>
                <w:rFonts w:hint="eastAsia" w:ascii="宋体" w:hAnsi="宋体" w:cs="宋体"/>
                <w:sz w:val="20"/>
                <w:szCs w:val="20"/>
              </w:rPr>
              <w:t>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GB"/>
              </w:rPr>
              <w:t>拟安排本项的项目组人员，必须为供应商自有员工，团队具备以下资质条件：</w:t>
            </w:r>
          </w:p>
          <w:p>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sz w:val="18"/>
                <w:szCs w:val="18"/>
                <w:lang w:eastAsia="zh-CN" w:bidi="ar"/>
              </w:rPr>
              <w:t>具备规划类高级职称的得1分；具备规划类正高级高级职称的得3分；本项最高得3分；</w:t>
            </w:r>
          </w:p>
          <w:p>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2.</w:t>
            </w:r>
            <w:r>
              <w:rPr>
                <w:rFonts w:hint="eastAsia" w:asciiTheme="minorEastAsia" w:hAnsiTheme="minorEastAsia" w:eastAsiaTheme="minorEastAsia" w:cstheme="minorEastAsia"/>
                <w:sz w:val="18"/>
                <w:szCs w:val="18"/>
                <w:lang w:eastAsia="zh-CN" w:bidi="ar"/>
              </w:rPr>
              <w:t>具备环境类高级职称的得1分；具备环境类正高级高级职称的得3分；本项最高得3分；</w:t>
            </w:r>
          </w:p>
          <w:p>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sz w:val="18"/>
                <w:szCs w:val="18"/>
                <w:lang w:eastAsia="zh-CN" w:bidi="ar"/>
              </w:rPr>
              <w:t>具备建筑类高级职称的得1分；具备建筑类正高级高级职称的得3分；本项最高得3分；</w:t>
            </w:r>
          </w:p>
          <w:p>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4.</w:t>
            </w:r>
            <w:r>
              <w:rPr>
                <w:rFonts w:hint="eastAsia" w:asciiTheme="minorEastAsia" w:hAnsiTheme="minorEastAsia" w:eastAsiaTheme="minorEastAsia" w:cstheme="minorEastAsia"/>
                <w:sz w:val="18"/>
                <w:szCs w:val="18"/>
                <w:lang w:eastAsia="zh-CN" w:bidi="ar"/>
              </w:rPr>
              <w:t>具备市政类高级职称的得1分；具备市政类正高级高级职称的得3分；本项最高得3分；</w:t>
            </w:r>
          </w:p>
          <w:p>
            <w:pPr>
              <w:jc w:val="left"/>
              <w:rPr>
                <w:rFonts w:hint="eastAsia"/>
                <w:lang w:eastAsia="zh-CN"/>
              </w:rPr>
            </w:pPr>
            <w:r>
              <w:rPr>
                <w:rFonts w:hint="eastAsia" w:asciiTheme="minorEastAsia" w:hAnsiTheme="minorEastAsia" w:eastAsiaTheme="minorEastAsia" w:cstheme="minorEastAsia"/>
                <w:sz w:val="18"/>
                <w:szCs w:val="18"/>
                <w:lang w:val="en-US" w:eastAsia="zh-CN" w:bidi="ar"/>
              </w:rPr>
              <w:t>5.</w:t>
            </w:r>
            <w:r>
              <w:rPr>
                <w:rFonts w:hint="eastAsia" w:asciiTheme="minorEastAsia" w:hAnsiTheme="minorEastAsia" w:eastAsiaTheme="minorEastAsia" w:cstheme="minorEastAsia"/>
                <w:sz w:val="18"/>
                <w:szCs w:val="18"/>
                <w:lang w:eastAsia="zh-CN" w:bidi="ar"/>
              </w:rPr>
              <w:t>具备交通类高级职称的得1分；具备交通类正高级高级职称的得3分；本项最高得3分；</w:t>
            </w:r>
          </w:p>
          <w:p>
            <w:pPr>
              <w:rPr>
                <w:rFonts w:hint="eastAsia" w:asciiTheme="minorEastAsia" w:hAnsiTheme="minorEastAsia" w:eastAsiaTheme="minorEastAsia" w:cstheme="minorEastAsia"/>
                <w:sz w:val="18"/>
                <w:szCs w:val="18"/>
                <w:lang w:val="en-GB" w:eastAsia="zh-CN"/>
              </w:rPr>
            </w:pPr>
            <w:r>
              <w:rPr>
                <w:rFonts w:hint="eastAsia" w:asciiTheme="minorEastAsia" w:hAnsiTheme="minorEastAsia" w:eastAsiaTheme="minorEastAsia" w:cstheme="minorEastAsia"/>
                <w:sz w:val="18"/>
                <w:szCs w:val="18"/>
                <w:lang w:val="en-US" w:eastAsia="zh-CN" w:bidi="ar"/>
              </w:rPr>
              <w:t>证明材料</w:t>
            </w:r>
            <w:r>
              <w:rPr>
                <w:rFonts w:hint="eastAsia" w:asciiTheme="minorEastAsia" w:hAnsiTheme="minorEastAsia" w:eastAsiaTheme="minorEastAsia" w:cstheme="minorEastAsia"/>
                <w:sz w:val="18"/>
                <w:szCs w:val="18"/>
                <w:lang w:val="en-GB" w:bidi="ar"/>
              </w:rPr>
              <w:t>：①</w:t>
            </w:r>
            <w:r>
              <w:rPr>
                <w:rFonts w:hint="eastAsia" w:asciiTheme="minorEastAsia" w:hAnsiTheme="minorEastAsia" w:eastAsiaTheme="minorEastAsia" w:cstheme="minorEastAsia"/>
                <w:sz w:val="18"/>
                <w:szCs w:val="18"/>
                <w:lang w:val="en-US" w:eastAsia="zh-CN" w:bidi="ar"/>
              </w:rPr>
              <w:t>相应证书</w:t>
            </w:r>
            <w:r>
              <w:rPr>
                <w:rFonts w:hint="eastAsia" w:asciiTheme="minorEastAsia" w:hAnsiTheme="minorEastAsia" w:eastAsiaTheme="minorEastAsia" w:cstheme="minorEastAsia"/>
                <w:sz w:val="18"/>
                <w:szCs w:val="18"/>
                <w:lang w:val="en-GB" w:bidi="ar"/>
              </w:rPr>
              <w:t>复印件；②上述人员在</w:t>
            </w:r>
            <w:r>
              <w:rPr>
                <w:rFonts w:hint="eastAsia" w:asciiTheme="minorEastAsia" w:hAnsiTheme="minorEastAsia" w:eastAsiaTheme="minorEastAsia" w:cstheme="minorEastAsia"/>
                <w:sz w:val="18"/>
                <w:szCs w:val="18"/>
                <w:lang w:bidi="ar"/>
              </w:rPr>
              <w:t>本</w:t>
            </w:r>
            <w:r>
              <w:rPr>
                <w:rFonts w:hint="eastAsia" w:asciiTheme="minorEastAsia" w:hAnsiTheme="minorEastAsia" w:eastAsiaTheme="minorEastAsia" w:cstheme="minorEastAsia"/>
                <w:sz w:val="18"/>
                <w:szCs w:val="18"/>
                <w:lang w:val="en-GB" w:bidi="ar"/>
              </w:rPr>
              <w:t>单位</w:t>
            </w:r>
            <w:r>
              <w:rPr>
                <w:rFonts w:hint="eastAsia" w:asciiTheme="minorEastAsia" w:hAnsiTheme="minorEastAsia" w:eastAsiaTheme="minorEastAsia" w:cstheme="minorEastAsia"/>
                <w:sz w:val="18"/>
                <w:szCs w:val="18"/>
                <w:lang w:bidi="ar"/>
              </w:rPr>
              <w:t>2024年</w:t>
            </w:r>
            <w:r>
              <w:rPr>
                <w:rFonts w:hint="eastAsia" w:asciiTheme="minorEastAsia" w:hAnsiTheme="minorEastAsia" w:eastAsiaTheme="minorEastAsia" w:cstheme="minorEastAsia"/>
                <w:sz w:val="18"/>
                <w:szCs w:val="18"/>
                <w:lang w:val="en-US" w:eastAsia="zh-CN" w:bidi="ar"/>
              </w:rPr>
              <w:t>任意3个月</w:t>
            </w:r>
            <w:r>
              <w:rPr>
                <w:rFonts w:hint="eastAsia" w:asciiTheme="minorEastAsia" w:hAnsiTheme="minorEastAsia" w:eastAsiaTheme="minorEastAsia" w:cstheme="minorEastAsia"/>
                <w:sz w:val="18"/>
                <w:szCs w:val="18"/>
                <w:lang w:val="en-GB" w:bidi="ar"/>
              </w:rPr>
              <w:t>的社保证明</w:t>
            </w:r>
            <w:r>
              <w:rPr>
                <w:rFonts w:hint="eastAsia" w:asciiTheme="minorEastAsia" w:hAnsiTheme="minorEastAsia" w:eastAsiaTheme="minorEastAsia" w:cstheme="minorEastAsia"/>
                <w:sz w:val="18"/>
                <w:szCs w:val="18"/>
                <w:lang w:val="en-GB" w:eastAsia="zh-CN" w:bidi="ar"/>
              </w:rPr>
              <w:t>；③</w:t>
            </w:r>
            <w:r>
              <w:rPr>
                <w:rFonts w:hint="eastAsia" w:asciiTheme="minorEastAsia" w:hAnsiTheme="minorEastAsia" w:eastAsiaTheme="minorEastAsia" w:cstheme="minorEastAsia"/>
                <w:sz w:val="18"/>
                <w:szCs w:val="18"/>
                <w:lang w:val="en-US" w:eastAsia="zh-CN"/>
              </w:rPr>
              <w:t>同一人具有不同专业不重复计分。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continue"/>
            <w:tcBorders>
              <w:left w:val="single" w:color="auto" w:sz="4" w:space="0"/>
              <w:right w:val="single" w:color="auto" w:sz="4" w:space="0"/>
            </w:tcBorders>
            <w:noWrap/>
            <w:vAlign w:val="center"/>
          </w:tcPr>
          <w:p>
            <w:pPr>
              <w:jc w:val="center"/>
              <w:rPr>
                <w:rFonts w:hint="eastAsia" w:ascii="宋体" w:hAnsi="宋体" w:cs="宋体"/>
                <w:sz w:val="20"/>
                <w:szCs w:val="20"/>
              </w:rPr>
            </w:pPr>
          </w:p>
        </w:tc>
        <w:tc>
          <w:tcPr>
            <w:tcW w:w="711" w:type="pct"/>
            <w:tcBorders>
              <w:top w:val="single" w:color="auto" w:sz="4" w:space="0"/>
              <w:left w:val="single" w:color="auto" w:sz="4" w:space="0"/>
              <w:right w:val="single" w:color="auto" w:sz="4" w:space="0"/>
            </w:tcBorders>
            <w:noWrap/>
            <w:vAlign w:val="center"/>
          </w:tcPr>
          <w:p>
            <w:pPr>
              <w:jc w:val="center"/>
              <w:rPr>
                <w:rFonts w:hint="eastAsia" w:ascii="宋体" w:hAnsi="宋体" w:cs="宋体"/>
                <w:sz w:val="20"/>
                <w:szCs w:val="20"/>
              </w:rPr>
            </w:pPr>
            <w:r>
              <w:rPr>
                <w:rFonts w:hint="eastAsia" w:ascii="宋体" w:hAnsi="宋体" w:cs="宋体"/>
                <w:sz w:val="20"/>
                <w:szCs w:val="20"/>
              </w:rPr>
              <w:t>供应商</w:t>
            </w:r>
            <w:r>
              <w:rPr>
                <w:rFonts w:ascii="宋体" w:hAnsi="宋体" w:cs="宋体"/>
                <w:sz w:val="20"/>
                <w:szCs w:val="20"/>
              </w:rPr>
              <w:t>项目经验情况</w:t>
            </w:r>
            <w:r>
              <w:rPr>
                <w:rFonts w:hint="eastAsia" w:ascii="宋体" w:hAnsi="宋体" w:cs="宋体"/>
                <w:sz w:val="20"/>
                <w:szCs w:val="20"/>
              </w:rPr>
              <w:t>（</w:t>
            </w:r>
            <w:r>
              <w:rPr>
                <w:rFonts w:hint="eastAsia" w:ascii="宋体" w:hAnsi="宋体" w:cs="宋体"/>
                <w:sz w:val="20"/>
                <w:szCs w:val="20"/>
                <w:lang w:val="en-US" w:eastAsia="zh-CN"/>
              </w:rPr>
              <w:t>10</w:t>
            </w:r>
            <w:r>
              <w:rPr>
                <w:rFonts w:hint="eastAsia" w:ascii="宋体" w:hAnsi="宋体" w:cs="宋体"/>
                <w:sz w:val="20"/>
                <w:szCs w:val="20"/>
              </w:rPr>
              <w:t>分）</w:t>
            </w:r>
          </w:p>
        </w:tc>
        <w:tc>
          <w:tcPr>
            <w:tcW w:w="3848" w:type="pct"/>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GB"/>
              </w:rPr>
              <w:t>供应商2021年</w:t>
            </w:r>
            <w:r>
              <w:rPr>
                <w:rFonts w:hint="eastAsia" w:asciiTheme="minorEastAsia" w:hAnsiTheme="minorEastAsia" w:eastAsiaTheme="minorEastAsia" w:cstheme="minorEastAsia"/>
                <w:sz w:val="18"/>
                <w:szCs w:val="18"/>
              </w:rPr>
              <w:t>1月1日</w:t>
            </w:r>
            <w:r>
              <w:rPr>
                <w:rFonts w:hint="eastAsia" w:asciiTheme="minorEastAsia" w:hAnsiTheme="minorEastAsia" w:eastAsiaTheme="minorEastAsia" w:cstheme="minorEastAsia"/>
                <w:sz w:val="18"/>
                <w:szCs w:val="18"/>
                <w:lang w:val="en-GB"/>
              </w:rPr>
              <w:t>以来承担过零碳示范区实施方案、创建方案、总体设计、技术导则的。每有一项得5分，满分</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lang w:val="en-GB"/>
              </w:rPr>
              <w:t>分。</w:t>
            </w:r>
          </w:p>
          <w:p>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US" w:eastAsia="zh-CN"/>
              </w:rPr>
              <w:t>证明材料：合同复印件关键页加盖公章</w:t>
            </w:r>
            <w:r>
              <w:rPr>
                <w:rFonts w:asciiTheme="minorEastAsia" w:hAnsiTheme="minorEastAsia" w:eastAsiaTheme="minorEastAsia" w:cstheme="minorEastAsia"/>
                <w:sz w:val="18"/>
                <w:szCs w:val="18"/>
                <w:lang w:val="en-GB"/>
              </w:rPr>
              <w:t xml:space="preserve"> </w:t>
            </w:r>
          </w:p>
        </w:tc>
      </w:tr>
    </w:tbl>
    <w:p>
      <w:pPr>
        <w:pStyle w:val="7"/>
      </w:pPr>
    </w:p>
    <w:p>
      <w:pPr>
        <w:pStyle w:val="9"/>
        <w:ind w:left="0" w:leftChars="0" w:firstLine="0" w:firstLineChars="0"/>
        <w:rPr>
          <w:rFonts w:hint="eastAsia" w:asciiTheme="minorEastAsia" w:hAnsiTheme="minorEastAsia" w:eastAsiaTheme="minorEastAsia" w:cstheme="minorEastAsia"/>
          <w:b/>
        </w:rPr>
      </w:pPr>
    </w:p>
    <w:p/>
    <w:p>
      <w:pPr>
        <w:pStyle w:val="7"/>
      </w:pPr>
    </w:p>
    <w:p/>
    <w:p>
      <w:pPr>
        <w:pStyle w:val="7"/>
      </w:pPr>
    </w:p>
    <w:p/>
    <w:p>
      <w:pPr>
        <w:pStyle w:val="7"/>
      </w:pPr>
    </w:p>
    <w:p/>
    <w:p>
      <w:pPr>
        <w:pStyle w:val="7"/>
      </w:pPr>
    </w:p>
    <w:p/>
    <w:p>
      <w:pPr>
        <w:adjustRightInd w:val="0"/>
        <w:snapToGrid w:val="0"/>
        <w:spacing w:line="360" w:lineRule="auto"/>
        <w:outlineLvl w:val="1"/>
        <w:rPr>
          <w:rFonts w:hint="eastAsia"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pStyle w:val="7"/>
      </w:pPr>
    </w:p>
    <w:p>
      <w:pPr>
        <w:numPr>
          <w:ilvl w:val="0"/>
          <w:numId w:val="2"/>
        </w:numPr>
        <w:adjustRightInd w:val="0"/>
        <w:snapToGrid w:val="0"/>
        <w:spacing w:line="360" w:lineRule="auto"/>
        <w:jc w:val="center"/>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采购合同</w:t>
      </w:r>
      <w:bookmarkEnd w:id="96"/>
      <w:r>
        <w:rPr>
          <w:rFonts w:hint="eastAsia" w:asciiTheme="minorEastAsia" w:hAnsiTheme="minorEastAsia" w:eastAsiaTheme="minorEastAsia" w:cstheme="minorEastAsia"/>
          <w:b/>
          <w:szCs w:val="21"/>
        </w:rPr>
        <w:t>格式</w:t>
      </w:r>
    </w:p>
    <w:p/>
    <w:p>
      <w:pPr>
        <w:jc w:val="center"/>
        <w:rPr>
          <w:rFonts w:hint="eastAsia" w:ascii="仿宋_GB2312" w:hAnsi="仿宋_GB2312" w:eastAsia="仿宋_GB2312" w:cs="仿宋_GB2312"/>
          <w:sz w:val="48"/>
          <w:szCs w:val="48"/>
        </w:rPr>
      </w:pPr>
    </w:p>
    <w:p>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海口江东新区近零碳示范区实施方案</w:t>
      </w:r>
    </w:p>
    <w:p>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合同</w:t>
      </w:r>
    </w:p>
    <w:p>
      <w:pPr>
        <w:jc w:val="cente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spacing w:line="640" w:lineRule="exact"/>
        <w:ind w:firstLine="838" w:firstLineChars="262"/>
        <w:rPr>
          <w:rFonts w:hint="eastAsia" w:ascii="仿宋_GB2312" w:hAnsi="仿宋_GB2312" w:eastAsia="仿宋_GB2312" w:cs="仿宋_GB2312"/>
          <w:sz w:val="32"/>
          <w:szCs w:val="32"/>
        </w:rPr>
      </w:pPr>
    </w:p>
    <w:p>
      <w:pPr>
        <w:spacing w:line="48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sz w:val="32"/>
          <w:szCs w:val="32"/>
        </w:rPr>
        <w:t xml:space="preserve">   项 目 名 称：</w:t>
      </w:r>
      <w:r>
        <w:rPr>
          <w:rFonts w:hint="eastAsia" w:ascii="仿宋_GB2312" w:hAnsi="仿宋_GB2312" w:eastAsia="仿宋_GB2312" w:cs="仿宋_GB2312"/>
          <w:sz w:val="32"/>
          <w:szCs w:val="32"/>
          <w:u w:val="single"/>
        </w:rPr>
        <w:t>海口江东新区近零碳示范区实施方案</w:t>
      </w:r>
    </w:p>
    <w:p>
      <w:pPr>
        <w:spacing w:line="480" w:lineRule="auto"/>
        <w:ind w:firstLine="786" w:firstLineChars="262"/>
        <w:rPr>
          <w:rFonts w:hint="eastAsia" w:ascii="仿宋_GB2312" w:hAnsi="仿宋_GB2312" w:eastAsia="仿宋_GB2312" w:cs="仿宋_GB2312"/>
          <w:spacing w:val="-10"/>
          <w:sz w:val="32"/>
          <w:szCs w:val="32"/>
          <w:u w:val="single"/>
        </w:rPr>
      </w:pPr>
    </w:p>
    <w:p>
      <w:pPr>
        <w:spacing w:line="480" w:lineRule="auto"/>
        <w:ind w:firstLine="838" w:firstLineChars="26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 目 地 点：</w:t>
      </w:r>
      <w:r>
        <w:rPr>
          <w:rFonts w:hint="eastAsia" w:ascii="仿宋_GB2312" w:hAnsi="仿宋_GB2312" w:eastAsia="仿宋_GB2312" w:cs="仿宋_GB2312"/>
          <w:sz w:val="32"/>
          <w:szCs w:val="32"/>
          <w:u w:val="single"/>
        </w:rPr>
        <w:t xml:space="preserve">          海口市            </w:t>
      </w:r>
    </w:p>
    <w:p>
      <w:pPr>
        <w:spacing w:line="480" w:lineRule="auto"/>
        <w:ind w:firstLine="838" w:firstLineChars="26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合 同 编 号：</w:t>
      </w:r>
      <w:r>
        <w:rPr>
          <w:rFonts w:hint="eastAsia" w:ascii="仿宋_GB2312" w:hAnsi="仿宋_GB2312" w:eastAsia="仿宋_GB2312" w:cs="仿宋_GB2312"/>
          <w:sz w:val="32"/>
          <w:szCs w:val="32"/>
          <w:u w:val="single"/>
        </w:rPr>
        <w:t xml:space="preserve">                            </w:t>
      </w:r>
    </w:p>
    <w:p>
      <w:pPr>
        <w:spacing w:line="480" w:lineRule="auto"/>
        <w:ind w:firstLine="838" w:firstLineChars="262"/>
        <w:rPr>
          <w:rFonts w:hint="eastAsia" w:ascii="仿宋_GB2312" w:hAnsi="仿宋_GB2312" w:eastAsia="仿宋_GB2312" w:cs="仿宋_GB2312"/>
          <w:spacing w:val="-10"/>
          <w:sz w:val="32"/>
          <w:szCs w:val="32"/>
          <w:u w:val="single"/>
        </w:rPr>
      </w:pPr>
      <w:r>
        <w:rPr>
          <w:rFonts w:hint="eastAsia" w:ascii="仿宋_GB2312" w:hAnsi="仿宋_GB2312" w:eastAsia="仿宋_GB2312" w:cs="仿宋_GB2312"/>
          <w:sz w:val="32"/>
          <w:szCs w:val="32"/>
        </w:rPr>
        <w:t>发   包   人：</w:t>
      </w:r>
      <w:r>
        <w:rPr>
          <w:rFonts w:hint="eastAsia" w:ascii="仿宋_GB2312" w:hAnsi="仿宋_GB2312" w:eastAsia="仿宋_GB2312" w:cs="仿宋_GB2312"/>
          <w:sz w:val="32"/>
          <w:szCs w:val="32"/>
          <w:u w:val="single"/>
        </w:rPr>
        <w:t xml:space="preserve">     海口江东新区管理局    </w:t>
      </w:r>
    </w:p>
    <w:p>
      <w:pPr>
        <w:spacing w:line="480" w:lineRule="auto"/>
        <w:ind w:firstLine="838" w:firstLineChars="26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   包   人：</w:t>
      </w:r>
      <w:r>
        <w:rPr>
          <w:rFonts w:hint="eastAsia" w:ascii="仿宋_GB2312" w:hAnsi="仿宋_GB2312" w:eastAsia="仿宋_GB2312" w:cs="仿宋_GB2312"/>
          <w:sz w:val="32"/>
          <w:szCs w:val="32"/>
          <w:u w:val="single"/>
        </w:rPr>
        <w:t xml:space="preserve">                           </w:t>
      </w:r>
    </w:p>
    <w:p>
      <w:pPr>
        <w:spacing w:line="480" w:lineRule="auto"/>
        <w:ind w:firstLine="838" w:firstLineChars="262"/>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签 订 日 期 ：</w:t>
      </w:r>
      <w:r>
        <w:rPr>
          <w:rFonts w:hint="eastAsia" w:ascii="仿宋_GB2312" w:hAnsi="仿宋_GB2312" w:eastAsia="仿宋_GB2312" w:cs="仿宋_GB2312"/>
          <w:sz w:val="32"/>
          <w:szCs w:val="32"/>
          <w:u w:val="single"/>
        </w:rPr>
        <w:t xml:space="preserve">      年    月    日       </w:t>
      </w:r>
    </w:p>
    <w:p>
      <w:pPr>
        <w:rPr>
          <w:sz w:val="30"/>
          <w:szCs w:val="30"/>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pStyle w:val="54"/>
        <w:rPr>
          <w:color w:val="auto"/>
          <w:lang w:eastAsia="zh-CN"/>
        </w:rPr>
      </w:pPr>
    </w:p>
    <w:p>
      <w:pPr>
        <w:tabs>
          <w:tab w:val="left" w:pos="1709"/>
        </w:tabs>
        <w:rPr>
          <w:sz w:val="30"/>
          <w:szCs w:val="30"/>
        </w:rPr>
      </w:pPr>
    </w:p>
    <w:p>
      <w:pPr>
        <w:spacing w:line="5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发包人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甲方</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海口江东新区管理局</w:t>
      </w:r>
      <w:r>
        <w:rPr>
          <w:rFonts w:hint="eastAsia" w:ascii="仿宋_GB2312" w:hAnsi="仿宋_GB2312" w:eastAsia="仿宋_GB2312" w:cs="仿宋_GB2312"/>
          <w:color w:val="auto"/>
          <w:spacing w:val="-10"/>
          <w:sz w:val="24"/>
          <w:u w:val="single"/>
        </w:rPr>
        <w:t xml:space="preserve">       </w:t>
      </w:r>
    </w:p>
    <w:p>
      <w:pPr>
        <w:spacing w:line="56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承包人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乙方</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p>
    <w:p>
      <w:pPr>
        <w:spacing w:line="5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鉴于甲方拟开展</w:t>
      </w:r>
      <w:r>
        <w:rPr>
          <w:rFonts w:hint="eastAsia" w:ascii="仿宋_GB2312" w:hAnsi="仿宋_GB2312" w:eastAsia="仿宋_GB2312" w:cs="仿宋_GB2312"/>
          <w:color w:val="auto"/>
          <w:sz w:val="24"/>
          <w:u w:val="single"/>
        </w:rPr>
        <w:t>海口江东新区近零碳示范区实施方案</w:t>
      </w:r>
      <w:r>
        <w:rPr>
          <w:rFonts w:hint="eastAsia" w:ascii="仿宋_GB2312" w:hAnsi="仿宋_GB2312" w:eastAsia="仿宋_GB2312" w:cs="仿宋_GB2312"/>
          <w:color w:val="auto"/>
          <w:sz w:val="24"/>
        </w:rPr>
        <w:t>编制工作，乙方具备从事零碳园区规划和实施方案编制技术服务的相关资质与专业能力，根据《中华人民共和国民法典》等法律、法规的相关规定以及招标编号：【招标编号为：】的有关内容，合同各方遵循平等、自愿、公平和诚信的原则，就下述</w:t>
      </w:r>
      <w:r>
        <w:rPr>
          <w:rFonts w:hint="eastAsia" w:ascii="仿宋_GB2312" w:hAnsi="仿宋_GB2312" w:eastAsia="仿宋_GB2312" w:cs="仿宋_GB2312"/>
          <w:color w:val="auto"/>
          <w:sz w:val="24"/>
          <w:u w:val="single"/>
        </w:rPr>
        <w:t>海口江东新区近零碳示范区实施方案</w:t>
      </w:r>
      <w:r>
        <w:rPr>
          <w:rFonts w:hint="eastAsia" w:ascii="仿宋_GB2312" w:hAnsi="仿宋_GB2312" w:eastAsia="仿宋_GB2312" w:cs="仿宋_GB2312"/>
          <w:color w:val="auto"/>
          <w:sz w:val="24"/>
        </w:rPr>
        <w:t>编制技术服务事项协商一致，订立本合同。</w:t>
      </w:r>
    </w:p>
    <w:p>
      <w:pPr>
        <w:pStyle w:val="7"/>
        <w:spacing w:after="0" w:line="560" w:lineRule="exact"/>
        <w:ind w:left="524"/>
        <w:outlineLvl w:val="0"/>
        <w:rPr>
          <w:rFonts w:hint="eastAsia" w:ascii="仿宋_GB2312" w:hAnsi="仿宋_GB2312" w:eastAsia="仿宋_GB2312" w:cs="仿宋_GB2312"/>
          <w:b/>
          <w:bCs/>
          <w:color w:val="auto"/>
          <w:spacing w:val="-7"/>
          <w:sz w:val="24"/>
        </w:rPr>
      </w:pPr>
      <w:r>
        <w:rPr>
          <w:rFonts w:hint="eastAsia" w:ascii="仿宋_GB2312" w:hAnsi="仿宋_GB2312" w:eastAsia="仿宋_GB2312" w:cs="仿宋_GB2312"/>
          <w:b/>
          <w:bCs/>
          <w:color w:val="auto"/>
          <w:spacing w:val="-7"/>
          <w:sz w:val="24"/>
        </w:rPr>
        <w:t>第一条  项目概况</w:t>
      </w:r>
    </w:p>
    <w:p>
      <w:pPr>
        <w:spacing w:line="560" w:lineRule="exact"/>
        <w:ind w:firstLine="600"/>
        <w:rPr>
          <w:rFonts w:hint="eastAsia" w:ascii="仿宋_GB2312" w:hAnsi="仿宋_GB2312" w:eastAsia="仿宋_GB2312" w:cs="仿宋_GB2312"/>
          <w:color w:val="auto"/>
          <w:spacing w:val="-10"/>
          <w:sz w:val="24"/>
          <w:u w:val="single"/>
        </w:rPr>
      </w:pPr>
      <w:r>
        <w:rPr>
          <w:rFonts w:hint="eastAsia" w:ascii="仿宋_GB2312" w:hAnsi="仿宋_GB2312" w:eastAsia="仿宋_GB2312" w:cs="仿宋_GB2312"/>
          <w:color w:val="auto"/>
          <w:sz w:val="24"/>
        </w:rPr>
        <w:t>1.1 项目名称：</w:t>
      </w:r>
      <w:r>
        <w:rPr>
          <w:rFonts w:hint="eastAsia" w:ascii="仿宋_GB2312" w:hAnsi="仿宋_GB2312" w:eastAsia="仿宋_GB2312" w:cs="仿宋_GB2312"/>
          <w:color w:val="auto"/>
          <w:sz w:val="24"/>
          <w:u w:val="single"/>
        </w:rPr>
        <w:t xml:space="preserve">海口江东新区近零碳示范区实施方案      </w:t>
      </w:r>
    </w:p>
    <w:p>
      <w:pPr>
        <w:spacing w:line="560" w:lineRule="exact"/>
        <w:ind w:firstLine="6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1.2 项目地点：</w:t>
      </w:r>
      <w:r>
        <w:rPr>
          <w:rFonts w:hint="eastAsia" w:ascii="仿宋_GB2312" w:hAnsi="仿宋_GB2312" w:eastAsia="仿宋_GB2312" w:cs="仿宋_GB2312"/>
          <w:color w:val="auto"/>
          <w:spacing w:val="-10"/>
          <w:sz w:val="24"/>
          <w:u w:val="single"/>
        </w:rPr>
        <w:t xml:space="preserve">               海口江东新区</w:t>
      </w:r>
      <w:r>
        <w:rPr>
          <w:rFonts w:hint="eastAsia" w:ascii="仿宋_GB2312" w:hAnsi="仿宋_GB2312" w:eastAsia="仿宋_GB2312" w:cs="仿宋_GB2312"/>
          <w:color w:val="auto"/>
          <w:sz w:val="24"/>
          <w:u w:val="single"/>
        </w:rPr>
        <w:t xml:space="preserve">                    </w:t>
      </w:r>
    </w:p>
    <w:p>
      <w:pPr>
        <w:spacing w:line="560" w:lineRule="exact"/>
        <w:ind w:firstLine="6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 项目范围：示范区</w:t>
      </w:r>
      <w:r>
        <w:rPr>
          <w:rFonts w:hint="eastAsia" w:ascii="仿宋_GB2312" w:hAnsi="仿宋_GB2312" w:eastAsia="仿宋_GB2312" w:cs="仿宋_GB2312"/>
          <w:color w:val="auto"/>
          <w:sz w:val="24"/>
          <w:lang w:val="zh-CN"/>
        </w:rPr>
        <w:t>实施</w:t>
      </w:r>
      <w:r>
        <w:rPr>
          <w:rFonts w:hint="eastAsia" w:ascii="仿宋_GB2312" w:hAnsi="仿宋_GB2312" w:eastAsia="仿宋_GB2312" w:cs="仿宋_GB2312"/>
          <w:color w:val="auto"/>
          <w:sz w:val="24"/>
        </w:rPr>
        <w:t>方案的编制范围为江东新区全域，东起东寨港（海口行政边界），西至南渡江，北临海口东海岸线，南至绕城高速二期和212省道，约298平方公里。示范区建设采用分步实施的方式，近期建设重点范围为江东新区起步区及南片区建设用地面积共2.36平方公里，和临空经济区建设用地面积15.8平方公里范围。远期逐步实现江东新区的全域低碳。</w:t>
      </w:r>
    </w:p>
    <w:p>
      <w:pPr>
        <w:spacing w:line="560" w:lineRule="exact"/>
        <w:ind w:firstLine="464" w:firstLineChars="200"/>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1.4 项目内容：</w:t>
      </w:r>
    </w:p>
    <w:p>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1</w:t>
      </w:r>
      <w:r>
        <w:rPr>
          <w:rFonts w:hint="eastAsia" w:ascii="仿宋_GB2312" w:hAnsi="仿宋_GB2312" w:eastAsia="仿宋_GB2312" w:cs="仿宋_GB2312"/>
          <w:b/>
          <w:bCs/>
          <w:color w:val="auto"/>
          <w:kern w:val="0"/>
          <w:sz w:val="24"/>
          <w:lang w:val="zh-CN"/>
        </w:rPr>
        <w:t>）建设目标和指标</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在示范区已有研究基础上</w:t>
      </w:r>
      <w:bookmarkStart w:id="97" w:name="_GoBack"/>
      <w:bookmarkEnd w:id="97"/>
      <w:r>
        <w:rPr>
          <w:rFonts w:hint="eastAsia" w:ascii="仿宋_GB2312" w:hAnsi="仿宋_GB2312" w:eastAsia="仿宋_GB2312" w:cs="仿宋_GB2312"/>
          <w:color w:val="auto"/>
          <w:kern w:val="0"/>
          <w:sz w:val="24"/>
          <w:lang w:val="zh-CN"/>
        </w:rPr>
        <w:t>更新优化，根据现状建设情况，调整既定目标、管控指标和实施路径，并针对近期重点建设</w:t>
      </w:r>
      <w:r>
        <w:rPr>
          <w:rFonts w:hint="eastAsia" w:ascii="仿宋_GB2312" w:hAnsi="仿宋_GB2312" w:eastAsia="仿宋_GB2312" w:cs="仿宋_GB2312"/>
          <w:color w:val="auto"/>
          <w:kern w:val="0"/>
          <w:sz w:val="24"/>
          <w:lang w:val="en-US" w:eastAsia="zh-CN"/>
        </w:rPr>
        <w:t>区域</w:t>
      </w:r>
      <w:r>
        <w:rPr>
          <w:rFonts w:hint="eastAsia" w:ascii="仿宋_GB2312" w:hAnsi="仿宋_GB2312" w:eastAsia="仿宋_GB2312" w:cs="仿宋_GB2312"/>
          <w:color w:val="auto"/>
          <w:kern w:val="0"/>
          <w:sz w:val="24"/>
          <w:lang w:val="zh-CN"/>
        </w:rPr>
        <w:t>（起步区及南片区、临空经济区）分别提出对应的建设目标和指标。</w:t>
      </w:r>
    </w:p>
    <w:p>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2</w:t>
      </w:r>
      <w:r>
        <w:rPr>
          <w:rFonts w:hint="eastAsia" w:ascii="仿宋_GB2312" w:hAnsi="仿宋_GB2312" w:eastAsia="仿宋_GB2312" w:cs="仿宋_GB2312"/>
          <w:b/>
          <w:bCs/>
          <w:color w:val="auto"/>
          <w:kern w:val="0"/>
          <w:sz w:val="24"/>
          <w:lang w:val="zh-CN"/>
        </w:rPr>
        <w:t>）近期重点片区建设任务和项目谋划</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结合新区各个片区建设需求和建设条件，明确建设任务、实施步骤。聚焦起步区及南片区、临空经济区2个近期重点建设</w:t>
      </w:r>
      <w:r>
        <w:rPr>
          <w:rFonts w:hint="eastAsia" w:ascii="仿宋_GB2312" w:hAnsi="仿宋_GB2312" w:eastAsia="仿宋_GB2312" w:cs="仿宋_GB2312"/>
          <w:color w:val="auto"/>
          <w:kern w:val="0"/>
          <w:sz w:val="24"/>
          <w:lang w:val="en-US" w:eastAsia="zh-CN"/>
        </w:rPr>
        <w:t>区域</w:t>
      </w:r>
      <w:r>
        <w:rPr>
          <w:rFonts w:hint="eastAsia" w:ascii="仿宋_GB2312" w:hAnsi="仿宋_GB2312" w:eastAsia="仿宋_GB2312" w:cs="仿宋_GB2312"/>
          <w:color w:val="auto"/>
          <w:kern w:val="0"/>
          <w:sz w:val="24"/>
          <w:lang w:val="zh-CN"/>
        </w:rPr>
        <w:t>的建设需求和建设条件，从功能布局出发，聚焦“能源、生态、智慧、生活、生产”5组降碳技术集成创新链条，形成“绿色能源供给、建筑降碳、交通降碳、水资源综合利用、固体废物综合利用、公共空间利用、智慧运营“7方面实施路径，开展项目谋划，项目谋划需达到项目建议书深度，统筹布局各类项目包。包括但不限于以下内容：</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①绿色能源供给</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明确能源需求类型、规模和特点，建设多能互补的能源低碳化利用策略。充分优化集中式、分散式可再生能源利用方案，统筹绿色能源供给项目布局，提出建设标准和技术要求，建立源网荷储调一体化的能源供给新模式。谋划布局近零碳能源基础设施工程项目，初步开展项目选址进行项目包装，确保零碳能源项目与其他工程项目的协同。</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②建筑降碳</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针对已建和未建建筑，通过分类分级、数字化模拟等方法，在已有研究指标基础上针对能源、绿建、资源循环等具体指标更新优化更新，提出推荐技术清单，确定优先实施区域及项目。提升技术侧重BAPV+BIPV光伏发电系统、小型风力发电系统、热泵系统、建筑全电气化、电化学+水蓄冷+冰蓄冷储能系统、VtoG+光储一体化充电站、智慧能源监测管理设备等降碳技术的规模化和集成化应用。谋划近期开展的近零碳、光储直柔等示范建筑的选址，形成项目推荐清单。</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③交通降碳</w:t>
      </w:r>
    </w:p>
    <w:p>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优化交通配套基础设施，推广光储充一体化充电站建设和停车场绿色化建设，提高充电桩建设比例，促进交通领域新能源和新技术的应用。</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④水资源综合利用</w:t>
      </w:r>
    </w:p>
    <w:p>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通过源头控制和低碳技术应用，提高再生水利用率，降低给水系统和污水处理系统的碳排放。提出污水系统碳减排方案，提出设施设备和处理工艺优化建议。</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⑤固体废物综合利用</w:t>
      </w:r>
    </w:p>
    <w:p>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细化可回收物分类收集制度，建立从产生到处理全过程、从处理到服务全方位的固废产业链。提出可生化垃圾原位资源化处理方案。</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⑥公共空间利用</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在不影响用地功能和城市风貌的前提下，充分利用城区内绿地、广场、停车场等空间资源，结合景观、遮阳设施布置分布式光伏和储能系统。梳理城区外有条件土地，以符合用地政策为原则，统筹布局农光/渔光互补作为绿色能源供应空间。</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⑦智慧运营</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依托江东新区现有智慧化展厅设施设备，提出示范区零碳智慧管理中心建设设想，预留接口，实现对新能源、建筑、交通、市政、等多系统的降碳运行监测和智能调度。</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⑧区域海绵化工程</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⑨其他工作内容</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根据实际工作需要增加相关内容</w:t>
      </w:r>
    </w:p>
    <w:p>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3</w:t>
      </w:r>
      <w:r>
        <w:rPr>
          <w:rFonts w:hint="eastAsia" w:ascii="仿宋_GB2312" w:hAnsi="仿宋_GB2312" w:eastAsia="仿宋_GB2312" w:cs="仿宋_GB2312"/>
          <w:b/>
          <w:bCs/>
          <w:color w:val="auto"/>
          <w:kern w:val="0"/>
          <w:sz w:val="24"/>
          <w:lang w:val="zh-CN"/>
        </w:rPr>
        <w:t>）近零碳示范区建设管理机制研究</w:t>
      </w:r>
    </w:p>
    <w:p>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rPr>
        <w:t>将在低碳园区建设管理实施办法、碳排放评估管理、低碳项目土地税收优惠政策、碳关税及碳金融创新等管理制度和管理手段上进行深入研究，提出符合地方实际的创新思路与做法，真正实现自贸港制度创新集成的突破，</w:t>
      </w:r>
      <w:r>
        <w:rPr>
          <w:rFonts w:hint="eastAsia" w:ascii="仿宋_GB2312" w:hAnsi="仿宋_GB2312" w:eastAsia="仿宋_GB2312" w:cs="仿宋_GB2312"/>
          <w:color w:val="auto"/>
          <w:kern w:val="0"/>
          <w:sz w:val="24"/>
          <w:lang w:val="zh-CN"/>
        </w:rPr>
        <w:t>保证总体建设目标指标的顺利落地。</w:t>
      </w:r>
    </w:p>
    <w:p>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4</w:t>
      </w:r>
      <w:r>
        <w:rPr>
          <w:rFonts w:hint="eastAsia" w:ascii="仿宋_GB2312" w:hAnsi="仿宋_GB2312" w:eastAsia="仿宋_GB2312" w:cs="仿宋_GB2312"/>
          <w:b/>
          <w:bCs/>
          <w:color w:val="auto"/>
          <w:kern w:val="0"/>
          <w:sz w:val="24"/>
          <w:lang w:val="zh-CN"/>
        </w:rPr>
        <w:t>）涉碳项目降碳技术及效果评价</w:t>
      </w:r>
    </w:p>
    <w:p>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为加强在立项阶段对各类涉碳建设项目的指导，保障降碳指标的顺利落实，在示范区创建期间对各类建筑、交通、能源、市政等涉及碳排放项目的建设方案在前期可研阶段进行降碳技术及效果的复核评价，并根据示范区总体减碳目标提供相关评价意见。</w:t>
      </w:r>
    </w:p>
    <w:p>
      <w:pPr>
        <w:pStyle w:val="7"/>
        <w:spacing w:after="0" w:line="560" w:lineRule="exact"/>
        <w:ind w:left="524"/>
        <w:outlineLvl w:val="0"/>
        <w:rPr>
          <w:rFonts w:hint="eastAsia" w:ascii="仿宋_GB2312" w:hAnsi="仿宋_GB2312" w:eastAsia="仿宋_GB2312" w:cs="仿宋_GB2312"/>
          <w:b/>
          <w:bCs/>
          <w:color w:val="auto"/>
          <w:spacing w:val="-7"/>
          <w:sz w:val="24"/>
        </w:rPr>
      </w:pPr>
      <w:r>
        <w:rPr>
          <w:rFonts w:hint="eastAsia" w:ascii="仿宋_GB2312" w:hAnsi="仿宋_GB2312" w:eastAsia="仿宋_GB2312" w:cs="仿宋_GB2312"/>
          <w:b/>
          <w:bCs/>
          <w:color w:val="auto"/>
          <w:spacing w:val="-7"/>
          <w:sz w:val="24"/>
        </w:rPr>
        <w:t>第二条 工作进度及阶段成果要求</w:t>
      </w:r>
    </w:p>
    <w:p>
      <w:pPr>
        <w:spacing w:line="560" w:lineRule="exact"/>
        <w:rPr>
          <w:rFonts w:hint="eastAsia" w:ascii="仿宋_GB2312" w:hAnsi="仿宋_GB2312" w:eastAsia="仿宋_GB2312" w:cs="仿宋_GB2312"/>
          <w:color w:val="auto"/>
          <w:spacing w:val="-2"/>
          <w:sz w:val="24"/>
        </w:rPr>
      </w:pPr>
      <w:r>
        <w:rPr>
          <w:rFonts w:hint="eastAsia" w:ascii="仿宋_GB2312" w:hAnsi="仿宋_GB2312" w:eastAsia="仿宋_GB2312" w:cs="仿宋_GB2312"/>
          <w:color w:val="auto"/>
          <w:sz w:val="24"/>
        </w:rPr>
        <w:drawing>
          <wp:anchor distT="0" distB="0" distL="0" distR="0" simplePos="0" relativeHeight="251659264" behindDoc="1" locked="0" layoutInCell="1" allowOverlap="1">
            <wp:simplePos x="0" y="0"/>
            <wp:positionH relativeFrom="column">
              <wp:posOffset>6477635</wp:posOffset>
            </wp:positionH>
            <wp:positionV relativeFrom="paragraph">
              <wp:posOffset>1270000</wp:posOffset>
            </wp:positionV>
            <wp:extent cx="1015365" cy="1134745"/>
            <wp:effectExtent l="0" t="0" r="635" b="8255"/>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3"/>
                    <a:stretch>
                      <a:fillRect/>
                    </a:stretch>
                  </pic:blipFill>
                  <pic:spPr>
                    <a:xfrm>
                      <a:off x="0" y="0"/>
                      <a:ext cx="1015282" cy="1134974"/>
                    </a:xfrm>
                    <a:prstGeom prst="rect">
                      <a:avLst/>
                    </a:prstGeom>
                  </pic:spPr>
                </pic:pic>
              </a:graphicData>
            </a:graphic>
          </wp:anchor>
        </w:drawing>
      </w: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pacing w:val="-2"/>
          <w:sz w:val="24"/>
        </w:rPr>
        <w:t>.1 根据工作目标及内容，各工作阶段具体时间和成果构成如下：</w:t>
      </w:r>
    </w:p>
    <w:p>
      <w:pPr>
        <w:spacing w:line="560" w:lineRule="exact"/>
        <w:rPr>
          <w:rFonts w:hint="eastAsia" w:ascii="仿宋_GB2312" w:hAnsi="仿宋_GB2312" w:eastAsia="仿宋_GB2312" w:cs="仿宋_GB2312"/>
          <w:color w:val="auto"/>
          <w:sz w:val="24"/>
        </w:rPr>
      </w:pPr>
    </w:p>
    <w:tbl>
      <w:tblPr>
        <w:tblStyle w:val="69"/>
        <w:tblW w:w="8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145"/>
        <w:gridCol w:w="4303"/>
        <w:gridCol w:w="667"/>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01" w:type="dxa"/>
            <w:textDirection w:val="tbRlV"/>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序 号</w:t>
            </w:r>
          </w:p>
        </w:tc>
        <w:tc>
          <w:tcPr>
            <w:tcW w:w="1145" w:type="dxa"/>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lang w:eastAsia="zh-CN"/>
              </w:rPr>
              <w:t>工</w:t>
            </w:r>
            <w:r>
              <w:rPr>
                <w:rFonts w:hint="eastAsia" w:ascii="仿宋_GB2312" w:hAnsi="仿宋_GB2312" w:eastAsia="仿宋_GB2312" w:cs="仿宋_GB2312"/>
                <w:color w:val="auto"/>
                <w:spacing w:val="-4"/>
              </w:rPr>
              <w:t>作阶段</w:t>
            </w:r>
          </w:p>
        </w:tc>
        <w:tc>
          <w:tcPr>
            <w:tcW w:w="4303" w:type="dxa"/>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成果构成</w:t>
            </w:r>
          </w:p>
        </w:tc>
        <w:tc>
          <w:tcPr>
            <w:tcW w:w="667" w:type="dxa"/>
            <w:textDirection w:val="tbRlV"/>
            <w:vAlign w:val="center"/>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数量</w:t>
            </w:r>
          </w:p>
        </w:tc>
        <w:tc>
          <w:tcPr>
            <w:tcW w:w="1650" w:type="dxa"/>
            <w:vAlign w:val="center"/>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成果提交时间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01" w:type="dxa"/>
            <w:vAlign w:val="center"/>
          </w:tcPr>
          <w:p>
            <w:pPr>
              <w:spacing w:line="560" w:lineRule="exact"/>
              <w:jc w:val="center"/>
              <w:rPr>
                <w:rFonts w:hint="eastAsia" w:ascii="仿宋_GB2312" w:hAnsi="仿宋_GB2312" w:eastAsia="仿宋_GB2312" w:cs="仿宋_GB2312"/>
                <w:color w:val="auto"/>
                <w:spacing w:val="-4"/>
                <w:sz w:val="24"/>
                <w:lang w:eastAsia="en-US"/>
              </w:rPr>
            </w:pPr>
            <w:r>
              <w:rPr>
                <w:rFonts w:hint="eastAsia" w:ascii="仿宋_GB2312" w:hAnsi="仿宋_GB2312" w:eastAsia="仿宋_GB2312" w:cs="仿宋_GB2312"/>
                <w:color w:val="auto"/>
                <w:spacing w:val="-4"/>
                <w:sz w:val="24"/>
                <w:lang w:eastAsia="en-US"/>
              </w:rPr>
              <w:t>1</w:t>
            </w:r>
          </w:p>
        </w:tc>
        <w:tc>
          <w:tcPr>
            <w:tcW w:w="1145" w:type="dxa"/>
            <w:vAlign w:val="center"/>
          </w:tcPr>
          <w:p>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第一阶段</w:t>
            </w:r>
          </w:p>
        </w:tc>
        <w:tc>
          <w:tcPr>
            <w:tcW w:w="4303" w:type="dxa"/>
            <w:vAlign w:val="center"/>
          </w:tcPr>
          <w:p>
            <w:pPr>
              <w:pStyle w:val="68"/>
              <w:spacing w:line="560" w:lineRule="exact"/>
              <w:ind w:left="124" w:right="73" w:hanging="4"/>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制定工作计划、技术路线，明确工作重点及思路，深化工作内容，完成调研分析。</w:t>
            </w:r>
          </w:p>
        </w:tc>
        <w:tc>
          <w:tcPr>
            <w:tcW w:w="667" w:type="dxa"/>
            <w:vAlign w:val="center"/>
          </w:tcPr>
          <w:p>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份</w:t>
            </w:r>
          </w:p>
        </w:tc>
        <w:tc>
          <w:tcPr>
            <w:tcW w:w="1650" w:type="dxa"/>
            <w:vAlign w:val="center"/>
          </w:tcPr>
          <w:p>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合同签订之日起【1】个月内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01" w:type="dxa"/>
            <w:vAlign w:val="center"/>
          </w:tcPr>
          <w:p>
            <w:pPr>
              <w:spacing w:line="560" w:lineRule="exact"/>
              <w:jc w:val="center"/>
              <w:rPr>
                <w:rFonts w:hint="eastAsia" w:ascii="仿宋_GB2312" w:hAnsi="仿宋_GB2312" w:eastAsia="仿宋_GB2312" w:cs="仿宋_GB2312"/>
                <w:color w:val="auto"/>
                <w:spacing w:val="-4"/>
                <w:sz w:val="24"/>
                <w:lang w:eastAsia="en-US"/>
              </w:rPr>
            </w:pPr>
            <w:r>
              <w:rPr>
                <w:rFonts w:hint="eastAsia" w:ascii="仿宋_GB2312" w:hAnsi="仿宋_GB2312" w:eastAsia="仿宋_GB2312" w:cs="仿宋_GB2312"/>
                <w:color w:val="auto"/>
                <w:spacing w:val="-4"/>
                <w:sz w:val="24"/>
                <w:lang w:eastAsia="en-US"/>
              </w:rPr>
              <w:t>2</w:t>
            </w:r>
          </w:p>
        </w:tc>
        <w:tc>
          <w:tcPr>
            <w:tcW w:w="1145" w:type="dxa"/>
            <w:vAlign w:val="center"/>
          </w:tcPr>
          <w:p>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第二阶段</w:t>
            </w:r>
          </w:p>
        </w:tc>
        <w:tc>
          <w:tcPr>
            <w:tcW w:w="4303" w:type="dxa"/>
            <w:vAlign w:val="center"/>
          </w:tcPr>
          <w:p>
            <w:pPr>
              <w:pStyle w:val="68"/>
              <w:spacing w:line="560" w:lineRule="exact"/>
              <w:ind w:left="122" w:right="106" w:hanging="2"/>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根据征求意见修改完善，形成初步成果。（汇报演示及实施方案报告文本）</w:t>
            </w:r>
          </w:p>
        </w:tc>
        <w:tc>
          <w:tcPr>
            <w:tcW w:w="667" w:type="dxa"/>
            <w:vAlign w:val="center"/>
          </w:tcPr>
          <w:p>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份</w:t>
            </w:r>
          </w:p>
        </w:tc>
        <w:tc>
          <w:tcPr>
            <w:tcW w:w="1650" w:type="dxa"/>
            <w:vAlign w:val="center"/>
          </w:tcPr>
          <w:p>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合同签订之日起【3】个月内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701" w:type="dxa"/>
            <w:vAlign w:val="center"/>
          </w:tcPr>
          <w:p>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lang w:eastAsia="en-US"/>
              </w:rPr>
              <w:t>3</w:t>
            </w:r>
          </w:p>
        </w:tc>
        <w:tc>
          <w:tcPr>
            <w:tcW w:w="1145" w:type="dxa"/>
            <w:vAlign w:val="center"/>
          </w:tcPr>
          <w:p>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第三阶段</w:t>
            </w:r>
          </w:p>
        </w:tc>
        <w:tc>
          <w:tcPr>
            <w:tcW w:w="4303" w:type="dxa"/>
            <w:vAlign w:val="center"/>
          </w:tcPr>
          <w:p>
            <w:pPr>
              <w:pStyle w:val="68"/>
              <w:spacing w:line="560" w:lineRule="exact"/>
              <w:ind w:right="106"/>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依据专家评审会相关要求修改完善形成最终成果《海口江东新区近零碳示范区实施方案》（实施方案文本及图集），报送甲方出具验收证明。</w:t>
            </w:r>
          </w:p>
        </w:tc>
        <w:tc>
          <w:tcPr>
            <w:tcW w:w="667" w:type="dxa"/>
            <w:vAlign w:val="center"/>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份</w:t>
            </w:r>
          </w:p>
        </w:tc>
        <w:tc>
          <w:tcPr>
            <w:tcW w:w="1650" w:type="dxa"/>
            <w:vAlign w:val="center"/>
          </w:tcPr>
          <w:p>
            <w:pPr>
              <w:spacing w:line="560" w:lineRule="exact"/>
              <w:jc w:val="center"/>
              <w:rPr>
                <w:rFonts w:hint="eastAsia" w:ascii="仿宋_GB2312" w:hAnsi="仿宋_GB2312" w:eastAsia="仿宋_GB2312" w:cs="仿宋_GB2312"/>
                <w:color w:val="auto"/>
                <w:spacing w:val="-4"/>
                <w:sz w:val="24"/>
              </w:rPr>
            </w:pPr>
          </w:p>
          <w:p>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合同签订之日起【6】个月内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1" w:type="dxa"/>
            <w:vAlign w:val="center"/>
          </w:tcPr>
          <w:p>
            <w:pPr>
              <w:spacing w:line="560" w:lineRule="exact"/>
              <w:jc w:val="center"/>
              <w:rPr>
                <w:rFonts w:hint="eastAsia" w:ascii="仿宋_GB2312" w:hAnsi="仿宋_GB2312" w:eastAsia="仿宋_GB2312" w:cs="仿宋_GB2312"/>
                <w:color w:val="auto"/>
                <w:spacing w:val="-4"/>
                <w:sz w:val="24"/>
                <w:lang w:eastAsia="en-US"/>
              </w:rPr>
            </w:pPr>
            <w:r>
              <w:rPr>
                <w:rFonts w:hint="eastAsia" w:ascii="仿宋_GB2312" w:hAnsi="仿宋_GB2312" w:eastAsia="仿宋_GB2312" w:cs="仿宋_GB2312"/>
                <w:color w:val="auto"/>
                <w:spacing w:val="-4"/>
                <w:sz w:val="24"/>
                <w:lang w:eastAsia="en-US"/>
              </w:rPr>
              <w:t>4</w:t>
            </w:r>
          </w:p>
        </w:tc>
        <w:tc>
          <w:tcPr>
            <w:tcW w:w="1145" w:type="dxa"/>
            <w:vAlign w:val="center"/>
          </w:tcPr>
          <w:p>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第四阶段</w:t>
            </w:r>
          </w:p>
        </w:tc>
        <w:tc>
          <w:tcPr>
            <w:tcW w:w="4303" w:type="dxa"/>
            <w:vAlign w:val="center"/>
          </w:tcPr>
          <w:p>
            <w:pPr>
              <w:pStyle w:val="68"/>
              <w:spacing w:line="560" w:lineRule="exact"/>
              <w:ind w:right="91"/>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配合甲方的方案实施工作，提供技术</w:t>
            </w:r>
            <w:r>
              <w:rPr>
                <w:rFonts w:hint="eastAsia" w:ascii="仿宋_GB2312" w:hAnsi="仿宋_GB2312" w:eastAsia="仿宋_GB2312" w:cs="仿宋_GB2312"/>
                <w:color w:val="auto"/>
                <w:spacing w:val="-4"/>
                <w:lang w:val="en-US" w:eastAsia="zh-CN"/>
              </w:rPr>
              <w:t>及涉碳项目审查</w:t>
            </w:r>
            <w:r>
              <w:rPr>
                <w:rFonts w:hint="eastAsia" w:ascii="仿宋_GB2312" w:hAnsi="仿宋_GB2312" w:eastAsia="仿宋_GB2312" w:cs="仿宋_GB2312"/>
                <w:color w:val="auto"/>
                <w:spacing w:val="-4"/>
                <w:lang w:eastAsia="zh-CN"/>
              </w:rPr>
              <w:t>服务。</w:t>
            </w:r>
          </w:p>
        </w:tc>
        <w:tc>
          <w:tcPr>
            <w:tcW w:w="667" w:type="dxa"/>
            <w:vAlign w:val="center"/>
          </w:tcPr>
          <w:p>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w:t>
            </w:r>
          </w:p>
        </w:tc>
        <w:tc>
          <w:tcPr>
            <w:tcW w:w="1650" w:type="dxa"/>
            <w:vAlign w:val="center"/>
          </w:tcPr>
          <w:p>
            <w:pPr>
              <w:pStyle w:val="68"/>
              <w:spacing w:line="560" w:lineRule="exact"/>
              <w:ind w:left="224"/>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合同签订之日起【12】个月内</w:t>
            </w:r>
          </w:p>
        </w:tc>
      </w:tr>
    </w:tbl>
    <w:p>
      <w:pPr>
        <w:tabs>
          <w:tab w:val="left" w:pos="3405"/>
        </w:tabs>
        <w:spacing w:line="560" w:lineRule="exact"/>
        <w:jc w:val="left"/>
        <w:rPr>
          <w:rFonts w:hint="eastAsia" w:ascii="仿宋_GB2312" w:hAnsi="仿宋_GB2312" w:eastAsia="仿宋_GB2312" w:cs="仿宋_GB2312"/>
          <w:color w:val="auto"/>
          <w:sz w:val="24"/>
        </w:rPr>
      </w:pPr>
    </w:p>
    <w:p>
      <w:pPr>
        <w:pStyle w:val="7"/>
        <w:spacing w:after="0" w:line="560" w:lineRule="exact"/>
        <w:ind w:left="182" w:right="167"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在合同履行过程中，在必要情况下，经双方协商一致，可对上述工作进度和</w:t>
      </w:r>
      <w:r>
        <w:rPr>
          <w:rFonts w:hint="eastAsia" w:ascii="仿宋_GB2312" w:hAnsi="仿宋_GB2312" w:eastAsia="仿宋_GB2312" w:cs="仿宋_GB2312"/>
          <w:color w:val="auto"/>
          <w:spacing w:val="-7"/>
          <w:sz w:val="24"/>
        </w:rPr>
        <w:t>阶段成果要求进行调整，但不应影响甲方下一步工作的开展。合同履行期间，乙</w:t>
      </w:r>
      <w:r>
        <w:rPr>
          <w:rFonts w:hint="eastAsia" w:ascii="仿宋_GB2312" w:hAnsi="仿宋_GB2312" w:eastAsia="仿宋_GB2312" w:cs="仿宋_GB2312"/>
          <w:color w:val="auto"/>
          <w:spacing w:val="-6"/>
          <w:sz w:val="24"/>
        </w:rPr>
        <w:t>方应按甲方的要求进行现场调研、中间成果汇报和沟通讨论，参加审查修改的全部工作和会议。</w:t>
      </w:r>
    </w:p>
    <w:p>
      <w:pPr>
        <w:pStyle w:val="7"/>
        <w:spacing w:after="0" w:line="560" w:lineRule="exact"/>
        <w:ind w:left="65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2.2</w:t>
      </w:r>
      <w:r>
        <w:rPr>
          <w:rFonts w:hint="eastAsia" w:ascii="仿宋_GB2312" w:hAnsi="仿宋_GB2312" w:eastAsia="仿宋_GB2312" w:cs="仿宋_GB2312"/>
          <w:color w:val="auto"/>
          <w:spacing w:val="19"/>
          <w:sz w:val="24"/>
        </w:rPr>
        <w:t xml:space="preserve"> </w:t>
      </w:r>
      <w:r>
        <w:rPr>
          <w:rFonts w:hint="eastAsia" w:ascii="仿宋_GB2312" w:hAnsi="仿宋_GB2312" w:eastAsia="仿宋_GB2312" w:cs="仿宋_GB2312"/>
          <w:color w:val="auto"/>
          <w:spacing w:val="-3"/>
          <w:sz w:val="24"/>
        </w:rPr>
        <w:t>项目服务期限</w:t>
      </w:r>
    </w:p>
    <w:p>
      <w:pPr>
        <w:pStyle w:val="7"/>
        <w:spacing w:after="0" w:line="560" w:lineRule="exact"/>
        <w:ind w:left="180" w:right="96" w:firstLine="48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本项目服务期一年，自</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6"/>
          <w:sz w:val="24"/>
        </w:rPr>
        <w:t>2024年【 】月【</w:t>
      </w:r>
      <w:r>
        <w:rPr>
          <w:rFonts w:hint="eastAsia" w:ascii="仿宋_GB2312" w:hAnsi="仿宋_GB2312" w:eastAsia="仿宋_GB2312" w:cs="仿宋_GB2312"/>
          <w:color w:val="auto"/>
          <w:spacing w:val="35"/>
          <w:sz w:val="24"/>
        </w:rPr>
        <w:t xml:space="preserve"> </w:t>
      </w:r>
      <w:r>
        <w:rPr>
          <w:rFonts w:hint="eastAsia" w:ascii="仿宋_GB2312" w:hAnsi="仿宋_GB2312" w:eastAsia="仿宋_GB2312" w:cs="仿宋_GB2312"/>
          <w:color w:val="auto"/>
          <w:spacing w:val="-6"/>
          <w:sz w:val="24"/>
        </w:rPr>
        <w:t>】日至</w:t>
      </w:r>
      <w:r>
        <w:rPr>
          <w:rFonts w:hint="eastAsia" w:ascii="仿宋_GB2312" w:hAnsi="仿宋_GB2312" w:eastAsia="仿宋_GB2312" w:cs="仿宋_GB2312"/>
          <w:color w:val="auto"/>
          <w:spacing w:val="-30"/>
          <w:sz w:val="24"/>
        </w:rPr>
        <w:t xml:space="preserve"> </w:t>
      </w:r>
      <w:r>
        <w:rPr>
          <w:rFonts w:hint="eastAsia" w:ascii="仿宋_GB2312" w:hAnsi="仿宋_GB2312" w:eastAsia="仿宋_GB2312" w:cs="仿宋_GB2312"/>
          <w:color w:val="auto"/>
          <w:spacing w:val="-6"/>
          <w:sz w:val="24"/>
        </w:rPr>
        <w:t>2025</w:t>
      </w:r>
      <w:r>
        <w:rPr>
          <w:rFonts w:hint="eastAsia" w:ascii="仿宋_GB2312" w:hAnsi="仿宋_GB2312" w:eastAsia="仿宋_GB2312" w:cs="仿宋_GB2312"/>
          <w:color w:val="auto"/>
          <w:spacing w:val="-39"/>
          <w:sz w:val="24"/>
        </w:rPr>
        <w:t xml:space="preserve"> </w:t>
      </w:r>
      <w:r>
        <w:rPr>
          <w:rFonts w:hint="eastAsia" w:ascii="仿宋_GB2312" w:hAnsi="仿宋_GB2312" w:eastAsia="仿宋_GB2312" w:cs="仿宋_GB2312"/>
          <w:color w:val="auto"/>
          <w:spacing w:val="-6"/>
          <w:sz w:val="24"/>
        </w:rPr>
        <w:t>年【 】月【</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6"/>
          <w:sz w:val="24"/>
        </w:rPr>
        <w:t>】日。</w:t>
      </w:r>
      <w:r>
        <w:rPr>
          <w:rFonts w:hint="eastAsia" w:ascii="仿宋_GB2312" w:hAnsi="仿宋_GB2312" w:eastAsia="仿宋_GB2312" w:cs="仿宋_GB2312"/>
          <w:color w:val="auto"/>
          <w:sz w:val="24"/>
        </w:rPr>
        <w:t xml:space="preserve"> 乙方应在本合同签订之日起365日历天内完成全部项目工作内容编制并通过甲方</w:t>
      </w:r>
      <w:r>
        <w:rPr>
          <w:rFonts w:hint="eastAsia" w:ascii="仿宋_GB2312" w:hAnsi="仿宋_GB2312" w:eastAsia="仿宋_GB2312" w:cs="仿宋_GB2312"/>
          <w:color w:val="auto"/>
          <w:spacing w:val="-9"/>
          <w:sz w:val="24"/>
        </w:rPr>
        <w:t>验收（含前置行政审批，如有</w:t>
      </w:r>
      <w:r>
        <w:rPr>
          <w:rFonts w:hint="eastAsia" w:ascii="仿宋_GB2312" w:hAnsi="仿宋_GB2312" w:eastAsia="仿宋_GB2312" w:cs="仿宋_GB2312"/>
          <w:color w:val="auto"/>
          <w:spacing w:val="4"/>
          <w:sz w:val="24"/>
        </w:rPr>
        <w:t>），</w:t>
      </w:r>
      <w:r>
        <w:rPr>
          <w:rFonts w:hint="eastAsia" w:ascii="仿宋_GB2312" w:hAnsi="仿宋_GB2312" w:eastAsia="仿宋_GB2312" w:cs="仿宋_GB2312"/>
          <w:color w:val="auto"/>
          <w:spacing w:val="-9"/>
          <w:sz w:val="24"/>
        </w:rPr>
        <w:t>由甲方出具验收证明。在合同履行过程中，在</w:t>
      </w:r>
      <w:r>
        <w:rPr>
          <w:rFonts w:hint="eastAsia" w:ascii="仿宋_GB2312" w:hAnsi="仿宋_GB2312" w:eastAsia="仿宋_GB2312" w:cs="仿宋_GB2312"/>
          <w:color w:val="auto"/>
          <w:spacing w:val="-3"/>
          <w:sz w:val="24"/>
        </w:rPr>
        <w:t>必要情况下，经甲方书面同意，可对上述服务期限时</w:t>
      </w:r>
      <w:r>
        <w:rPr>
          <w:rFonts w:hint="eastAsia" w:ascii="仿宋_GB2312" w:hAnsi="仿宋_GB2312" w:eastAsia="仿宋_GB2312" w:cs="仿宋_GB2312"/>
          <w:color w:val="auto"/>
          <w:spacing w:val="-4"/>
          <w:sz w:val="24"/>
        </w:rPr>
        <w:t>间进行调整，并将最终成果提交日期按照工作进度顺延。</w:t>
      </w:r>
    </w:p>
    <w:p>
      <w:pPr>
        <w:pStyle w:val="7"/>
        <w:spacing w:after="0" w:line="560" w:lineRule="exact"/>
        <w:ind w:left="65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2.3</w:t>
      </w:r>
      <w:r>
        <w:rPr>
          <w:rFonts w:hint="eastAsia" w:ascii="仿宋_GB2312" w:hAnsi="仿宋_GB2312" w:eastAsia="仿宋_GB2312" w:cs="仿宋_GB2312"/>
          <w:color w:val="auto"/>
          <w:spacing w:val="21"/>
          <w:sz w:val="24"/>
        </w:rPr>
        <w:t xml:space="preserve"> </w:t>
      </w:r>
      <w:r>
        <w:rPr>
          <w:rFonts w:hint="eastAsia" w:ascii="仿宋_GB2312" w:hAnsi="仿宋_GB2312" w:eastAsia="仿宋_GB2312" w:cs="仿宋_GB2312"/>
          <w:color w:val="auto"/>
          <w:spacing w:val="-3"/>
          <w:sz w:val="24"/>
        </w:rPr>
        <w:t>项目跟进服务</w:t>
      </w:r>
    </w:p>
    <w:p>
      <w:pPr>
        <w:pStyle w:val="7"/>
        <w:spacing w:after="0" w:line="560" w:lineRule="exact"/>
        <w:ind w:left="182" w:right="167"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本项目服务期届满后，乙方提供【6】个月的跟进服务，跟进服务期自本项</w:t>
      </w:r>
      <w:r>
        <w:rPr>
          <w:rFonts w:hint="eastAsia" w:ascii="仿宋_GB2312" w:hAnsi="仿宋_GB2312" w:eastAsia="仿宋_GB2312" w:cs="仿宋_GB2312"/>
          <w:color w:val="auto"/>
          <w:spacing w:val="-7"/>
          <w:sz w:val="24"/>
        </w:rPr>
        <w:t>目服务期届满日的次日起算。跟进服务期内，乙方须与甲方保持全面沟通，提供</w:t>
      </w:r>
      <w:r>
        <w:rPr>
          <w:rFonts w:hint="eastAsia" w:ascii="仿宋_GB2312" w:hAnsi="仿宋_GB2312" w:eastAsia="仿宋_GB2312" w:cs="仿宋_GB2312"/>
          <w:color w:val="auto"/>
          <w:spacing w:val="-2"/>
          <w:sz w:val="24"/>
        </w:rPr>
        <w:t>技术服务支持，使甲方能全面理解成果文件，确保成果实施。</w:t>
      </w:r>
    </w:p>
    <w:p>
      <w:pPr>
        <w:pStyle w:val="7"/>
        <w:spacing w:after="0" w:line="560" w:lineRule="exact"/>
        <w:ind w:left="65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2.4</w:t>
      </w:r>
      <w:r>
        <w:rPr>
          <w:rFonts w:hint="eastAsia" w:ascii="仿宋_GB2312" w:hAnsi="仿宋_GB2312" w:eastAsia="仿宋_GB2312" w:cs="仿宋_GB2312"/>
          <w:color w:val="auto"/>
          <w:spacing w:val="25"/>
          <w:sz w:val="24"/>
        </w:rPr>
        <w:t xml:space="preserve"> </w:t>
      </w:r>
      <w:r>
        <w:rPr>
          <w:rFonts w:hint="eastAsia" w:ascii="仿宋_GB2312" w:hAnsi="仿宋_GB2312" w:eastAsia="仿宋_GB2312" w:cs="仿宋_GB2312"/>
          <w:color w:val="auto"/>
          <w:spacing w:val="-4"/>
          <w:sz w:val="24"/>
        </w:rPr>
        <w:t>最终成果</w:t>
      </w:r>
    </w:p>
    <w:p>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最终成果由乙方统一汇总提交，具体构成如下：</w:t>
      </w:r>
    </w:p>
    <w:p>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（1）【《</w:t>
      </w:r>
      <w:r>
        <w:rPr>
          <w:rFonts w:hint="eastAsia" w:ascii="仿宋_GB2312" w:hAnsi="仿宋_GB2312" w:eastAsia="仿宋_GB2312" w:cs="仿宋_GB2312"/>
          <w:color w:val="auto"/>
          <w:spacing w:val="7"/>
          <w:sz w:val="24"/>
        </w:rPr>
        <w:t>海口江东新区近零碳示范区实施方案</w:t>
      </w:r>
      <w:r>
        <w:rPr>
          <w:rFonts w:hint="eastAsia" w:ascii="仿宋_GB2312" w:hAnsi="仿宋_GB2312" w:eastAsia="仿宋_GB2312" w:cs="仿宋_GB2312"/>
          <w:color w:val="auto"/>
          <w:spacing w:val="-6"/>
          <w:sz w:val="24"/>
        </w:rPr>
        <w:t>》】：【6】套</w:t>
      </w:r>
    </w:p>
    <w:p>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（2）</w:t>
      </w:r>
      <w:r>
        <w:rPr>
          <w:rFonts w:hint="eastAsia" w:ascii="仿宋_GB2312" w:hAnsi="仿宋_GB2312" w:eastAsia="仿宋_GB2312" w:cs="仿宋_GB2312"/>
          <w:color w:val="auto"/>
          <w:spacing w:val="-6"/>
          <w:sz w:val="24"/>
          <w:lang w:val="zh-CN"/>
        </w:rPr>
        <w:t>涉碳项目对接审查服务（内容见上文）</w:t>
      </w:r>
    </w:p>
    <w:p>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（3）以上文件的电子档案格式要求：WORD、JPG、PDF</w:t>
      </w:r>
    </w:p>
    <w:p>
      <w:pPr>
        <w:pStyle w:val="7"/>
        <w:spacing w:after="0" w:line="560" w:lineRule="exact"/>
        <w:ind w:left="652"/>
        <w:outlineLvl w:val="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2.5 验收标准及方式</w:t>
      </w:r>
    </w:p>
    <w:p>
      <w:pPr>
        <w:pStyle w:val="7"/>
        <w:spacing w:after="0" w:line="560" w:lineRule="exact"/>
        <w:ind w:left="66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最终成果验收合格的标志为：</w:t>
      </w:r>
    </w:p>
    <w:p>
      <w:pPr>
        <w:pStyle w:val="7"/>
        <w:spacing w:after="0" w:line="560" w:lineRule="exact"/>
        <w:ind w:left="180" w:right="164" w:firstLine="51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甲方审查验收（含前置行政审批，如有</w:t>
      </w:r>
      <w:r>
        <w:rPr>
          <w:rFonts w:hint="eastAsia" w:ascii="仿宋_GB2312" w:hAnsi="仿宋_GB2312" w:eastAsia="仿宋_GB2312" w:cs="仿宋_GB2312"/>
          <w:color w:val="auto"/>
          <w:spacing w:val="-12"/>
          <w:sz w:val="24"/>
        </w:rPr>
        <w:t>），</w:t>
      </w:r>
      <w:r>
        <w:rPr>
          <w:rFonts w:hint="eastAsia" w:ascii="仿宋_GB2312" w:hAnsi="仿宋_GB2312" w:eastAsia="仿宋_GB2312" w:cs="仿宋_GB2312"/>
          <w:color w:val="auto"/>
          <w:spacing w:val="-4"/>
          <w:sz w:val="24"/>
        </w:rPr>
        <w:t>采用甲方验收方式，由甲方出具</w:t>
      </w:r>
      <w:r>
        <w:rPr>
          <w:rFonts w:hint="eastAsia" w:ascii="仿宋_GB2312" w:hAnsi="仿宋_GB2312" w:eastAsia="仿宋_GB2312" w:cs="仿宋_GB2312"/>
          <w:color w:val="auto"/>
          <w:spacing w:val="-6"/>
          <w:sz w:val="24"/>
        </w:rPr>
        <w:t>验收合格证明。</w:t>
      </w:r>
    </w:p>
    <w:p>
      <w:pPr>
        <w:pStyle w:val="7"/>
        <w:spacing w:after="0" w:line="560" w:lineRule="exact"/>
        <w:ind w:left="200" w:right="167" w:firstLine="49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0"/>
          <w:sz w:val="24"/>
        </w:rPr>
        <w:t>甲方应及时组织各阶段成果的汇报、审查、评审、意见征询工作，将各阶段</w:t>
      </w:r>
      <w:r>
        <w:rPr>
          <w:rFonts w:hint="eastAsia" w:ascii="仿宋_GB2312" w:hAnsi="仿宋_GB2312" w:eastAsia="仿宋_GB2312" w:cs="仿宋_GB2312"/>
          <w:color w:val="auto"/>
          <w:spacing w:val="-3"/>
          <w:sz w:val="24"/>
        </w:rPr>
        <w:t>审查、评审、意见征询的正式书面修改意见提交给乙方。</w:t>
      </w:r>
    </w:p>
    <w:p>
      <w:pPr>
        <w:pStyle w:val="7"/>
        <w:spacing w:after="0" w:line="560" w:lineRule="exact"/>
        <w:ind w:left="524"/>
        <w:outlineLvl w:val="0"/>
        <w:rPr>
          <w:rFonts w:hint="eastAsia" w:ascii="仿宋_GB2312" w:hAnsi="仿宋_GB2312" w:eastAsia="仿宋_GB2312" w:cs="仿宋_GB2312"/>
          <w:b/>
          <w:bCs/>
          <w:color w:val="auto"/>
          <w:spacing w:val="-6"/>
          <w:sz w:val="24"/>
        </w:rPr>
      </w:pPr>
      <w:r>
        <w:rPr>
          <w:rFonts w:hint="eastAsia" w:ascii="仿宋_GB2312" w:hAnsi="仿宋_GB2312" w:eastAsia="仿宋_GB2312" w:cs="仿宋_GB2312"/>
          <w:b/>
          <w:bCs/>
          <w:color w:val="auto"/>
          <w:spacing w:val="-6"/>
          <w:sz w:val="24"/>
        </w:rPr>
        <w:t>第三条 合同价款及支付方式</w:t>
      </w:r>
    </w:p>
    <w:p>
      <w:pPr>
        <w:pStyle w:val="7"/>
        <w:spacing w:after="0" w:line="560" w:lineRule="exact"/>
        <w:ind w:left="32" w:right="118" w:firstLine="476"/>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8"/>
          <w:sz w:val="24"/>
        </w:rPr>
        <w:t>3.1 本合同含税金额为人民币（大写</w:t>
      </w:r>
      <w:r>
        <w:rPr>
          <w:rFonts w:hint="eastAsia" w:ascii="仿宋_GB2312" w:hAnsi="仿宋_GB2312" w:eastAsia="仿宋_GB2312" w:cs="仿宋_GB2312"/>
          <w:color w:val="auto"/>
          <w:spacing w:val="-44"/>
          <w:w w:val="64"/>
          <w:sz w:val="24"/>
        </w:rPr>
        <w:t>）：</w:t>
      </w:r>
      <w:r>
        <w:rPr>
          <w:rFonts w:hint="eastAsia" w:ascii="仿宋_GB2312" w:hAnsi="仿宋_GB2312" w:eastAsia="仿宋_GB2312" w:cs="仿宋_GB2312"/>
          <w:color w:val="auto"/>
          <w:spacing w:val="-8"/>
          <w:sz w:val="24"/>
        </w:rPr>
        <w:t xml:space="preserve">【 】(¥【 </w:t>
      </w:r>
      <w:r>
        <w:rPr>
          <w:rFonts w:hint="eastAsia" w:ascii="仿宋_GB2312" w:hAnsi="仿宋_GB2312" w:eastAsia="仿宋_GB2312" w:cs="仿宋_GB2312"/>
          <w:color w:val="auto"/>
          <w:spacing w:val="-7"/>
          <w:sz w:val="24"/>
        </w:rPr>
        <w:t>】</w:t>
      </w:r>
      <w:r>
        <w:rPr>
          <w:rFonts w:hint="eastAsia" w:ascii="仿宋_GB2312" w:hAnsi="仿宋_GB2312" w:eastAsia="仿宋_GB2312" w:cs="仿宋_GB2312"/>
          <w:color w:val="auto"/>
          <w:spacing w:val="-15"/>
          <w:sz w:val="24"/>
        </w:rPr>
        <w:t>），</w:t>
      </w:r>
      <w:r>
        <w:rPr>
          <w:rFonts w:hint="eastAsia" w:ascii="仿宋_GB2312" w:hAnsi="仿宋_GB2312" w:eastAsia="仿宋_GB2312" w:cs="仿宋_GB2312"/>
          <w:color w:val="auto"/>
          <w:spacing w:val="-7"/>
          <w:sz w:val="24"/>
        </w:rPr>
        <w:t>其中，不含税价人民币（大写</w:t>
      </w:r>
      <w:r>
        <w:rPr>
          <w:rFonts w:hint="eastAsia" w:ascii="仿宋_GB2312" w:hAnsi="仿宋_GB2312" w:eastAsia="仿宋_GB2312" w:cs="仿宋_GB2312"/>
          <w:color w:val="auto"/>
          <w:spacing w:val="-15"/>
          <w:sz w:val="24"/>
        </w:rPr>
        <w:t>）：</w:t>
      </w:r>
      <w:r>
        <w:rPr>
          <w:rFonts w:hint="eastAsia" w:ascii="仿宋_GB2312" w:hAnsi="仿宋_GB2312" w:eastAsia="仿宋_GB2312" w:cs="仿宋_GB2312"/>
          <w:color w:val="auto"/>
          <w:spacing w:val="-7"/>
          <w:sz w:val="24"/>
        </w:rPr>
        <w:t xml:space="preserve">【 </w:t>
      </w:r>
      <w:r>
        <w:rPr>
          <w:rFonts w:hint="eastAsia" w:ascii="仿宋_GB2312" w:hAnsi="仿宋_GB2312" w:eastAsia="仿宋_GB2312" w:cs="仿宋_GB2312"/>
          <w:color w:val="auto"/>
          <w:spacing w:val="-2"/>
          <w:sz w:val="24"/>
        </w:rPr>
        <w:t>】(¥  【 】</w:t>
      </w:r>
      <w:r>
        <w:rPr>
          <w:rFonts w:hint="eastAsia" w:ascii="仿宋_GB2312" w:hAnsi="仿宋_GB2312" w:eastAsia="仿宋_GB2312" w:cs="仿宋_GB2312"/>
          <w:color w:val="auto"/>
          <w:spacing w:val="-14"/>
          <w:sz w:val="24"/>
        </w:rPr>
        <w:t>），</w:t>
      </w:r>
      <w:r>
        <w:rPr>
          <w:rFonts w:hint="eastAsia" w:ascii="仿宋_GB2312" w:hAnsi="仿宋_GB2312" w:eastAsia="仿宋_GB2312" w:cs="仿宋_GB2312"/>
          <w:color w:val="auto"/>
          <w:spacing w:val="-2"/>
          <w:sz w:val="24"/>
        </w:rPr>
        <w:t>增值税为人民币（大写）:【</w:t>
      </w:r>
      <w:r>
        <w:rPr>
          <w:rFonts w:hint="eastAsia" w:ascii="仿宋_GB2312" w:hAnsi="仿宋_GB2312" w:eastAsia="仿宋_GB2312" w:cs="仿宋_GB2312"/>
          <w:color w:val="auto"/>
          <w:spacing w:val="3"/>
          <w:sz w:val="24"/>
        </w:rPr>
        <w:t>】(¥  【】</w:t>
      </w:r>
      <w:r>
        <w:rPr>
          <w:rFonts w:hint="eastAsia" w:ascii="仿宋_GB2312" w:hAnsi="仿宋_GB2312" w:eastAsia="仿宋_GB2312" w:cs="仿宋_GB2312"/>
          <w:color w:val="auto"/>
          <w:spacing w:val="-3"/>
          <w:sz w:val="24"/>
        </w:rPr>
        <w:t>），</w:t>
      </w:r>
      <w:r>
        <w:rPr>
          <w:rFonts w:hint="eastAsia" w:ascii="仿宋_GB2312" w:hAnsi="仿宋_GB2312" w:eastAsia="仿宋_GB2312" w:cs="仿宋_GB2312"/>
          <w:color w:val="auto"/>
          <w:spacing w:val="3"/>
          <w:sz w:val="24"/>
        </w:rPr>
        <w:t>增值税税率为【6</w:t>
      </w:r>
      <w:r>
        <w:rPr>
          <w:rFonts w:hint="eastAsia" w:ascii="仿宋_GB2312" w:hAnsi="仿宋_GB2312" w:eastAsia="仿宋_GB2312" w:cs="仿宋_GB2312"/>
          <w:color w:val="auto"/>
          <w:spacing w:val="2"/>
          <w:sz w:val="24"/>
        </w:rPr>
        <w:t>】%。如果</w:t>
      </w:r>
      <w:r>
        <w:rPr>
          <w:rFonts w:hint="eastAsia" w:ascii="仿宋_GB2312" w:hAnsi="仿宋_GB2312" w:eastAsia="仿宋_GB2312" w:cs="仿宋_GB2312"/>
          <w:color w:val="auto"/>
          <w:spacing w:val="-4"/>
          <w:sz w:val="24"/>
        </w:rPr>
        <w:t>因国家税法相关规定增值税税率变动，本合同含税金额不变（不含税价和增值税</w:t>
      </w:r>
      <w:r>
        <w:rPr>
          <w:rFonts w:hint="eastAsia" w:ascii="仿宋_GB2312" w:hAnsi="仿宋_GB2312" w:eastAsia="仿宋_GB2312" w:cs="仿宋_GB2312"/>
          <w:color w:val="auto"/>
          <w:spacing w:val="-3"/>
          <w:sz w:val="24"/>
        </w:rPr>
        <w:t>予以相应调整</w:t>
      </w:r>
      <w:r>
        <w:rPr>
          <w:rFonts w:hint="eastAsia" w:ascii="仿宋_GB2312" w:hAnsi="仿宋_GB2312" w:eastAsia="仿宋_GB2312" w:cs="仿宋_GB2312"/>
          <w:color w:val="auto"/>
          <w:spacing w:val="4"/>
          <w:sz w:val="24"/>
        </w:rPr>
        <w:t>），</w:t>
      </w:r>
      <w:r>
        <w:rPr>
          <w:rFonts w:hint="eastAsia" w:ascii="仿宋_GB2312" w:hAnsi="仿宋_GB2312" w:eastAsia="仿宋_GB2312" w:cs="仿宋_GB2312"/>
          <w:color w:val="auto"/>
          <w:spacing w:val="-3"/>
          <w:sz w:val="24"/>
        </w:rPr>
        <w:t>并按含税金额作为付款依据。</w:t>
      </w:r>
    </w:p>
    <w:p>
      <w:pPr>
        <w:pStyle w:val="7"/>
        <w:spacing w:after="0" w:line="560" w:lineRule="exact"/>
        <w:ind w:left="30" w:right="48" w:firstLine="482"/>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4"/>
          <w:sz w:val="24"/>
        </w:rPr>
        <w:t>上述价款已包括履行本合同义务的成果编制、装订、调研、管理、税费、专</w:t>
      </w:r>
      <w:r>
        <w:rPr>
          <w:rFonts w:hint="eastAsia" w:ascii="仿宋_GB2312" w:hAnsi="仿宋_GB2312" w:eastAsia="仿宋_GB2312" w:cs="仿宋_GB2312"/>
          <w:color w:val="auto"/>
          <w:spacing w:val="-8"/>
          <w:sz w:val="24"/>
        </w:rPr>
        <w:t>家咨询费（含会议费、专家费用）等乙方为完成本合同项下服务所需的全部费用，</w:t>
      </w:r>
      <w:r>
        <w:rPr>
          <w:rFonts w:hint="eastAsia" w:ascii="仿宋_GB2312" w:hAnsi="仿宋_GB2312" w:eastAsia="仿宋_GB2312" w:cs="仿宋_GB2312"/>
          <w:color w:val="auto"/>
          <w:spacing w:val="4"/>
          <w:sz w:val="24"/>
        </w:rPr>
        <w:t xml:space="preserve"> </w:t>
      </w:r>
      <w:r>
        <w:rPr>
          <w:rFonts w:hint="eastAsia" w:ascii="仿宋_GB2312" w:hAnsi="仿宋_GB2312" w:eastAsia="仿宋_GB2312" w:cs="仿宋_GB2312"/>
          <w:color w:val="auto"/>
          <w:spacing w:val="-3"/>
          <w:sz w:val="24"/>
        </w:rPr>
        <w:t>在合同实施期间，除另签订补充合同外，乙方不得以</w:t>
      </w:r>
      <w:r>
        <w:rPr>
          <w:rFonts w:hint="eastAsia" w:ascii="仿宋_GB2312" w:hAnsi="仿宋_GB2312" w:eastAsia="仿宋_GB2312" w:cs="仿宋_GB2312"/>
          <w:color w:val="auto"/>
          <w:spacing w:val="-4"/>
          <w:sz w:val="24"/>
        </w:rPr>
        <w:t>任何理由、任何名目提出增</w:t>
      </w:r>
      <w:r>
        <w:rPr>
          <w:rFonts w:hint="eastAsia" w:ascii="仿宋_GB2312" w:hAnsi="仿宋_GB2312" w:eastAsia="仿宋_GB2312" w:cs="仿宋_GB2312"/>
          <w:color w:val="auto"/>
          <w:spacing w:val="-6"/>
          <w:sz w:val="24"/>
        </w:rPr>
        <w:t>加费用的要求。</w:t>
      </w:r>
    </w:p>
    <w:p>
      <w:pPr>
        <w:pStyle w:val="7"/>
        <w:spacing w:after="0" w:line="560" w:lineRule="exact"/>
        <w:ind w:left="30" w:right="48" w:firstLine="482"/>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lang w:val="en-US" w:eastAsia="zh-CN"/>
        </w:rPr>
        <w:t>每次付款前，乙方须提供等额合规发票，否则甲方有权不支付合同款项。甲方出现财务审批延误或政府封账等特殊情况无法及时支付费用，付款可顺延，不视为甲方违约。</w:t>
      </w:r>
    </w:p>
    <w:p>
      <w:pPr>
        <w:pStyle w:val="7"/>
        <w:spacing w:after="0" w:line="560" w:lineRule="exact"/>
        <w:ind w:left="50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9"/>
          <w:sz w:val="24"/>
        </w:rPr>
        <w:t>3.2</w:t>
      </w:r>
      <w:r>
        <w:rPr>
          <w:rFonts w:hint="eastAsia" w:ascii="仿宋_GB2312" w:hAnsi="仿宋_GB2312" w:eastAsia="仿宋_GB2312" w:cs="仿宋_GB2312"/>
          <w:color w:val="auto"/>
          <w:spacing w:val="18"/>
          <w:sz w:val="24"/>
        </w:rPr>
        <w:t xml:space="preserve"> </w:t>
      </w:r>
      <w:r>
        <w:rPr>
          <w:rFonts w:hint="eastAsia" w:ascii="仿宋_GB2312" w:hAnsi="仿宋_GB2312" w:eastAsia="仿宋_GB2312" w:cs="仿宋_GB2312"/>
          <w:color w:val="auto"/>
          <w:spacing w:val="-9"/>
          <w:sz w:val="24"/>
        </w:rPr>
        <w:t>付款方式：</w:t>
      </w:r>
    </w:p>
    <w:p>
      <w:pPr>
        <w:pStyle w:val="7"/>
        <w:spacing w:after="0" w:line="560" w:lineRule="exact"/>
        <w:ind w:left="51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技术服务报酬由甲方分【4】期支付至乙方指定银行账户：</w:t>
      </w:r>
    </w:p>
    <w:p>
      <w:pPr>
        <w:pStyle w:val="7"/>
        <w:spacing w:after="0" w:line="560" w:lineRule="exact"/>
        <w:ind w:left="25" w:right="69" w:firstLine="485"/>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（1）首期：本合同签订且乙方向甲方提出付款申请后15</w:t>
      </w:r>
      <w:r>
        <w:rPr>
          <w:rFonts w:hint="eastAsia" w:ascii="仿宋_GB2312" w:hAnsi="仿宋_GB2312" w:eastAsia="仿宋_GB2312" w:cs="仿宋_GB2312"/>
          <w:color w:val="auto"/>
          <w:spacing w:val="-43"/>
          <w:sz w:val="24"/>
        </w:rPr>
        <w:t xml:space="preserve"> </w:t>
      </w:r>
      <w:r>
        <w:rPr>
          <w:rFonts w:hint="eastAsia" w:ascii="仿宋_GB2312" w:hAnsi="仿宋_GB2312" w:eastAsia="仿宋_GB2312" w:cs="仿宋_GB2312"/>
          <w:color w:val="auto"/>
          <w:spacing w:val="-5"/>
          <w:sz w:val="24"/>
        </w:rPr>
        <w:t>个工作日内，甲方</w:t>
      </w:r>
      <w:r>
        <w:rPr>
          <w:rFonts w:hint="eastAsia" w:ascii="仿宋_GB2312" w:hAnsi="仿宋_GB2312" w:eastAsia="仿宋_GB2312" w:cs="仿宋_GB2312"/>
          <w:color w:val="auto"/>
          <w:spacing w:val="2"/>
          <w:sz w:val="24"/>
        </w:rPr>
        <w:t>向乙方支付本合同含税金额的【</w:t>
      </w:r>
      <w:r>
        <w:rPr>
          <w:rFonts w:hint="eastAsia" w:ascii="仿宋_GB2312" w:hAnsi="仿宋_GB2312" w:eastAsia="仿宋_GB2312" w:cs="仿宋_GB2312"/>
          <w:color w:val="auto"/>
          <w:spacing w:val="2"/>
          <w:sz w:val="24"/>
          <w:u w:val="single"/>
        </w:rPr>
        <w:t>30</w:t>
      </w:r>
      <w:r>
        <w:rPr>
          <w:rFonts w:hint="eastAsia" w:ascii="仿宋_GB2312" w:hAnsi="仿宋_GB2312" w:eastAsia="仿宋_GB2312" w:cs="仿宋_GB2312"/>
          <w:color w:val="auto"/>
          <w:spacing w:val="2"/>
          <w:sz w:val="24"/>
        </w:rPr>
        <w:t xml:space="preserve">】%，即人民币【 </w:t>
      </w:r>
      <w:r>
        <w:rPr>
          <w:rFonts w:hint="eastAsia" w:ascii="仿宋_GB2312" w:hAnsi="仿宋_GB2312" w:eastAsia="仿宋_GB2312" w:cs="仿宋_GB2312"/>
          <w:color w:val="auto"/>
          <w:spacing w:val="1"/>
          <w:sz w:val="24"/>
        </w:rPr>
        <w:t xml:space="preserve">】(¥ 【 </w:t>
      </w:r>
      <w:r>
        <w:rPr>
          <w:rFonts w:hint="eastAsia" w:ascii="仿宋_GB2312" w:hAnsi="仿宋_GB2312" w:eastAsia="仿宋_GB2312" w:cs="仿宋_GB2312"/>
          <w:color w:val="auto"/>
          <w:spacing w:val="-5"/>
          <w:sz w:val="24"/>
        </w:rPr>
        <w:t>元】）。</w:t>
      </w:r>
    </w:p>
    <w:p>
      <w:pPr>
        <w:pStyle w:val="7"/>
        <w:tabs>
          <w:tab w:val="left" w:pos="151"/>
        </w:tabs>
        <w:spacing w:after="0" w:line="560" w:lineRule="exact"/>
        <w:ind w:left="30" w:right="47"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9"/>
          <w:sz w:val="24"/>
        </w:rPr>
        <w:t>（2）第2</w:t>
      </w:r>
      <w:r>
        <w:rPr>
          <w:rFonts w:hint="eastAsia" w:ascii="仿宋_GB2312" w:hAnsi="仿宋_GB2312" w:eastAsia="仿宋_GB2312" w:cs="仿宋_GB2312"/>
          <w:color w:val="auto"/>
          <w:spacing w:val="-44"/>
          <w:sz w:val="24"/>
        </w:rPr>
        <w:t xml:space="preserve"> </w:t>
      </w:r>
      <w:r>
        <w:rPr>
          <w:rFonts w:hint="eastAsia" w:ascii="仿宋_GB2312" w:hAnsi="仿宋_GB2312" w:eastAsia="仿宋_GB2312" w:cs="仿宋_GB2312"/>
          <w:color w:val="auto"/>
          <w:spacing w:val="-9"/>
          <w:sz w:val="24"/>
        </w:rPr>
        <w:t>期：乙方完成【</w:t>
      </w:r>
      <w:r>
        <w:rPr>
          <w:rFonts w:hint="eastAsia" w:ascii="仿宋_GB2312" w:hAnsi="仿宋_GB2312" w:eastAsia="仿宋_GB2312" w:cs="仿宋_GB2312"/>
          <w:color w:val="auto"/>
          <w:spacing w:val="7"/>
          <w:sz w:val="24"/>
        </w:rPr>
        <w:t>海口江东新区近零碳示范区实施方案</w:t>
      </w:r>
      <w:r>
        <w:rPr>
          <w:rFonts w:hint="eastAsia" w:ascii="仿宋_GB2312" w:hAnsi="仿宋_GB2312" w:eastAsia="仿宋_GB2312" w:cs="仿宋_GB2312"/>
          <w:color w:val="auto"/>
          <w:spacing w:val="-10"/>
          <w:sz w:val="24"/>
        </w:rPr>
        <w:t>】（初步方案</w:t>
      </w:r>
      <w:r>
        <w:rPr>
          <w:rFonts w:hint="eastAsia" w:ascii="仿宋_GB2312" w:hAnsi="仿宋_GB2312" w:eastAsia="仿宋_GB2312" w:cs="仿宋_GB2312"/>
          <w:color w:val="auto"/>
          <w:spacing w:val="-17"/>
          <w:sz w:val="24"/>
        </w:rPr>
        <w:t>），</w:t>
      </w:r>
      <w:r>
        <w:rPr>
          <w:rFonts w:hint="eastAsia" w:ascii="仿宋_GB2312" w:hAnsi="仿宋_GB2312" w:eastAsia="仿宋_GB2312" w:cs="仿宋_GB2312"/>
          <w:color w:val="auto"/>
          <w:spacing w:val="-8"/>
          <w:sz w:val="24"/>
        </w:rPr>
        <w:t>并上报【甲方】审核通过，且乙方向甲方提</w:t>
      </w:r>
      <w:r>
        <w:rPr>
          <w:rFonts w:hint="eastAsia" w:ascii="仿宋_GB2312" w:hAnsi="仿宋_GB2312" w:eastAsia="仿宋_GB2312" w:cs="仿宋_GB2312"/>
          <w:color w:val="auto"/>
          <w:spacing w:val="-9"/>
          <w:sz w:val="24"/>
        </w:rPr>
        <w:t>出付款申请后15</w:t>
      </w:r>
      <w:r>
        <w:rPr>
          <w:rFonts w:hint="eastAsia" w:ascii="仿宋_GB2312" w:hAnsi="仿宋_GB2312" w:eastAsia="仿宋_GB2312" w:cs="仿宋_GB2312"/>
          <w:color w:val="auto"/>
          <w:spacing w:val="-43"/>
          <w:sz w:val="24"/>
        </w:rPr>
        <w:t xml:space="preserve"> </w:t>
      </w:r>
      <w:r>
        <w:rPr>
          <w:rFonts w:hint="eastAsia" w:ascii="仿宋_GB2312" w:hAnsi="仿宋_GB2312" w:eastAsia="仿宋_GB2312" w:cs="仿宋_GB2312"/>
          <w:color w:val="auto"/>
          <w:spacing w:val="-9"/>
          <w:sz w:val="24"/>
        </w:rPr>
        <w:t>个工作日内，</w:t>
      </w:r>
      <w:r>
        <w:rPr>
          <w:rFonts w:hint="eastAsia" w:ascii="仿宋_GB2312" w:hAnsi="仿宋_GB2312" w:eastAsia="仿宋_GB2312" w:cs="仿宋_GB2312"/>
          <w:color w:val="auto"/>
          <w:spacing w:val="7"/>
          <w:sz w:val="24"/>
        </w:rPr>
        <w:t>甲方向乙方支付本合同含税金额的【30】%，即人民币【</w:t>
      </w:r>
      <w:r>
        <w:rPr>
          <w:rFonts w:hint="eastAsia" w:ascii="仿宋_GB2312" w:hAnsi="仿宋_GB2312" w:eastAsia="仿宋_GB2312" w:cs="仿宋_GB2312"/>
          <w:color w:val="auto"/>
          <w:spacing w:val="6"/>
          <w:sz w:val="24"/>
        </w:rPr>
        <w:t>】</w:t>
      </w:r>
      <w:r>
        <w:rPr>
          <w:rFonts w:hint="eastAsia" w:ascii="仿宋_GB2312" w:hAnsi="仿宋_GB2312" w:eastAsia="仿宋_GB2312" w:cs="仿宋_GB2312"/>
          <w:color w:val="auto"/>
          <w:spacing w:val="-3"/>
          <w:sz w:val="24"/>
        </w:rPr>
        <w:t>(¥ 【】）。</w:t>
      </w:r>
    </w:p>
    <w:p>
      <w:pPr>
        <w:pStyle w:val="7"/>
        <w:spacing w:after="0" w:line="560" w:lineRule="exact"/>
        <w:ind w:left="36" w:right="120" w:firstLine="475"/>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（3）第3期：根据甲方意见修改完善并提交送审成果，该成果经专家评审</w:t>
      </w:r>
      <w:r>
        <w:rPr>
          <w:rFonts w:hint="eastAsia" w:ascii="仿宋_GB2312" w:hAnsi="仿宋_GB2312" w:eastAsia="仿宋_GB2312" w:cs="仿宋_GB2312"/>
          <w:color w:val="auto"/>
          <w:spacing w:val="-2"/>
          <w:sz w:val="24"/>
        </w:rPr>
        <w:t>通过并经甲方书面验收通过，且乙方向甲方提出付款申请后15</w:t>
      </w:r>
      <w:r>
        <w:rPr>
          <w:rFonts w:hint="eastAsia" w:ascii="仿宋_GB2312" w:hAnsi="仿宋_GB2312" w:eastAsia="仿宋_GB2312" w:cs="仿宋_GB2312"/>
          <w:color w:val="auto"/>
          <w:spacing w:val="-33"/>
          <w:sz w:val="24"/>
        </w:rPr>
        <w:t xml:space="preserve"> </w:t>
      </w:r>
      <w:r>
        <w:rPr>
          <w:rFonts w:hint="eastAsia" w:ascii="仿宋_GB2312" w:hAnsi="仿宋_GB2312" w:eastAsia="仿宋_GB2312" w:cs="仿宋_GB2312"/>
          <w:color w:val="auto"/>
          <w:spacing w:val="-2"/>
          <w:sz w:val="24"/>
        </w:rPr>
        <w:t>个工作日内，甲</w:t>
      </w:r>
      <w:r>
        <w:rPr>
          <w:rFonts w:hint="eastAsia" w:ascii="仿宋_GB2312" w:hAnsi="仿宋_GB2312" w:eastAsia="仿宋_GB2312" w:cs="仿宋_GB2312"/>
          <w:color w:val="auto"/>
          <w:spacing w:val="12"/>
          <w:sz w:val="24"/>
        </w:rPr>
        <w:t>方向乙方支付本合同含税金额的【30】%，</w:t>
      </w:r>
      <w:r>
        <w:rPr>
          <w:rFonts w:hint="eastAsia" w:ascii="仿宋_GB2312" w:hAnsi="仿宋_GB2312" w:eastAsia="仿宋_GB2312" w:cs="仿宋_GB2312"/>
          <w:color w:val="auto"/>
          <w:spacing w:val="-51"/>
          <w:sz w:val="24"/>
        </w:rPr>
        <w:t xml:space="preserve"> </w:t>
      </w:r>
      <w:r>
        <w:rPr>
          <w:rFonts w:hint="eastAsia" w:ascii="仿宋_GB2312" w:hAnsi="仿宋_GB2312" w:eastAsia="仿宋_GB2312" w:cs="仿宋_GB2312"/>
          <w:color w:val="auto"/>
          <w:spacing w:val="12"/>
          <w:sz w:val="24"/>
        </w:rPr>
        <w:t>即人民币【】</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pacing w:val="4"/>
          <w:sz w:val="24"/>
        </w:rPr>
        <w:t>(¥【 】）。</w:t>
      </w:r>
    </w:p>
    <w:p>
      <w:pPr>
        <w:pStyle w:val="7"/>
        <w:spacing w:after="0" w:line="560" w:lineRule="exact"/>
        <w:ind w:left="35" w:firstLine="476"/>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（4）第</w:t>
      </w:r>
      <w:r>
        <w:rPr>
          <w:rFonts w:hint="eastAsia" w:ascii="仿宋_GB2312" w:hAnsi="仿宋_GB2312" w:eastAsia="仿宋_GB2312" w:cs="仿宋_GB2312"/>
          <w:color w:val="auto"/>
          <w:spacing w:val="-27"/>
          <w:sz w:val="24"/>
        </w:rPr>
        <w:t xml:space="preserve"> </w:t>
      </w:r>
      <w:r>
        <w:rPr>
          <w:rFonts w:hint="eastAsia" w:ascii="仿宋_GB2312" w:hAnsi="仿宋_GB2312" w:eastAsia="仿宋_GB2312" w:cs="仿宋_GB2312"/>
          <w:color w:val="auto"/>
          <w:spacing w:val="-6"/>
          <w:sz w:val="24"/>
        </w:rPr>
        <w:t>4</w:t>
      </w:r>
      <w:r>
        <w:rPr>
          <w:rFonts w:hint="eastAsia" w:ascii="仿宋_GB2312" w:hAnsi="仿宋_GB2312" w:eastAsia="仿宋_GB2312" w:cs="仿宋_GB2312"/>
          <w:color w:val="auto"/>
          <w:spacing w:val="-44"/>
          <w:sz w:val="24"/>
        </w:rPr>
        <w:t xml:space="preserve"> </w:t>
      </w:r>
      <w:r>
        <w:rPr>
          <w:rFonts w:hint="eastAsia" w:ascii="仿宋_GB2312" w:hAnsi="仿宋_GB2312" w:eastAsia="仿宋_GB2312" w:cs="仿宋_GB2312"/>
          <w:color w:val="auto"/>
          <w:spacing w:val="-6"/>
          <w:sz w:val="24"/>
        </w:rPr>
        <w:t>期：实施方案正式通过，且乙方向甲方提出付款申请</w:t>
      </w:r>
      <w:r>
        <w:rPr>
          <w:rFonts w:hint="eastAsia" w:ascii="仿宋_GB2312" w:hAnsi="仿宋_GB2312" w:eastAsia="仿宋_GB2312" w:cs="仿宋_GB2312"/>
          <w:color w:val="auto"/>
          <w:spacing w:val="-7"/>
          <w:sz w:val="24"/>
        </w:rPr>
        <w:t>后15</w:t>
      </w:r>
      <w:r>
        <w:rPr>
          <w:rFonts w:hint="eastAsia" w:ascii="仿宋_GB2312" w:hAnsi="仿宋_GB2312" w:eastAsia="仿宋_GB2312" w:cs="仿宋_GB2312"/>
          <w:color w:val="auto"/>
          <w:spacing w:val="-44"/>
          <w:sz w:val="24"/>
        </w:rPr>
        <w:t xml:space="preserve"> </w:t>
      </w:r>
      <w:r>
        <w:rPr>
          <w:rFonts w:hint="eastAsia" w:ascii="仿宋_GB2312" w:hAnsi="仿宋_GB2312" w:eastAsia="仿宋_GB2312" w:cs="仿宋_GB2312"/>
          <w:color w:val="auto"/>
          <w:spacing w:val="-7"/>
          <w:sz w:val="24"/>
        </w:rPr>
        <w:t>个工</w:t>
      </w:r>
      <w:r>
        <w:rPr>
          <w:rFonts w:hint="eastAsia" w:ascii="仿宋_GB2312" w:hAnsi="仿宋_GB2312" w:eastAsia="仿宋_GB2312" w:cs="仿宋_GB2312"/>
          <w:color w:val="auto"/>
          <w:spacing w:val="-3"/>
          <w:sz w:val="24"/>
        </w:rPr>
        <w:t>作日内，甲方向乙方支付本合同含税金额的【10】%，即人民</w:t>
      </w:r>
      <w:r>
        <w:rPr>
          <w:rFonts w:hint="eastAsia" w:ascii="仿宋_GB2312" w:hAnsi="仿宋_GB2312" w:eastAsia="仿宋_GB2312" w:cs="仿宋_GB2312"/>
          <w:color w:val="auto"/>
          <w:spacing w:val="-4"/>
          <w:sz w:val="24"/>
        </w:rPr>
        <w:t>币【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pacing w:val="4"/>
          <w:sz w:val="24"/>
        </w:rPr>
        <w:t>(¥ 【 】）。</w:t>
      </w:r>
    </w:p>
    <w:p>
      <w:pPr>
        <w:pStyle w:val="7"/>
        <w:spacing w:after="0" w:line="560" w:lineRule="exact"/>
        <w:ind w:left="524"/>
        <w:outlineLvl w:val="0"/>
        <w:rPr>
          <w:rFonts w:hint="eastAsia" w:ascii="仿宋_GB2312" w:hAnsi="仿宋_GB2312" w:eastAsia="仿宋_GB2312" w:cs="仿宋_GB2312"/>
          <w:b/>
          <w:bCs/>
          <w:color w:val="auto"/>
          <w:spacing w:val="-6"/>
          <w:sz w:val="24"/>
        </w:rPr>
      </w:pPr>
      <w:r>
        <w:rPr>
          <w:rFonts w:hint="eastAsia" w:ascii="仿宋_GB2312" w:hAnsi="仿宋_GB2312" w:eastAsia="仿宋_GB2312" w:cs="仿宋_GB2312"/>
          <w:b/>
          <w:bCs/>
          <w:color w:val="auto"/>
          <w:spacing w:val="-6"/>
          <w:sz w:val="24"/>
        </w:rPr>
        <w:t>第四条 双方的权利和义务</w:t>
      </w:r>
    </w:p>
    <w:p>
      <w:pPr>
        <w:pStyle w:val="7"/>
        <w:spacing w:after="0" w:line="560" w:lineRule="exact"/>
        <w:ind w:left="505"/>
        <w:outlineLvl w:val="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4.1</w:t>
      </w:r>
      <w:r>
        <w:rPr>
          <w:rFonts w:hint="eastAsia" w:ascii="仿宋_GB2312" w:hAnsi="仿宋_GB2312" w:eastAsia="仿宋_GB2312" w:cs="仿宋_GB2312"/>
          <w:color w:val="auto"/>
          <w:spacing w:val="49"/>
          <w:sz w:val="24"/>
        </w:rPr>
        <w:t xml:space="preserve"> </w:t>
      </w:r>
      <w:r>
        <w:rPr>
          <w:rFonts w:hint="eastAsia" w:ascii="仿宋_GB2312" w:hAnsi="仿宋_GB2312" w:eastAsia="仿宋_GB2312" w:cs="仿宋_GB2312"/>
          <w:color w:val="auto"/>
          <w:spacing w:val="-5"/>
          <w:sz w:val="24"/>
        </w:rPr>
        <w:t>甲方的权利与义务</w:t>
      </w:r>
    </w:p>
    <w:p>
      <w:pPr>
        <w:pStyle w:val="7"/>
        <w:spacing w:after="0" w:line="560" w:lineRule="exact"/>
        <w:ind w:left="53" w:right="15" w:firstLine="45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（1）甲方有权向乙方询问项目工作进展及相关情况，并要求乙方在指定时</w:t>
      </w:r>
      <w:r>
        <w:rPr>
          <w:rFonts w:hint="eastAsia" w:ascii="仿宋_GB2312" w:hAnsi="仿宋_GB2312" w:eastAsia="仿宋_GB2312" w:cs="仿宋_GB2312"/>
          <w:color w:val="auto"/>
          <w:spacing w:val="-9"/>
          <w:sz w:val="24"/>
        </w:rPr>
        <w:t>间内做出答复。</w:t>
      </w:r>
    </w:p>
    <w:p>
      <w:pPr>
        <w:pStyle w:val="7"/>
        <w:spacing w:after="0" w:line="560" w:lineRule="exact"/>
        <w:ind w:left="50" w:right="33" w:firstLine="46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（2）甲方有权对乙方提交的阶段性成果、最终成果送审稿等相关文件进行</w:t>
      </w:r>
      <w:r>
        <w:rPr>
          <w:rFonts w:hint="eastAsia" w:ascii="仿宋_GB2312" w:hAnsi="仿宋_GB2312" w:eastAsia="仿宋_GB2312" w:cs="仿宋_GB2312"/>
          <w:color w:val="auto"/>
          <w:spacing w:val="-7"/>
          <w:sz w:val="24"/>
        </w:rPr>
        <w:t>审核并提出修改意见。</w:t>
      </w:r>
    </w:p>
    <w:p>
      <w:pPr>
        <w:pStyle w:val="7"/>
        <w:spacing w:after="0" w:line="560" w:lineRule="exact"/>
        <w:ind w:left="34"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（3）如乙方工作人员未按照本合同要求履行职责，甲方有权要求乙方限期</w:t>
      </w:r>
      <w:r>
        <w:rPr>
          <w:rFonts w:hint="eastAsia" w:ascii="仿宋_GB2312" w:hAnsi="仿宋_GB2312" w:eastAsia="仿宋_GB2312" w:cs="仿宋_GB2312"/>
          <w:color w:val="auto"/>
          <w:spacing w:val="-3"/>
          <w:sz w:val="24"/>
        </w:rPr>
        <w:t>更换人员并按本合同要求履行职责。</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（4）甲方对乙方在委托权限范围内完成委托事项负有指导、监督责任。</w:t>
      </w:r>
    </w:p>
    <w:p>
      <w:pPr>
        <w:pStyle w:val="7"/>
        <w:spacing w:after="0" w:line="560" w:lineRule="exact"/>
        <w:ind w:left="31"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（5）甲方应配合乙方的现场调研工作，</w:t>
      </w:r>
      <w:r>
        <w:rPr>
          <w:rFonts w:hint="eastAsia" w:ascii="仿宋_GB2312" w:hAnsi="仿宋_GB2312" w:eastAsia="仿宋_GB2312" w:cs="仿宋_GB2312"/>
          <w:color w:val="auto"/>
          <w:sz w:val="24"/>
        </w:rPr>
        <w:t>并</w:t>
      </w:r>
      <w:r>
        <w:rPr>
          <w:rFonts w:hint="eastAsia" w:ascii="仿宋_GB2312" w:hAnsi="仿宋_GB2312" w:eastAsia="仿宋_GB2312" w:cs="仿宋_GB2312"/>
          <w:color w:val="auto"/>
          <w:spacing w:val="-3"/>
          <w:sz w:val="24"/>
        </w:rPr>
        <w:t>在合同签订后十五日内提交</w:t>
      </w:r>
      <w:r>
        <w:rPr>
          <w:rFonts w:hint="eastAsia" w:ascii="仿宋_GB2312" w:hAnsi="仿宋_GB2312" w:eastAsia="仿宋_GB2312" w:cs="仿宋_GB2312"/>
          <w:color w:val="auto"/>
          <w:spacing w:val="-4"/>
          <w:sz w:val="24"/>
        </w:rPr>
        <w:t>基础资料及文件，并对其完整</w:t>
      </w:r>
      <w:r>
        <w:rPr>
          <w:rFonts w:hint="eastAsia" w:ascii="仿宋_GB2312" w:hAnsi="仿宋_GB2312" w:eastAsia="仿宋_GB2312" w:cs="仿宋_GB2312"/>
          <w:color w:val="auto"/>
          <w:spacing w:val="-1"/>
          <w:sz w:val="24"/>
        </w:rPr>
        <w:t>性、正确性及时限性负责。</w:t>
      </w:r>
    </w:p>
    <w:p>
      <w:pPr>
        <w:pStyle w:val="7"/>
        <w:spacing w:after="0" w:line="560" w:lineRule="exact"/>
        <w:ind w:left="30" w:right="6"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（6）甲方不得要求乙方违反国家和地方的法律法规及相关技术标准、规范、</w:t>
      </w:r>
      <w:r>
        <w:rPr>
          <w:rFonts w:hint="eastAsia" w:ascii="仿宋_GB2312" w:hAnsi="仿宋_GB2312" w:eastAsia="仿宋_GB2312" w:cs="仿宋_GB2312"/>
          <w:color w:val="auto"/>
          <w:spacing w:val="-4"/>
          <w:sz w:val="24"/>
        </w:rPr>
        <w:t>规定等进行规划设计工作。</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（7）甲方应按照本合同的约定向乙方支付服务费用。</w:t>
      </w:r>
    </w:p>
    <w:p>
      <w:pPr>
        <w:pStyle w:val="7"/>
        <w:spacing w:after="0" w:line="560" w:lineRule="exact"/>
        <w:ind w:left="32" w:right="116"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（8）甲方应当协助乙方与外部关系的协调工作（包括但不限于当地政府主管</w:t>
      </w:r>
      <w:r>
        <w:rPr>
          <w:rFonts w:hint="eastAsia" w:ascii="仿宋_GB2312" w:hAnsi="仿宋_GB2312" w:eastAsia="仿宋_GB2312" w:cs="仿宋_GB2312"/>
          <w:color w:val="auto"/>
          <w:spacing w:val="-2"/>
          <w:sz w:val="24"/>
        </w:rPr>
        <w:t>部门、行业协会、相关企业等</w:t>
      </w:r>
      <w:r>
        <w:rPr>
          <w:rFonts w:hint="eastAsia" w:ascii="仿宋_GB2312" w:hAnsi="仿宋_GB2312" w:eastAsia="仿宋_GB2312" w:cs="仿宋_GB2312"/>
          <w:color w:val="auto"/>
          <w:spacing w:val="5"/>
          <w:sz w:val="24"/>
        </w:rPr>
        <w:t>），</w:t>
      </w:r>
      <w:r>
        <w:rPr>
          <w:rFonts w:hint="eastAsia" w:ascii="仿宋_GB2312" w:hAnsi="仿宋_GB2312" w:eastAsia="仿宋_GB2312" w:cs="仿宋_GB2312"/>
          <w:color w:val="auto"/>
          <w:spacing w:val="-2"/>
          <w:sz w:val="24"/>
        </w:rPr>
        <w:t>为乙方履行合同提供必要的外部条件。</w:t>
      </w:r>
    </w:p>
    <w:p>
      <w:pPr>
        <w:pStyle w:val="7"/>
        <w:spacing w:after="0" w:line="560" w:lineRule="exact"/>
        <w:ind w:left="505"/>
        <w:outlineLvl w:val="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4.2</w:t>
      </w:r>
      <w:r>
        <w:rPr>
          <w:rFonts w:hint="eastAsia" w:ascii="仿宋_GB2312" w:hAnsi="仿宋_GB2312" w:eastAsia="仿宋_GB2312" w:cs="仿宋_GB2312"/>
          <w:color w:val="auto"/>
          <w:spacing w:val="36"/>
          <w:sz w:val="24"/>
        </w:rPr>
        <w:t xml:space="preserve"> </w:t>
      </w:r>
      <w:r>
        <w:rPr>
          <w:rFonts w:hint="eastAsia" w:ascii="仿宋_GB2312" w:hAnsi="仿宋_GB2312" w:eastAsia="仿宋_GB2312" w:cs="仿宋_GB2312"/>
          <w:color w:val="auto"/>
          <w:spacing w:val="-4"/>
          <w:sz w:val="24"/>
        </w:rPr>
        <w:t>乙方的权利与义务</w:t>
      </w:r>
    </w:p>
    <w:p>
      <w:pPr>
        <w:pStyle w:val="7"/>
        <w:spacing w:after="0" w:line="560" w:lineRule="exact"/>
        <w:ind w:left="31" w:right="88"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（1）为保证项目成果的质量，乙方在合同履行期间，应按照服务内容要求</w:t>
      </w:r>
      <w:r>
        <w:rPr>
          <w:rFonts w:hint="eastAsia" w:ascii="仿宋_GB2312" w:hAnsi="仿宋_GB2312" w:eastAsia="仿宋_GB2312" w:cs="仿宋_GB2312"/>
          <w:color w:val="auto"/>
          <w:spacing w:val="-3"/>
          <w:sz w:val="24"/>
        </w:rPr>
        <w:t>组织专家队伍，成立专门的项目小组，并保障项目</w:t>
      </w:r>
      <w:r>
        <w:rPr>
          <w:rFonts w:hint="eastAsia" w:ascii="仿宋_GB2312" w:hAnsi="仿宋_GB2312" w:eastAsia="仿宋_GB2312" w:cs="仿宋_GB2312"/>
          <w:color w:val="auto"/>
          <w:spacing w:val="-4"/>
          <w:sz w:val="24"/>
        </w:rPr>
        <w:t>团队成员到位。乙方应保证本</w:t>
      </w:r>
      <w:r>
        <w:rPr>
          <w:rFonts w:hint="eastAsia" w:ascii="仿宋_GB2312" w:hAnsi="仿宋_GB2312" w:eastAsia="仿宋_GB2312" w:cs="仿宋_GB2312"/>
          <w:color w:val="auto"/>
          <w:spacing w:val="-3"/>
          <w:sz w:val="24"/>
        </w:rPr>
        <w:t>合同的主要核心成员在项目实施期间全程参与项目</w:t>
      </w:r>
      <w:r>
        <w:rPr>
          <w:rFonts w:hint="eastAsia" w:ascii="仿宋_GB2312" w:hAnsi="仿宋_GB2312" w:eastAsia="仿宋_GB2312" w:cs="仿宋_GB2312"/>
          <w:color w:val="auto"/>
          <w:spacing w:val="-4"/>
          <w:sz w:val="24"/>
        </w:rPr>
        <w:t>实质性工作，</w:t>
      </w:r>
      <w:r>
        <w:rPr>
          <w:rFonts w:hint="eastAsia" w:ascii="仿宋_GB2312" w:hAnsi="仿宋_GB2312" w:eastAsia="仿宋_GB2312" w:cs="仿宋_GB2312"/>
          <w:color w:val="auto"/>
          <w:spacing w:val="-2"/>
          <w:sz w:val="24"/>
        </w:rPr>
        <w:t>如确需更换项目团队成员，乙方应</w:t>
      </w:r>
      <w:r>
        <w:rPr>
          <w:rFonts w:hint="eastAsia" w:ascii="仿宋_GB2312" w:hAnsi="仿宋_GB2312" w:eastAsia="仿宋_GB2312" w:cs="仿宋_GB2312"/>
          <w:color w:val="auto"/>
          <w:spacing w:val="-3"/>
          <w:sz w:val="24"/>
        </w:rPr>
        <w:t>事先征得甲方的书面同意，且接替人员的职位、资历应与原定成员相当。</w:t>
      </w:r>
    </w:p>
    <w:p>
      <w:pPr>
        <w:pStyle w:val="7"/>
        <w:spacing w:after="0" w:line="560" w:lineRule="exact"/>
        <w:ind w:left="33" w:right="17"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8"/>
          <w:sz w:val="24"/>
        </w:rPr>
        <w:t>（2）乙方必须按本合同约定的内容、标准和期限完成项目工</w:t>
      </w:r>
      <w:r>
        <w:rPr>
          <w:rFonts w:hint="eastAsia" w:ascii="仿宋_GB2312" w:hAnsi="仿宋_GB2312" w:eastAsia="仿宋_GB2312" w:cs="仿宋_GB2312"/>
          <w:color w:val="auto"/>
          <w:spacing w:val="-9"/>
          <w:sz w:val="24"/>
        </w:rPr>
        <w:t>作，解答疑问，</w:t>
      </w:r>
      <w:r>
        <w:rPr>
          <w:rFonts w:hint="eastAsia" w:ascii="仿宋_GB2312" w:hAnsi="仿宋_GB2312" w:eastAsia="仿宋_GB2312" w:cs="仿宋_GB2312"/>
          <w:color w:val="auto"/>
          <w:spacing w:val="3"/>
          <w:sz w:val="24"/>
        </w:rPr>
        <w:t>并按照甲方要求将完成委托事项的相关资料交给甲方，并对提交的成果质量负</w:t>
      </w:r>
      <w:r>
        <w:rPr>
          <w:rFonts w:hint="eastAsia" w:ascii="仿宋_GB2312" w:hAnsi="仿宋_GB2312" w:eastAsia="仿宋_GB2312" w:cs="仿宋_GB2312"/>
          <w:color w:val="auto"/>
          <w:spacing w:val="-2"/>
          <w:sz w:val="24"/>
        </w:rPr>
        <w:t>责。如甲方需对工作进度进行调整，甲方、乙方应共同协商解决。</w:t>
      </w:r>
    </w:p>
    <w:p>
      <w:pPr>
        <w:pStyle w:val="7"/>
        <w:spacing w:after="0" w:line="560" w:lineRule="exact"/>
        <w:ind w:left="31" w:right="87"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（3）乙方应配合甲方验收人员的工作,对</w:t>
      </w:r>
      <w:r>
        <w:rPr>
          <w:rFonts w:hint="eastAsia" w:ascii="仿宋_GB2312" w:hAnsi="仿宋_GB2312" w:eastAsia="仿宋_GB2312" w:cs="仿宋_GB2312"/>
          <w:color w:val="auto"/>
          <w:spacing w:val="-4"/>
          <w:sz w:val="24"/>
        </w:rPr>
        <w:t>于验收过程中发现的问题，乙方应</w:t>
      </w:r>
      <w:r>
        <w:rPr>
          <w:rFonts w:hint="eastAsia" w:ascii="仿宋_GB2312" w:hAnsi="仿宋_GB2312" w:eastAsia="仿宋_GB2312" w:cs="仿宋_GB2312"/>
          <w:color w:val="auto"/>
          <w:spacing w:val="-3"/>
          <w:sz w:val="24"/>
        </w:rPr>
        <w:t>及时改正，并按照甲方提供的书面成果审查或审批</w:t>
      </w:r>
      <w:r>
        <w:rPr>
          <w:rFonts w:hint="eastAsia" w:ascii="仿宋_GB2312" w:hAnsi="仿宋_GB2312" w:eastAsia="仿宋_GB2312" w:cs="仿宋_GB2312"/>
          <w:color w:val="auto"/>
          <w:spacing w:val="-4"/>
          <w:sz w:val="24"/>
        </w:rPr>
        <w:t>意见进行修改和完善，向甲方</w:t>
      </w:r>
      <w:r>
        <w:rPr>
          <w:rFonts w:hint="eastAsia" w:ascii="仿宋_GB2312" w:hAnsi="仿宋_GB2312" w:eastAsia="仿宋_GB2312" w:cs="仿宋_GB2312"/>
          <w:color w:val="auto"/>
          <w:spacing w:val="-3"/>
          <w:sz w:val="24"/>
        </w:rPr>
        <w:t>提供相应的书面报告说明成果修改的详细情况，以</w:t>
      </w:r>
      <w:r>
        <w:rPr>
          <w:rFonts w:hint="eastAsia" w:ascii="仿宋_GB2312" w:hAnsi="仿宋_GB2312" w:eastAsia="仿宋_GB2312" w:cs="仿宋_GB2312"/>
          <w:color w:val="auto"/>
          <w:spacing w:val="-4"/>
          <w:sz w:val="24"/>
        </w:rPr>
        <w:t>符合国家法律法规、规范性文</w:t>
      </w:r>
      <w:r>
        <w:rPr>
          <w:rFonts w:hint="eastAsia" w:ascii="仿宋_GB2312" w:hAnsi="仿宋_GB2312" w:eastAsia="仿宋_GB2312" w:cs="仿宋_GB2312"/>
          <w:color w:val="auto"/>
          <w:spacing w:val="-5"/>
          <w:sz w:val="24"/>
        </w:rPr>
        <w:t>件及甲方的需要。如乙方提供的成果文件不符合本合同质</w:t>
      </w:r>
      <w:r>
        <w:rPr>
          <w:rFonts w:hint="eastAsia" w:ascii="仿宋_GB2312" w:hAnsi="仿宋_GB2312" w:eastAsia="仿宋_GB2312" w:cs="仿宋_GB2312"/>
          <w:color w:val="auto"/>
          <w:spacing w:val="-6"/>
          <w:sz w:val="24"/>
        </w:rPr>
        <w:t>量要求或甲方需求，</w:t>
      </w:r>
      <w:r>
        <w:rPr>
          <w:rFonts w:hint="eastAsia" w:ascii="仿宋_GB2312" w:hAnsi="仿宋_GB2312" w:eastAsia="仿宋_GB2312" w:cs="仿宋_GB2312"/>
          <w:color w:val="auto"/>
          <w:spacing w:val="-53"/>
          <w:sz w:val="24"/>
        </w:rPr>
        <w:t xml:space="preserve"> </w:t>
      </w:r>
      <w:r>
        <w:rPr>
          <w:rFonts w:hint="eastAsia" w:ascii="仿宋_GB2312" w:hAnsi="仿宋_GB2312" w:eastAsia="仿宋_GB2312" w:cs="仿宋_GB2312"/>
          <w:color w:val="auto"/>
          <w:spacing w:val="-6"/>
          <w:sz w:val="24"/>
        </w:rPr>
        <w:t>应</w:t>
      </w:r>
      <w:r>
        <w:rPr>
          <w:rFonts w:hint="eastAsia" w:ascii="仿宋_GB2312" w:hAnsi="仿宋_GB2312" w:eastAsia="仿宋_GB2312" w:cs="仿宋_GB2312"/>
          <w:color w:val="auto"/>
          <w:spacing w:val="-7"/>
          <w:sz w:val="24"/>
        </w:rPr>
        <w:t>在甲方指定期限内无条件修改，其费用由乙方自行承担。修改期间，甲方付款时</w:t>
      </w:r>
      <w:r>
        <w:rPr>
          <w:rFonts w:hint="eastAsia" w:ascii="仿宋_GB2312" w:hAnsi="仿宋_GB2312" w:eastAsia="仿宋_GB2312" w:cs="仿宋_GB2312"/>
          <w:color w:val="auto"/>
          <w:spacing w:val="-2"/>
          <w:sz w:val="24"/>
        </w:rPr>
        <w:t>间相应顺延。未经甲方书面同意，乙方不得随意修改已经验收的成果文件。</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（4）乙方有维护甲方声誉的义务。</w:t>
      </w:r>
    </w:p>
    <w:p>
      <w:pPr>
        <w:pStyle w:val="7"/>
        <w:spacing w:after="0" w:line="560" w:lineRule="exact"/>
        <w:ind w:left="33" w:right="6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（5）乙方应根据甲方的要求，参加与本项目相关的工作会议，并在项目推</w:t>
      </w:r>
      <w:r>
        <w:rPr>
          <w:rFonts w:hint="eastAsia" w:ascii="仿宋_GB2312" w:hAnsi="仿宋_GB2312" w:eastAsia="仿宋_GB2312" w:cs="仿宋_GB2312"/>
          <w:color w:val="auto"/>
          <w:spacing w:val="-3"/>
          <w:sz w:val="24"/>
        </w:rPr>
        <w:t>进过程中向甲方提供相关的咨询服务，及时解</w:t>
      </w:r>
      <w:r>
        <w:rPr>
          <w:rFonts w:hint="eastAsia" w:ascii="仿宋_GB2312" w:hAnsi="仿宋_GB2312" w:eastAsia="仿宋_GB2312" w:cs="仿宋_GB2312"/>
          <w:color w:val="auto"/>
          <w:spacing w:val="-4"/>
          <w:sz w:val="24"/>
        </w:rPr>
        <w:t>答甲方所提出的相关问题，必要时</w:t>
      </w:r>
      <w:r>
        <w:rPr>
          <w:rFonts w:hint="eastAsia" w:ascii="仿宋_GB2312" w:hAnsi="仿宋_GB2312" w:eastAsia="仿宋_GB2312" w:cs="仿宋_GB2312"/>
          <w:color w:val="auto"/>
          <w:spacing w:val="-3"/>
          <w:sz w:val="24"/>
        </w:rPr>
        <w:t>给予协助；配合甲方组织、举办本合同范围内项目各工作</w:t>
      </w:r>
      <w:r>
        <w:rPr>
          <w:rFonts w:hint="eastAsia" w:ascii="仿宋_GB2312" w:hAnsi="仿宋_GB2312" w:eastAsia="仿宋_GB2312" w:cs="仿宋_GB2312"/>
          <w:color w:val="auto"/>
          <w:spacing w:val="-4"/>
          <w:sz w:val="24"/>
        </w:rPr>
        <w:t>阶段的汇报、审查、研</w:t>
      </w:r>
      <w:r>
        <w:rPr>
          <w:rFonts w:hint="eastAsia" w:ascii="仿宋_GB2312" w:hAnsi="仿宋_GB2312" w:eastAsia="仿宋_GB2312" w:cs="仿宋_GB2312"/>
          <w:color w:val="auto"/>
          <w:spacing w:val="-3"/>
          <w:sz w:val="24"/>
        </w:rPr>
        <w:t>讨等工作，并负责汇报或解答相应的问题；协</w:t>
      </w:r>
      <w:r>
        <w:rPr>
          <w:rFonts w:hint="eastAsia" w:ascii="仿宋_GB2312" w:hAnsi="仿宋_GB2312" w:eastAsia="仿宋_GB2312" w:cs="仿宋_GB2312"/>
          <w:color w:val="auto"/>
          <w:spacing w:val="-4"/>
          <w:sz w:val="24"/>
        </w:rPr>
        <w:t>助甲方进行项目送审、报批及参与</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pacing w:val="-5"/>
          <w:sz w:val="24"/>
        </w:rPr>
        <w:t>专家评审会等有关事宜。</w:t>
      </w:r>
    </w:p>
    <w:p>
      <w:pPr>
        <w:pStyle w:val="7"/>
        <w:spacing w:after="0" w:line="560" w:lineRule="exact"/>
        <w:ind w:left="30" w:right="62"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（6）乙方应依据合同在咨询服务工作过程中，接受甲方或甲方聘请的咨询</w:t>
      </w:r>
      <w:r>
        <w:rPr>
          <w:rFonts w:hint="eastAsia" w:ascii="仿宋_GB2312" w:hAnsi="仿宋_GB2312" w:eastAsia="仿宋_GB2312" w:cs="仿宋_GB2312"/>
          <w:color w:val="auto"/>
          <w:spacing w:val="-3"/>
          <w:sz w:val="24"/>
        </w:rPr>
        <w:t>单位或评审机构的咨询、评审、检查（如有）。但咨</w:t>
      </w:r>
      <w:r>
        <w:rPr>
          <w:rFonts w:hint="eastAsia" w:ascii="仿宋_GB2312" w:hAnsi="仿宋_GB2312" w:eastAsia="仿宋_GB2312" w:cs="仿宋_GB2312"/>
          <w:color w:val="auto"/>
          <w:spacing w:val="-4"/>
          <w:sz w:val="24"/>
        </w:rPr>
        <w:t>询单位、评审机构的任何建</w:t>
      </w:r>
      <w:r>
        <w:rPr>
          <w:rFonts w:hint="eastAsia" w:ascii="仿宋_GB2312" w:hAnsi="仿宋_GB2312" w:eastAsia="仿宋_GB2312" w:cs="仿宋_GB2312"/>
          <w:color w:val="auto"/>
          <w:spacing w:val="-1"/>
          <w:sz w:val="24"/>
        </w:rPr>
        <w:t>议、检查、确认、同意、批准或类似行为不</w:t>
      </w:r>
      <w:r>
        <w:rPr>
          <w:rFonts w:hint="eastAsia" w:ascii="仿宋_GB2312" w:hAnsi="仿宋_GB2312" w:eastAsia="仿宋_GB2312" w:cs="仿宋_GB2312"/>
          <w:color w:val="auto"/>
          <w:spacing w:val="-2"/>
          <w:sz w:val="24"/>
        </w:rPr>
        <w:t>应变更或免除乙方的责任义务。</w:t>
      </w:r>
    </w:p>
    <w:p>
      <w:pPr>
        <w:pStyle w:val="7"/>
        <w:spacing w:after="0" w:line="560" w:lineRule="exact"/>
        <w:ind w:left="32" w:right="80"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（7）本合同期满或提前解除、终止后，乙方应将甲方的档案资料、信息数</w:t>
      </w:r>
      <w:r>
        <w:rPr>
          <w:rFonts w:hint="eastAsia" w:ascii="仿宋_GB2312" w:hAnsi="仿宋_GB2312" w:eastAsia="仿宋_GB2312" w:cs="仿宋_GB2312"/>
          <w:color w:val="auto"/>
          <w:spacing w:val="-3"/>
          <w:sz w:val="24"/>
        </w:rPr>
        <w:t>据等交还甲方，并应销毁或删除所有备份。</w:t>
      </w:r>
    </w:p>
    <w:p>
      <w:pPr>
        <w:pStyle w:val="7"/>
        <w:spacing w:after="0" w:line="560" w:lineRule="exact"/>
        <w:ind w:left="34" w:right="62" w:firstLine="47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（8）乙方对其工作人员在合同履行期间的一切行为负责，期间发生的一切</w:t>
      </w:r>
      <w:r>
        <w:rPr>
          <w:rFonts w:hint="eastAsia" w:ascii="仿宋_GB2312" w:hAnsi="仿宋_GB2312" w:eastAsia="仿宋_GB2312" w:cs="仿宋_GB2312"/>
          <w:color w:val="auto"/>
          <w:spacing w:val="-3"/>
          <w:sz w:val="24"/>
        </w:rPr>
        <w:t>安全事故责任及因此发生的人身损害赔偿和其</w:t>
      </w:r>
      <w:r>
        <w:rPr>
          <w:rFonts w:hint="eastAsia" w:ascii="仿宋_GB2312" w:hAnsi="仿宋_GB2312" w:eastAsia="仿宋_GB2312" w:cs="仿宋_GB2312"/>
          <w:color w:val="auto"/>
          <w:spacing w:val="-4"/>
          <w:sz w:val="24"/>
        </w:rPr>
        <w:t>他费用由乙方自行承担，概与甲方</w:t>
      </w:r>
      <w:r>
        <w:rPr>
          <w:rFonts w:hint="eastAsia" w:ascii="仿宋_GB2312" w:hAnsi="仿宋_GB2312" w:eastAsia="仿宋_GB2312" w:cs="仿宋_GB2312"/>
          <w:color w:val="auto"/>
          <w:spacing w:val="-12"/>
          <w:sz w:val="24"/>
        </w:rPr>
        <w:t>无关。</w:t>
      </w:r>
    </w:p>
    <w:p>
      <w:pPr>
        <w:pStyle w:val="7"/>
        <w:spacing w:after="0" w:line="560" w:lineRule="exact"/>
        <w:ind w:left="32" w:right="60"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（9）乙方在完成本项目过程中，不得损害其他任何第三方的知识产权等合</w:t>
      </w:r>
      <w:r>
        <w:rPr>
          <w:rFonts w:hint="eastAsia" w:ascii="仿宋_GB2312" w:hAnsi="仿宋_GB2312" w:eastAsia="仿宋_GB2312" w:cs="仿宋_GB2312"/>
          <w:color w:val="auto"/>
          <w:spacing w:val="-3"/>
          <w:sz w:val="24"/>
        </w:rPr>
        <w:t>法权益，如果由于乙方原因导致采用的文件、数据、</w:t>
      </w:r>
      <w:r>
        <w:rPr>
          <w:rFonts w:hint="eastAsia" w:ascii="仿宋_GB2312" w:hAnsi="仿宋_GB2312" w:eastAsia="仿宋_GB2312" w:cs="仿宋_GB2312"/>
          <w:color w:val="auto"/>
          <w:spacing w:val="-4"/>
          <w:sz w:val="24"/>
        </w:rPr>
        <w:t>资料、软件、技术等发生侵</w:t>
      </w:r>
      <w:r>
        <w:rPr>
          <w:rFonts w:hint="eastAsia" w:ascii="仿宋_GB2312" w:hAnsi="仿宋_GB2312" w:eastAsia="仿宋_GB2312" w:cs="仿宋_GB2312"/>
          <w:color w:val="auto"/>
          <w:spacing w:val="-1"/>
          <w:sz w:val="24"/>
        </w:rPr>
        <w:t>犯知识产权的行为而引起索赔或诉讼，则乙</w:t>
      </w:r>
      <w:r>
        <w:rPr>
          <w:rFonts w:hint="eastAsia" w:ascii="仿宋_GB2312" w:hAnsi="仿宋_GB2312" w:eastAsia="仿宋_GB2312" w:cs="仿宋_GB2312"/>
          <w:color w:val="auto"/>
          <w:spacing w:val="-2"/>
          <w:sz w:val="24"/>
        </w:rPr>
        <w:t>方应承担全部责任，与甲方无关。</w:t>
      </w:r>
    </w:p>
    <w:p>
      <w:pPr>
        <w:pStyle w:val="7"/>
        <w:spacing w:after="0" w:line="560" w:lineRule="exact"/>
        <w:ind w:left="524"/>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6"/>
          <w:sz w:val="24"/>
        </w:rPr>
        <w:t>第五条</w:t>
      </w:r>
      <w:r>
        <w:rPr>
          <w:rFonts w:hint="eastAsia" w:ascii="仿宋_GB2312" w:hAnsi="仿宋_GB2312" w:eastAsia="仿宋_GB2312" w:cs="仿宋_GB2312"/>
          <w:color w:val="auto"/>
          <w:spacing w:val="-6"/>
          <w:sz w:val="24"/>
        </w:rPr>
        <w:t xml:space="preserve"> </w:t>
      </w:r>
      <w:r>
        <w:rPr>
          <w:rFonts w:hint="eastAsia" w:ascii="仿宋_GB2312" w:hAnsi="仿宋_GB2312" w:eastAsia="仿宋_GB2312" w:cs="仿宋_GB2312"/>
          <w:b/>
          <w:bCs/>
          <w:color w:val="auto"/>
          <w:spacing w:val="-6"/>
          <w:sz w:val="24"/>
        </w:rPr>
        <w:t>成果权属(知识产权)</w:t>
      </w:r>
    </w:p>
    <w:p>
      <w:pPr>
        <w:pStyle w:val="7"/>
        <w:spacing w:after="0" w:line="560" w:lineRule="exact"/>
        <w:ind w:left="32" w:right="62" w:firstLine="47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5.1</w:t>
      </w:r>
      <w:r>
        <w:rPr>
          <w:rFonts w:hint="eastAsia" w:ascii="仿宋_GB2312" w:hAnsi="仿宋_GB2312" w:eastAsia="仿宋_GB2312" w:cs="仿宋_GB2312"/>
          <w:color w:val="auto"/>
          <w:spacing w:val="48"/>
          <w:sz w:val="24"/>
        </w:rPr>
        <w:t xml:space="preserve"> </w:t>
      </w:r>
      <w:r>
        <w:rPr>
          <w:rFonts w:hint="eastAsia" w:ascii="仿宋_GB2312" w:hAnsi="仿宋_GB2312" w:eastAsia="仿宋_GB2312" w:cs="仿宋_GB2312"/>
          <w:color w:val="auto"/>
          <w:spacing w:val="-5"/>
          <w:sz w:val="24"/>
        </w:rPr>
        <w:t>甲、乙双方履行本合同产生的项目规划设计成</w:t>
      </w:r>
      <w:r>
        <w:rPr>
          <w:rFonts w:hint="eastAsia" w:ascii="仿宋_GB2312" w:hAnsi="仿宋_GB2312" w:eastAsia="仿宋_GB2312" w:cs="仿宋_GB2312"/>
          <w:color w:val="auto"/>
          <w:spacing w:val="-6"/>
          <w:sz w:val="24"/>
        </w:rPr>
        <w:t>果的所有权（包括但不限</w:t>
      </w:r>
      <w:r>
        <w:rPr>
          <w:rFonts w:hint="eastAsia" w:ascii="仿宋_GB2312" w:hAnsi="仿宋_GB2312" w:eastAsia="仿宋_GB2312" w:cs="仿宋_GB2312"/>
          <w:color w:val="auto"/>
          <w:spacing w:val="-3"/>
          <w:sz w:val="24"/>
        </w:rPr>
        <w:t>于除署名权外的版权和其他知识产权）归甲方，</w:t>
      </w:r>
      <w:r>
        <w:rPr>
          <w:rFonts w:hint="eastAsia" w:ascii="仿宋_GB2312" w:hAnsi="仿宋_GB2312" w:eastAsia="仿宋_GB2312" w:cs="仿宋_GB2312"/>
          <w:color w:val="auto"/>
          <w:spacing w:val="-4"/>
          <w:sz w:val="24"/>
        </w:rPr>
        <w:t>乙方享有署名权，乙方除享有署</w:t>
      </w:r>
      <w:r>
        <w:rPr>
          <w:rFonts w:hint="eastAsia" w:ascii="仿宋_GB2312" w:hAnsi="仿宋_GB2312" w:eastAsia="仿宋_GB2312" w:cs="仿宋_GB2312"/>
          <w:color w:val="auto"/>
          <w:spacing w:val="-3"/>
          <w:sz w:val="24"/>
        </w:rPr>
        <w:t>名权外，还可以下列方式使用项目规划设计</w:t>
      </w:r>
      <w:r>
        <w:rPr>
          <w:rFonts w:hint="eastAsia" w:ascii="仿宋_GB2312" w:hAnsi="仿宋_GB2312" w:eastAsia="仿宋_GB2312" w:cs="仿宋_GB2312"/>
          <w:color w:val="auto"/>
          <w:spacing w:val="-4"/>
          <w:sz w:val="24"/>
        </w:rPr>
        <w:t>成果：</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（1）定期或不定期进行规划设计工作总结；</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（2）撰写项目研究论文、报告或参加规划设计课题研究报告；</w:t>
      </w:r>
    </w:p>
    <w:p>
      <w:pPr>
        <w:pStyle w:val="7"/>
        <w:spacing w:after="0" w:line="560" w:lineRule="exact"/>
        <w:ind w:left="33" w:right="83"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（3）将项目研究论文或规划设计课题研究报告编辑出版及在国内外公开发</w:t>
      </w:r>
      <w:r>
        <w:rPr>
          <w:rFonts w:hint="eastAsia" w:ascii="仿宋_GB2312" w:hAnsi="仿宋_GB2312" w:eastAsia="仿宋_GB2312" w:cs="仿宋_GB2312"/>
          <w:color w:val="auto"/>
          <w:spacing w:val="-18"/>
          <w:sz w:val="24"/>
        </w:rPr>
        <w:t>行；</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（4）在国内外举办规划设计成果展览展示；</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（5）参加国内外规划设计成果交流、研讨和评优评奖活动。</w:t>
      </w:r>
    </w:p>
    <w:p>
      <w:pPr>
        <w:pStyle w:val="7"/>
        <w:spacing w:after="0" w:line="560" w:lineRule="exact"/>
        <w:ind w:left="62" w:firstLine="447"/>
        <w:rPr>
          <w:rFonts w:hint="eastAsia" w:ascii="仿宋_GB2312" w:hAnsi="仿宋_GB2312" w:eastAsia="仿宋_GB2312" w:cs="仿宋_GB2312"/>
          <w:color w:val="auto"/>
          <w:spacing w:val="-3"/>
          <w:sz w:val="24"/>
        </w:rPr>
      </w:pPr>
      <w:r>
        <w:rPr>
          <w:rFonts w:hint="eastAsia" w:ascii="仿宋_GB2312" w:hAnsi="仿宋_GB2312" w:eastAsia="仿宋_GB2312" w:cs="仿宋_GB2312"/>
          <w:color w:val="auto"/>
          <w:spacing w:val="-3"/>
          <w:sz w:val="24"/>
        </w:rPr>
        <w:t>5.2</w:t>
      </w:r>
      <w:r>
        <w:rPr>
          <w:rFonts w:hint="eastAsia" w:ascii="仿宋_GB2312" w:hAnsi="仿宋_GB2312" w:eastAsia="仿宋_GB2312" w:cs="仿宋_GB2312"/>
          <w:color w:val="auto"/>
          <w:spacing w:val="49"/>
          <w:sz w:val="24"/>
        </w:rPr>
        <w:t xml:space="preserve"> </w:t>
      </w:r>
      <w:r>
        <w:rPr>
          <w:rFonts w:hint="eastAsia" w:ascii="仿宋_GB2312" w:hAnsi="仿宋_GB2312" w:eastAsia="仿宋_GB2312" w:cs="仿宋_GB2312"/>
          <w:color w:val="auto"/>
          <w:spacing w:val="-3"/>
          <w:sz w:val="24"/>
        </w:rPr>
        <w:t>乙方保证所提交的全部阶段性成果和最终成果文件及任何数据、资料、软件等未侵犯任何第三方的知识产权或其他权利，由</w:t>
      </w:r>
      <w:r>
        <w:rPr>
          <w:rFonts w:hint="eastAsia" w:ascii="仿宋_GB2312" w:hAnsi="仿宋_GB2312" w:eastAsia="仿宋_GB2312" w:cs="仿宋_GB2312"/>
          <w:color w:val="auto"/>
          <w:spacing w:val="-4"/>
          <w:sz w:val="24"/>
        </w:rPr>
        <w:t>于使用该等文件、数据、资</w:t>
      </w:r>
      <w:r>
        <w:rPr>
          <w:rFonts w:hint="eastAsia" w:ascii="仿宋_GB2312" w:hAnsi="仿宋_GB2312" w:eastAsia="仿宋_GB2312" w:cs="仿宋_GB2312"/>
          <w:color w:val="auto"/>
          <w:spacing w:val="-7"/>
          <w:sz w:val="24"/>
        </w:rPr>
        <w:t>料、软件所导致的任何索赔或责任均由乙方承担。同时，甲方有权要求乙方修改</w:t>
      </w:r>
      <w:r>
        <w:rPr>
          <w:rFonts w:hint="eastAsia" w:ascii="仿宋_GB2312" w:hAnsi="仿宋_GB2312" w:eastAsia="仿宋_GB2312" w:cs="仿宋_GB2312"/>
          <w:color w:val="auto"/>
          <w:spacing w:val="-3"/>
          <w:sz w:val="24"/>
        </w:rPr>
        <w:t>成果至不侵权或解除合同为止，并保留要求乙方赔偿</w:t>
      </w:r>
      <w:r>
        <w:rPr>
          <w:rFonts w:hint="eastAsia" w:ascii="仿宋_GB2312" w:hAnsi="仿宋_GB2312" w:eastAsia="仿宋_GB2312" w:cs="仿宋_GB2312"/>
          <w:color w:val="auto"/>
          <w:spacing w:val="-4"/>
          <w:sz w:val="24"/>
        </w:rPr>
        <w:t>实际损失的权利，包括但不</w:t>
      </w:r>
      <w:r>
        <w:rPr>
          <w:rFonts w:hint="eastAsia" w:ascii="仿宋_GB2312" w:hAnsi="仿宋_GB2312" w:eastAsia="仿宋_GB2312" w:cs="仿宋_GB2312"/>
          <w:color w:val="auto"/>
          <w:spacing w:val="-2"/>
          <w:sz w:val="24"/>
        </w:rPr>
        <w:t>限于上述索赔或责任所产生的诉讼费用、律师费用、鉴定评估费用、调查费用、</w:t>
      </w:r>
      <w:r>
        <w:rPr>
          <w:rFonts w:hint="eastAsia" w:ascii="仿宋_GB2312" w:hAnsi="仿宋_GB2312" w:eastAsia="仿宋_GB2312" w:cs="仿宋_GB2312"/>
          <w:color w:val="auto"/>
          <w:spacing w:val="-3"/>
          <w:sz w:val="24"/>
        </w:rPr>
        <w:t>和解金额或生效法律文书中规定的赔偿金额。</w:t>
      </w:r>
    </w:p>
    <w:p>
      <w:pPr>
        <w:pStyle w:val="7"/>
        <w:spacing w:after="0" w:line="560" w:lineRule="exact"/>
        <w:ind w:left="62" w:firstLine="44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5.3 双方确定，甲方有权对乙方按照本合同约</w:t>
      </w:r>
      <w:r>
        <w:rPr>
          <w:rFonts w:hint="eastAsia" w:ascii="仿宋_GB2312" w:hAnsi="仿宋_GB2312" w:eastAsia="仿宋_GB2312" w:cs="仿宋_GB2312"/>
          <w:color w:val="auto"/>
          <w:spacing w:val="-2"/>
          <w:sz w:val="24"/>
        </w:rPr>
        <w:t>定提供的成果进行后续改进。</w:t>
      </w:r>
      <w:r>
        <w:rPr>
          <w:rFonts w:hint="eastAsia" w:ascii="仿宋_GB2312" w:hAnsi="仿宋_GB2312" w:eastAsia="仿宋_GB2312" w:cs="仿宋_GB2312"/>
          <w:color w:val="auto"/>
          <w:spacing w:val="3"/>
          <w:sz w:val="24"/>
        </w:rPr>
        <w:t>由此产生的具有实质性或创造性技术进步特征</w:t>
      </w:r>
      <w:r>
        <w:rPr>
          <w:rFonts w:hint="eastAsia" w:ascii="仿宋_GB2312" w:hAnsi="仿宋_GB2312" w:eastAsia="仿宋_GB2312" w:cs="仿宋_GB2312"/>
          <w:color w:val="auto"/>
          <w:spacing w:val="2"/>
          <w:sz w:val="24"/>
        </w:rPr>
        <w:t>的新的技术成果及其权利全部由</w:t>
      </w:r>
      <w:r>
        <w:rPr>
          <w:rFonts w:hint="eastAsia" w:ascii="仿宋_GB2312" w:hAnsi="仿宋_GB2312" w:eastAsia="仿宋_GB2312" w:cs="仿宋_GB2312"/>
          <w:color w:val="auto"/>
          <w:spacing w:val="-13"/>
          <w:sz w:val="24"/>
        </w:rPr>
        <w:t>甲方享有。</w:t>
      </w:r>
    </w:p>
    <w:p>
      <w:pPr>
        <w:pStyle w:val="7"/>
        <w:spacing w:after="0" w:line="560" w:lineRule="exact"/>
        <w:ind w:left="524"/>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3"/>
          <w:sz w:val="24"/>
        </w:rPr>
        <w:t>第</w:t>
      </w:r>
      <w:r>
        <w:rPr>
          <w:rFonts w:hint="eastAsia" w:ascii="仿宋_GB2312" w:hAnsi="仿宋_GB2312" w:eastAsia="仿宋_GB2312" w:cs="仿宋_GB2312"/>
          <w:color w:val="auto"/>
          <w:spacing w:val="-45"/>
          <w:sz w:val="24"/>
        </w:rPr>
        <w:t xml:space="preserve"> </w:t>
      </w:r>
      <w:r>
        <w:rPr>
          <w:rFonts w:hint="eastAsia" w:ascii="仿宋_GB2312" w:hAnsi="仿宋_GB2312" w:eastAsia="仿宋_GB2312" w:cs="仿宋_GB2312"/>
          <w:b/>
          <w:bCs/>
          <w:color w:val="auto"/>
          <w:spacing w:val="-13"/>
          <w:sz w:val="24"/>
        </w:rPr>
        <w:t>六条</w:t>
      </w:r>
      <w:r>
        <w:rPr>
          <w:rFonts w:hint="eastAsia" w:ascii="仿宋_GB2312" w:hAnsi="仿宋_GB2312" w:eastAsia="仿宋_GB2312" w:cs="仿宋_GB2312"/>
          <w:color w:val="auto"/>
          <w:spacing w:val="20"/>
          <w:sz w:val="24"/>
        </w:rPr>
        <w:t xml:space="preserve"> </w:t>
      </w:r>
      <w:r>
        <w:rPr>
          <w:rFonts w:hint="eastAsia" w:ascii="仿宋_GB2312" w:hAnsi="仿宋_GB2312" w:eastAsia="仿宋_GB2312" w:cs="仿宋_GB2312"/>
          <w:b/>
          <w:bCs/>
          <w:color w:val="auto"/>
          <w:spacing w:val="-13"/>
          <w:sz w:val="24"/>
        </w:rPr>
        <w:t>保密条款</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6.1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范围内，乙方仅在为提供本合同服务之目的，包括独立性、质量及风险管理复核、内部财务报告、信息技术支持以及遵守监管规定，与其他乙方机构共同使用和向其披露甲方信息（可能包括必要的保密信息）和个人数据，但其他乙方机构也将履行与乙方同等的保密义务。乙方将就其他乙方机构违反本合同保密义务的行为向甲方承担责任。</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6.2本合同约定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6.3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6.4甲方按照本合同约定支付费用前提下，乙方为完成项目交付的知识产权（包括著作权、专利、专有技术、专利申请权）归甲方所有，乙方负有保密义务。</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6.5 保密信息只能由乙方及其人员为本合同目的而使用。除本合同另有规定外，未经甲方的书面同意，乙方及其知悉保密信息的人员均不得直接或间接地以任何方式提供、转让或披露给任何第三方。为此，乙方应提供相应的廉洁保密承诺书。</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6.6 乙方须以保密方式处理保密信息。向履行本合同的有关人员提供的，也应履行保密义务并限于履行合同的必需范围，且相关人员应接受至少与本条款同等严格的保密条款的约束。</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6.7 本保密条款效力不受合同其他条款效力影响，在本合同终止或解除后持续有效，直至保密信息合法成为公共领域的信息。</w:t>
      </w:r>
    </w:p>
    <w:p>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6.8若法律规定或国家行政机关、司法机关要求提供本合同、前述保密信息的，提供方应于提供的当日通知对方。</w:t>
      </w:r>
    </w:p>
    <w:p>
      <w:pPr>
        <w:pStyle w:val="7"/>
        <w:spacing w:after="0" w:line="560" w:lineRule="exact"/>
        <w:ind w:left="31" w:right="7" w:firstLine="473"/>
        <w:rPr>
          <w:rFonts w:hint="eastAsia" w:ascii="仿宋_GB2312" w:hAnsi="仿宋_GB2312" w:eastAsia="仿宋_GB2312" w:cs="仿宋_GB2312"/>
          <w:b/>
          <w:bCs/>
          <w:color w:val="auto"/>
          <w:spacing w:val="-13"/>
          <w:sz w:val="24"/>
        </w:rPr>
      </w:pPr>
      <w:r>
        <w:rPr>
          <w:rFonts w:hint="eastAsia" w:ascii="仿宋_GB2312" w:hAnsi="仿宋_GB2312" w:eastAsia="仿宋_GB2312" w:cs="仿宋_GB2312"/>
          <w:b/>
          <w:bCs/>
          <w:color w:val="auto"/>
          <w:spacing w:val="-13"/>
          <w:sz w:val="24"/>
        </w:rPr>
        <w:t>第</w:t>
      </w:r>
      <w:r>
        <w:rPr>
          <w:rFonts w:hint="eastAsia" w:ascii="仿宋_GB2312" w:hAnsi="仿宋_GB2312" w:eastAsia="仿宋_GB2312" w:cs="仿宋_GB2312"/>
          <w:color w:val="auto"/>
          <w:spacing w:val="-46"/>
          <w:sz w:val="24"/>
        </w:rPr>
        <w:t xml:space="preserve"> </w:t>
      </w:r>
      <w:r>
        <w:rPr>
          <w:rFonts w:hint="eastAsia" w:ascii="仿宋_GB2312" w:hAnsi="仿宋_GB2312" w:eastAsia="仿宋_GB2312" w:cs="仿宋_GB2312"/>
          <w:b/>
          <w:bCs/>
          <w:color w:val="auto"/>
          <w:spacing w:val="-13"/>
          <w:sz w:val="24"/>
        </w:rPr>
        <w:t>七</w:t>
      </w:r>
      <w:r>
        <w:rPr>
          <w:rFonts w:hint="eastAsia" w:ascii="仿宋_GB2312" w:hAnsi="仿宋_GB2312" w:eastAsia="仿宋_GB2312" w:cs="仿宋_GB2312"/>
          <w:color w:val="auto"/>
          <w:spacing w:val="-42"/>
          <w:sz w:val="24"/>
        </w:rPr>
        <w:t xml:space="preserve"> </w:t>
      </w:r>
      <w:r>
        <w:rPr>
          <w:rFonts w:hint="eastAsia" w:ascii="仿宋_GB2312" w:hAnsi="仿宋_GB2312" w:eastAsia="仿宋_GB2312" w:cs="仿宋_GB2312"/>
          <w:b/>
          <w:bCs/>
          <w:color w:val="auto"/>
          <w:spacing w:val="-13"/>
          <w:sz w:val="24"/>
        </w:rPr>
        <w:t>条</w:t>
      </w:r>
      <w:r>
        <w:rPr>
          <w:rFonts w:hint="eastAsia" w:ascii="仿宋_GB2312" w:hAnsi="仿宋_GB2312" w:eastAsia="仿宋_GB2312" w:cs="仿宋_GB2312"/>
          <w:color w:val="auto"/>
          <w:spacing w:val="21"/>
          <w:sz w:val="24"/>
        </w:rPr>
        <w:t xml:space="preserve"> </w:t>
      </w:r>
      <w:r>
        <w:rPr>
          <w:rFonts w:hint="eastAsia" w:ascii="仿宋_GB2312" w:hAnsi="仿宋_GB2312" w:eastAsia="仿宋_GB2312" w:cs="仿宋_GB2312"/>
          <w:b/>
          <w:bCs/>
          <w:color w:val="auto"/>
          <w:spacing w:val="-13"/>
          <w:sz w:val="24"/>
        </w:rPr>
        <w:t>违约责任</w:t>
      </w:r>
    </w:p>
    <w:p>
      <w:pPr>
        <w:pStyle w:val="7"/>
        <w:spacing w:after="0" w:line="560" w:lineRule="exact"/>
        <w:ind w:left="38" w:right="81" w:firstLine="466"/>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7.1甲方无正当理由拒绝接受服务或者接收服务成果，到期明确表示拒付服</w:t>
      </w:r>
      <w:r>
        <w:rPr>
          <w:rFonts w:hint="eastAsia" w:ascii="仿宋_GB2312" w:hAnsi="仿宋_GB2312" w:eastAsia="仿宋_GB2312" w:cs="仿宋_GB2312"/>
          <w:color w:val="auto"/>
          <w:spacing w:val="-2"/>
          <w:sz w:val="24"/>
        </w:rPr>
        <w:t>务款项的，</w:t>
      </w:r>
      <w:r>
        <w:rPr>
          <w:rFonts w:hint="eastAsia" w:ascii="仿宋_GB2312" w:hAnsi="仿宋_GB2312" w:eastAsia="仿宋_GB2312" w:cs="仿宋_GB2312"/>
          <w:color w:val="auto"/>
          <w:spacing w:val="-2"/>
          <w:sz w:val="24"/>
          <w:lang w:val="en-US" w:eastAsia="zh-CN"/>
        </w:rPr>
        <w:t>每逾期一天，甲方应按应付未付款项的万分之一支付违约金，违约金上限不超过应付未付款项</w:t>
      </w:r>
      <w:r>
        <w:rPr>
          <w:rFonts w:hint="eastAsia" w:ascii="仿宋_GB2312" w:hAnsi="仿宋_GB2312" w:eastAsia="仿宋_GB2312" w:cs="仿宋_GB2312"/>
          <w:color w:val="auto"/>
          <w:spacing w:val="-7"/>
          <w:sz w:val="24"/>
        </w:rPr>
        <w:t>的</w:t>
      </w:r>
      <w:r>
        <w:rPr>
          <w:rFonts w:hint="eastAsia" w:ascii="仿宋_GB2312" w:hAnsi="仿宋_GB2312" w:eastAsia="仿宋_GB2312" w:cs="仿宋_GB2312"/>
          <w:color w:val="auto"/>
          <w:spacing w:val="-47"/>
          <w:sz w:val="24"/>
        </w:rPr>
        <w:t xml:space="preserve"> </w:t>
      </w:r>
      <w:r>
        <w:rPr>
          <w:rFonts w:hint="eastAsia" w:ascii="仿宋_GB2312" w:hAnsi="仿宋_GB2312" w:eastAsia="仿宋_GB2312" w:cs="仿宋_GB2312"/>
          <w:color w:val="auto"/>
          <w:spacing w:val="-47"/>
          <w:sz w:val="24"/>
          <w:lang w:val="en-US" w:eastAsia="zh-CN"/>
        </w:rPr>
        <w:t xml:space="preserve">5 </w:t>
      </w:r>
      <w:r>
        <w:rPr>
          <w:rFonts w:hint="eastAsia" w:ascii="仿宋_GB2312" w:hAnsi="仿宋_GB2312" w:eastAsia="仿宋_GB2312" w:cs="仿宋_GB2312"/>
          <w:color w:val="auto"/>
          <w:spacing w:val="-7"/>
          <w:sz w:val="24"/>
        </w:rPr>
        <w:t>%</w:t>
      </w:r>
      <w:r>
        <w:rPr>
          <w:rFonts w:hint="eastAsia" w:ascii="仿宋_GB2312" w:hAnsi="仿宋_GB2312" w:eastAsia="仿宋_GB2312" w:cs="仿宋_GB2312"/>
          <w:color w:val="auto"/>
          <w:spacing w:val="-2"/>
          <w:sz w:val="24"/>
        </w:rPr>
        <w:t>。</w:t>
      </w:r>
    </w:p>
    <w:p>
      <w:pPr>
        <w:pStyle w:val="7"/>
        <w:spacing w:after="0" w:line="560" w:lineRule="exact"/>
        <w:ind w:left="32" w:right="80" w:firstLine="47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7.2因乙方原因延迟交付</w:t>
      </w:r>
      <w:r>
        <w:rPr>
          <w:rFonts w:hint="eastAsia" w:ascii="仿宋_GB2312" w:hAnsi="仿宋_GB2312" w:eastAsia="仿宋_GB2312" w:cs="仿宋_GB2312"/>
          <w:color w:val="auto"/>
          <w:spacing w:val="-6"/>
          <w:sz w:val="24"/>
          <w:lang w:val="en-US" w:eastAsia="zh-CN"/>
        </w:rPr>
        <w:t>初步</w:t>
      </w:r>
      <w:r>
        <w:rPr>
          <w:rFonts w:hint="eastAsia" w:ascii="仿宋_GB2312" w:hAnsi="仿宋_GB2312" w:eastAsia="仿宋_GB2312" w:cs="仿宋_GB2312"/>
          <w:color w:val="auto"/>
          <w:spacing w:val="-6"/>
          <w:sz w:val="24"/>
        </w:rPr>
        <w:t>服务成果</w:t>
      </w:r>
      <w:r>
        <w:rPr>
          <w:rFonts w:hint="eastAsia" w:ascii="仿宋_GB2312" w:hAnsi="仿宋_GB2312" w:eastAsia="仿宋_GB2312" w:cs="仿宋_GB2312"/>
          <w:color w:val="auto"/>
          <w:spacing w:val="-6"/>
          <w:sz w:val="24"/>
          <w:lang w:val="en-US" w:eastAsia="zh-CN"/>
        </w:rPr>
        <w:t>或最终成果</w:t>
      </w:r>
      <w:r>
        <w:rPr>
          <w:rFonts w:hint="eastAsia" w:ascii="仿宋_GB2312" w:hAnsi="仿宋_GB2312" w:eastAsia="仿宋_GB2312" w:cs="仿宋_GB2312"/>
          <w:color w:val="auto"/>
          <w:spacing w:val="-6"/>
          <w:sz w:val="24"/>
        </w:rPr>
        <w:t>的，每延迟</w:t>
      </w:r>
      <w:r>
        <w:rPr>
          <w:rFonts w:hint="eastAsia" w:ascii="仿宋_GB2312" w:hAnsi="仿宋_GB2312" w:eastAsia="仿宋_GB2312" w:cs="仿宋_GB2312"/>
          <w:color w:val="auto"/>
          <w:spacing w:val="-7"/>
          <w:sz w:val="24"/>
        </w:rPr>
        <w:t>一</w:t>
      </w:r>
      <w:r>
        <w:rPr>
          <w:rFonts w:hint="eastAsia" w:ascii="仿宋_GB2312" w:hAnsi="仿宋_GB2312" w:eastAsia="仿宋_GB2312" w:cs="仿宋_GB2312"/>
          <w:color w:val="auto"/>
          <w:spacing w:val="-54"/>
          <w:sz w:val="24"/>
        </w:rPr>
        <w:t xml:space="preserve"> </w:t>
      </w:r>
      <w:r>
        <w:rPr>
          <w:rFonts w:hint="eastAsia" w:ascii="仿宋_GB2312" w:hAnsi="仿宋_GB2312" w:eastAsia="仿宋_GB2312" w:cs="仿宋_GB2312"/>
          <w:color w:val="auto"/>
          <w:spacing w:val="-7"/>
          <w:sz w:val="24"/>
        </w:rPr>
        <w:t>日，须按合同对应阶段价款</w:t>
      </w:r>
      <w:r>
        <w:rPr>
          <w:rFonts w:hint="eastAsia" w:ascii="仿宋_GB2312" w:hAnsi="仿宋_GB2312" w:eastAsia="仿宋_GB2312" w:cs="仿宋_GB2312"/>
          <w:color w:val="auto"/>
          <w:spacing w:val="-3"/>
          <w:sz w:val="24"/>
        </w:rPr>
        <w:t>的万分之</w:t>
      </w:r>
      <w:r>
        <w:rPr>
          <w:rFonts w:hint="eastAsia" w:ascii="仿宋_GB2312" w:hAnsi="仿宋_GB2312" w:eastAsia="仿宋_GB2312" w:cs="仿宋_GB2312"/>
          <w:color w:val="auto"/>
          <w:spacing w:val="-3"/>
          <w:sz w:val="24"/>
          <w:lang w:val="en-US" w:eastAsia="zh-CN"/>
        </w:rPr>
        <w:t>一</w:t>
      </w:r>
      <w:r>
        <w:rPr>
          <w:rFonts w:hint="eastAsia" w:ascii="仿宋_GB2312" w:hAnsi="仿宋_GB2312" w:eastAsia="仿宋_GB2312" w:cs="仿宋_GB2312"/>
          <w:color w:val="auto"/>
          <w:spacing w:val="-3"/>
          <w:sz w:val="24"/>
        </w:rPr>
        <w:t>向甲方支付违约金。</w:t>
      </w:r>
      <w:r>
        <w:rPr>
          <w:rFonts w:hint="eastAsia" w:ascii="仿宋_GB2312" w:hAnsi="仿宋_GB2312" w:eastAsia="仿宋_GB2312" w:cs="仿宋_GB2312"/>
          <w:color w:val="auto"/>
          <w:spacing w:val="-7"/>
          <w:sz w:val="24"/>
          <w:lang w:val="en-US" w:eastAsia="zh-CN"/>
        </w:rPr>
        <w:t>逾期超30日的，甲方有权解除合同，并要求乙方按合同总额的20%支付违约金，违约金不足以弥补由此造成的实际损失的，应予以补足。</w:t>
      </w:r>
      <w:r>
        <w:rPr>
          <w:rFonts w:hint="eastAsia" w:ascii="仿宋_GB2312" w:hAnsi="仿宋_GB2312" w:eastAsia="仿宋_GB2312" w:cs="仿宋_GB2312"/>
          <w:color w:val="auto"/>
          <w:spacing w:val="-3"/>
          <w:sz w:val="24"/>
        </w:rPr>
        <w:t>乙方未按约定派</w:t>
      </w:r>
      <w:r>
        <w:rPr>
          <w:rFonts w:hint="eastAsia" w:ascii="仿宋_GB2312" w:hAnsi="仿宋_GB2312" w:eastAsia="仿宋_GB2312" w:cs="仿宋_GB2312"/>
          <w:color w:val="auto"/>
          <w:spacing w:val="-4"/>
          <w:sz w:val="24"/>
        </w:rPr>
        <w:t>出现场服务人员、擅自更换项目</w:t>
      </w:r>
      <w:r>
        <w:rPr>
          <w:rFonts w:hint="eastAsia" w:ascii="仿宋_GB2312" w:hAnsi="仿宋_GB2312" w:eastAsia="仿宋_GB2312" w:cs="仿宋_GB2312"/>
          <w:color w:val="auto"/>
          <w:spacing w:val="-7"/>
          <w:sz w:val="24"/>
        </w:rPr>
        <w:t>负责人或技术人员、拒不履行或无故迟延履行配合、咨询义务等的，甲方有权视</w:t>
      </w:r>
      <w:r>
        <w:rPr>
          <w:rFonts w:hint="eastAsia" w:ascii="仿宋_GB2312" w:hAnsi="仿宋_GB2312" w:eastAsia="仿宋_GB2312" w:cs="仿宋_GB2312"/>
          <w:color w:val="auto"/>
          <w:sz w:val="24"/>
        </w:rPr>
        <w:t>乙方违约情况每次要求乙方按照不超过本合同总价款的3%支付违约金；合同其</w:t>
      </w:r>
      <w:r>
        <w:rPr>
          <w:rFonts w:hint="eastAsia" w:ascii="仿宋_GB2312" w:hAnsi="仿宋_GB2312" w:eastAsia="仿宋_GB2312" w:cs="仿宋_GB2312"/>
          <w:color w:val="auto"/>
          <w:spacing w:val="-2"/>
          <w:sz w:val="24"/>
        </w:rPr>
        <w:t>他违约责任条款有明确约定的，以该条款约定为</w:t>
      </w:r>
      <w:r>
        <w:rPr>
          <w:rFonts w:hint="eastAsia" w:ascii="仿宋_GB2312" w:hAnsi="仿宋_GB2312" w:eastAsia="仿宋_GB2312" w:cs="仿宋_GB2312"/>
          <w:color w:val="auto"/>
          <w:spacing w:val="-3"/>
          <w:sz w:val="24"/>
        </w:rPr>
        <w:t>准。</w:t>
      </w:r>
    </w:p>
    <w:p>
      <w:pPr>
        <w:pStyle w:val="7"/>
        <w:spacing w:after="0" w:line="560" w:lineRule="exact"/>
        <w:ind w:left="37" w:right="14" w:firstLine="46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7.3 本合同履行期间，发生下述情形时，甲方有权解除本合</w:t>
      </w:r>
      <w:r>
        <w:rPr>
          <w:rFonts w:hint="eastAsia" w:ascii="仿宋_GB2312" w:hAnsi="仿宋_GB2312" w:eastAsia="仿宋_GB2312" w:cs="仿宋_GB2312"/>
          <w:color w:val="auto"/>
          <w:spacing w:val="-4"/>
          <w:sz w:val="24"/>
        </w:rPr>
        <w:t>同，乙方应向甲</w:t>
      </w:r>
      <w:r>
        <w:rPr>
          <w:rFonts w:hint="eastAsia" w:ascii="仿宋_GB2312" w:hAnsi="仿宋_GB2312" w:eastAsia="仿宋_GB2312" w:cs="仿宋_GB2312"/>
          <w:color w:val="auto"/>
          <w:spacing w:val="-7"/>
          <w:sz w:val="24"/>
        </w:rPr>
        <w:t>方支付合同总价款</w:t>
      </w:r>
      <w:r>
        <w:rPr>
          <w:rFonts w:hint="eastAsia" w:ascii="仿宋_GB2312" w:hAnsi="仿宋_GB2312" w:eastAsia="仿宋_GB2312" w:cs="仿宋_GB2312"/>
          <w:color w:val="auto"/>
          <w:spacing w:val="-38"/>
          <w:sz w:val="24"/>
        </w:rPr>
        <w:t xml:space="preserve"> </w:t>
      </w:r>
      <w:r>
        <w:rPr>
          <w:rFonts w:hint="eastAsia" w:ascii="仿宋_GB2312" w:hAnsi="仿宋_GB2312" w:eastAsia="仿宋_GB2312" w:cs="仿宋_GB2312"/>
          <w:color w:val="auto"/>
          <w:spacing w:val="-7"/>
          <w:sz w:val="24"/>
        </w:rPr>
        <w:t>20%的违约金，同时，甲方保留要求乙方赔偿相应损失的权利：</w:t>
      </w:r>
    </w:p>
    <w:p>
      <w:pPr>
        <w:pStyle w:val="7"/>
        <w:spacing w:after="0" w:line="560" w:lineRule="exact"/>
        <w:ind w:left="3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（1）乙方提交的成果未达到本合同的要求或国家相关规定与行业技术标准、</w:t>
      </w:r>
      <w:r>
        <w:rPr>
          <w:rFonts w:hint="eastAsia" w:ascii="仿宋_GB2312" w:hAnsi="仿宋_GB2312" w:eastAsia="仿宋_GB2312" w:cs="仿宋_GB2312"/>
          <w:color w:val="auto"/>
          <w:spacing w:val="-6"/>
          <w:sz w:val="24"/>
        </w:rPr>
        <w:t>规定而未通过验收且乙方拒绝整改、完善或重作，或虽如期提交阶段性成果和最</w:t>
      </w:r>
      <w:r>
        <w:rPr>
          <w:rFonts w:hint="eastAsia" w:ascii="仿宋_GB2312" w:hAnsi="仿宋_GB2312" w:eastAsia="仿宋_GB2312" w:cs="仿宋_GB2312"/>
          <w:color w:val="auto"/>
          <w:spacing w:val="-4"/>
          <w:sz w:val="24"/>
        </w:rPr>
        <w:t>终成果，但成果连续二次未能通过评审验收的；</w:t>
      </w:r>
    </w:p>
    <w:p>
      <w:pPr>
        <w:pStyle w:val="7"/>
        <w:spacing w:after="0" w:line="560" w:lineRule="exact"/>
        <w:ind w:left="32" w:right="97"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（2）发现乙方或乙方工作人员出现全部或</w:t>
      </w:r>
      <w:r>
        <w:rPr>
          <w:rFonts w:hint="eastAsia" w:ascii="仿宋_GB2312" w:hAnsi="仿宋_GB2312" w:eastAsia="仿宋_GB2312" w:cs="仿宋_GB2312"/>
          <w:color w:val="auto"/>
          <w:spacing w:val="-1"/>
          <w:sz w:val="24"/>
        </w:rPr>
        <w:t>部分丧失履行委托服务能力的情</w:t>
      </w:r>
      <w:r>
        <w:rPr>
          <w:rFonts w:hint="eastAsia" w:ascii="仿宋_GB2312" w:hAnsi="仿宋_GB2312" w:eastAsia="仿宋_GB2312" w:cs="仿宋_GB2312"/>
          <w:color w:val="auto"/>
          <w:sz w:val="24"/>
        </w:rPr>
        <w:t>况，甲方有权通知乙方【3】日内整改或更换</w:t>
      </w:r>
      <w:r>
        <w:rPr>
          <w:rFonts w:hint="eastAsia" w:ascii="仿宋_GB2312" w:hAnsi="仿宋_GB2312" w:eastAsia="仿宋_GB2312" w:cs="仿宋_GB2312"/>
          <w:color w:val="auto"/>
          <w:spacing w:val="-1"/>
          <w:sz w:val="24"/>
        </w:rPr>
        <w:t>工作人员，期限届满乙方并未整改</w:t>
      </w:r>
      <w:r>
        <w:rPr>
          <w:rFonts w:hint="eastAsia" w:ascii="仿宋_GB2312" w:hAnsi="仿宋_GB2312" w:eastAsia="仿宋_GB2312" w:cs="仿宋_GB2312"/>
          <w:color w:val="auto"/>
          <w:spacing w:val="-12"/>
          <w:sz w:val="24"/>
        </w:rPr>
        <w:t>或更换的；</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（3）乙方出现破产、解散、被依法关闭、撤销情形或已进入清算阶段</w:t>
      </w:r>
      <w:r>
        <w:rPr>
          <w:rFonts w:hint="eastAsia" w:ascii="仿宋_GB2312" w:hAnsi="仿宋_GB2312" w:eastAsia="仿宋_GB2312" w:cs="仿宋_GB2312"/>
          <w:color w:val="auto"/>
          <w:spacing w:val="-3"/>
          <w:sz w:val="24"/>
        </w:rPr>
        <w:t>的；</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（4）乙方明确表示或者以自己的行为表明不履行本合同的；</w:t>
      </w:r>
    </w:p>
    <w:p>
      <w:pPr>
        <w:pStyle w:val="7"/>
        <w:spacing w:after="0" w:line="560" w:lineRule="exact"/>
        <w:ind w:left="34" w:right="105" w:firstLine="47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（5）乙方人员如有索贿、受贿或以其他不正当手段企图获取或己经获取不</w:t>
      </w:r>
      <w:r>
        <w:rPr>
          <w:rFonts w:hint="eastAsia" w:ascii="仿宋_GB2312" w:hAnsi="仿宋_GB2312" w:eastAsia="仿宋_GB2312" w:cs="仿宋_GB2312"/>
          <w:color w:val="auto"/>
          <w:spacing w:val="-5"/>
          <w:sz w:val="24"/>
        </w:rPr>
        <w:t>正当利益的行为，经查证属实的；</w:t>
      </w:r>
    </w:p>
    <w:p>
      <w:pPr>
        <w:pStyle w:val="7"/>
        <w:spacing w:after="0" w:line="560" w:lineRule="exact"/>
        <w:ind w:left="43" w:right="102" w:firstLine="46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（6）乙方或乙方项目人员违反本合同保密条款相关约定，擅自披露甲方保</w:t>
      </w:r>
      <w:r>
        <w:rPr>
          <w:rFonts w:hint="eastAsia" w:ascii="仿宋_GB2312" w:hAnsi="仿宋_GB2312" w:eastAsia="仿宋_GB2312" w:cs="仿宋_GB2312"/>
          <w:color w:val="auto"/>
          <w:spacing w:val="-13"/>
          <w:sz w:val="24"/>
        </w:rPr>
        <w:t>密信息的；</w:t>
      </w:r>
    </w:p>
    <w:p>
      <w:pPr>
        <w:pStyle w:val="7"/>
        <w:spacing w:after="0" w:line="560" w:lineRule="exact"/>
        <w:ind w:left="39" w:right="96" w:firstLine="47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（7）乙方违反成果权属等条款约定，侵害</w:t>
      </w:r>
      <w:r>
        <w:rPr>
          <w:rFonts w:hint="eastAsia" w:ascii="仿宋_GB2312" w:hAnsi="仿宋_GB2312" w:eastAsia="仿宋_GB2312" w:cs="仿宋_GB2312"/>
          <w:color w:val="auto"/>
          <w:spacing w:val="-1"/>
          <w:sz w:val="24"/>
        </w:rPr>
        <w:t>甲方或第三方知识产权或其他合</w:t>
      </w:r>
      <w:r>
        <w:rPr>
          <w:rFonts w:hint="eastAsia" w:ascii="仿宋_GB2312" w:hAnsi="仿宋_GB2312" w:eastAsia="仿宋_GB2312" w:cs="仿宋_GB2312"/>
          <w:color w:val="auto"/>
          <w:spacing w:val="-13"/>
          <w:sz w:val="24"/>
        </w:rPr>
        <w:t>法权益的；</w:t>
      </w:r>
    </w:p>
    <w:p>
      <w:pPr>
        <w:pStyle w:val="7"/>
        <w:spacing w:after="0" w:line="560" w:lineRule="exact"/>
        <w:ind w:left="37" w:right="99" w:firstLine="474"/>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1"/>
          <w:sz w:val="24"/>
        </w:rPr>
        <w:t>（8）出现其他违约行为经甲方通知后【10】个工作日内仍未完成整改或提</w:t>
      </w:r>
      <w:r>
        <w:rPr>
          <w:rFonts w:hint="eastAsia" w:ascii="仿宋_GB2312" w:hAnsi="仿宋_GB2312" w:eastAsia="仿宋_GB2312" w:cs="仿宋_GB2312"/>
          <w:color w:val="auto"/>
          <w:spacing w:val="-4"/>
          <w:sz w:val="24"/>
        </w:rPr>
        <w:t>交符合甲方要求的整改方案的。</w:t>
      </w:r>
    </w:p>
    <w:p>
      <w:pPr>
        <w:pStyle w:val="7"/>
        <w:spacing w:after="0" w:line="560" w:lineRule="exact"/>
        <w:ind w:left="37" w:right="99" w:firstLine="474"/>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7.5甲乙双方违反本合同保密条款相关约定，擅自披露对方保</w:t>
      </w:r>
      <w:r>
        <w:rPr>
          <w:rFonts w:hint="eastAsia" w:ascii="仿宋_GB2312" w:hAnsi="仿宋_GB2312" w:eastAsia="仿宋_GB2312" w:cs="仿宋_GB2312"/>
          <w:color w:val="auto"/>
          <w:spacing w:val="-3"/>
          <w:sz w:val="24"/>
        </w:rPr>
        <w:t>密信息的，乙</w:t>
      </w:r>
      <w:r>
        <w:rPr>
          <w:rFonts w:hint="eastAsia" w:ascii="仿宋_GB2312" w:hAnsi="仿宋_GB2312" w:eastAsia="仿宋_GB2312" w:cs="仿宋_GB2312"/>
          <w:color w:val="auto"/>
          <w:spacing w:val="-2"/>
          <w:sz w:val="24"/>
        </w:rPr>
        <w:t>方按第7.4 款约定承担违约责任，甲方按合同总价款20%向乙方支付违约</w:t>
      </w:r>
      <w:r>
        <w:rPr>
          <w:rFonts w:hint="eastAsia" w:ascii="仿宋_GB2312" w:hAnsi="仿宋_GB2312" w:eastAsia="仿宋_GB2312" w:cs="仿宋_GB2312"/>
          <w:color w:val="auto"/>
          <w:spacing w:val="-3"/>
          <w:sz w:val="24"/>
        </w:rPr>
        <w:t>金；违</w:t>
      </w:r>
      <w:r>
        <w:rPr>
          <w:rFonts w:hint="eastAsia" w:ascii="仿宋_GB2312" w:hAnsi="仿宋_GB2312" w:eastAsia="仿宋_GB2312" w:cs="仿宋_GB2312"/>
          <w:color w:val="auto"/>
          <w:spacing w:val="-2"/>
          <w:sz w:val="24"/>
        </w:rPr>
        <w:t>约金如低于因违约行为所造成的损失，违约方应补偿不足部分损失。</w:t>
      </w:r>
    </w:p>
    <w:p>
      <w:pPr>
        <w:pStyle w:val="7"/>
        <w:spacing w:after="0" w:line="560" w:lineRule="exact"/>
        <w:ind w:left="30" w:right="35" w:firstLine="474"/>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7.6乙方提交的服务成果不论是否已通过验收，如经发现存在</w:t>
      </w:r>
      <w:r>
        <w:rPr>
          <w:rFonts w:hint="eastAsia" w:ascii="仿宋_GB2312" w:hAnsi="仿宋_GB2312" w:eastAsia="仿宋_GB2312" w:cs="仿宋_GB2312"/>
          <w:color w:val="auto"/>
          <w:spacing w:val="-3"/>
          <w:sz w:val="24"/>
        </w:rPr>
        <w:t>下列情形的，甲方均有权对成果内容不予认可或重新视为验收不通过</w:t>
      </w:r>
      <w:r>
        <w:rPr>
          <w:rFonts w:hint="eastAsia" w:ascii="仿宋_GB2312" w:hAnsi="仿宋_GB2312" w:eastAsia="仿宋_GB2312" w:cs="仿宋_GB2312"/>
          <w:color w:val="auto"/>
          <w:spacing w:val="-4"/>
          <w:sz w:val="24"/>
        </w:rPr>
        <w:t>，乙方应配合纠正。乙方</w:t>
      </w:r>
      <w:r>
        <w:rPr>
          <w:rFonts w:hint="eastAsia" w:ascii="仿宋_GB2312" w:hAnsi="仿宋_GB2312" w:eastAsia="仿宋_GB2312" w:cs="仿宋_GB2312"/>
          <w:color w:val="auto"/>
          <w:spacing w:val="-8"/>
          <w:sz w:val="24"/>
        </w:rPr>
        <w:t>未按要求纠正的，该部分成果的费用甲方可不予支付，如已支付的乙方应当返还，</w:t>
      </w:r>
      <w:r>
        <w:rPr>
          <w:rFonts w:hint="eastAsia" w:ascii="仿宋_GB2312" w:hAnsi="仿宋_GB2312" w:eastAsia="仿宋_GB2312" w:cs="仿宋_GB2312"/>
          <w:color w:val="auto"/>
          <w:spacing w:val="-2"/>
          <w:sz w:val="24"/>
        </w:rPr>
        <w:t>但其他已经过甲方验收的部分不受此影响，退返比例参照第8.2条约定的结算</w:t>
      </w:r>
      <w:r>
        <w:rPr>
          <w:rFonts w:hint="eastAsia" w:ascii="仿宋_GB2312" w:hAnsi="仿宋_GB2312" w:eastAsia="仿宋_GB2312" w:cs="仿宋_GB2312"/>
          <w:color w:val="auto"/>
          <w:spacing w:val="-11"/>
          <w:sz w:val="24"/>
        </w:rPr>
        <w:t>规则执行：</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（1）格式、语言不规范；</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8"/>
          <w:sz w:val="24"/>
        </w:rPr>
        <w:t>（2）逻辑混乱；</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（3）引用、数据不真实或者错误；</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（4）研究质量不符合约定标准；</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（5）其他导致成果无法使用或明显质量低下的成果。</w:t>
      </w:r>
    </w:p>
    <w:p>
      <w:pPr>
        <w:pStyle w:val="7"/>
        <w:spacing w:after="0" w:line="560" w:lineRule="exact"/>
        <w:ind w:left="31" w:firstLine="473"/>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7.7乙方应审慎勤勉地履行本合同项下各项服务内容，</w:t>
      </w:r>
      <w:r>
        <w:rPr>
          <w:rFonts w:hint="eastAsia" w:ascii="仿宋_GB2312" w:hAnsi="仿宋_GB2312" w:eastAsia="仿宋_GB2312" w:cs="仿宋_GB2312"/>
          <w:color w:val="auto"/>
          <w:spacing w:val="-5"/>
          <w:sz w:val="24"/>
        </w:rPr>
        <w:t>如甲方基于乙方服务</w:t>
      </w:r>
      <w:r>
        <w:rPr>
          <w:rFonts w:hint="eastAsia" w:ascii="仿宋_GB2312" w:hAnsi="仿宋_GB2312" w:eastAsia="仿宋_GB2312" w:cs="仿宋_GB2312"/>
          <w:color w:val="auto"/>
          <w:spacing w:val="-7"/>
          <w:sz w:val="24"/>
        </w:rPr>
        <w:t>成果作出相应决策或开展相应工作后，给甲方造成损失（包括财产、名誉损失等）</w:t>
      </w:r>
      <w:r>
        <w:rPr>
          <w:rFonts w:hint="eastAsia" w:ascii="仿宋_GB2312" w:hAnsi="仿宋_GB2312" w:eastAsia="仿宋_GB2312" w:cs="仿宋_GB2312"/>
          <w:color w:val="auto"/>
          <w:spacing w:val="-3"/>
          <w:sz w:val="24"/>
        </w:rPr>
        <w:t>或不利影响的，甲方有权终止合同，如有未支付的款</w:t>
      </w:r>
      <w:r>
        <w:rPr>
          <w:rFonts w:hint="eastAsia" w:ascii="仿宋_GB2312" w:hAnsi="仿宋_GB2312" w:eastAsia="仿宋_GB2312" w:cs="仿宋_GB2312"/>
          <w:color w:val="auto"/>
          <w:spacing w:val="-4"/>
          <w:sz w:val="24"/>
        </w:rPr>
        <w:t>项不再支付给乙方，且乙方</w:t>
      </w:r>
      <w:r>
        <w:rPr>
          <w:rFonts w:hint="eastAsia" w:ascii="仿宋_GB2312" w:hAnsi="仿宋_GB2312" w:eastAsia="仿宋_GB2312" w:cs="仿宋_GB2312"/>
          <w:color w:val="auto"/>
          <w:spacing w:val="-3"/>
          <w:sz w:val="24"/>
        </w:rPr>
        <w:t>应在甲方损失范围（包括但不限于违约金、赔偿金、处</w:t>
      </w:r>
      <w:r>
        <w:rPr>
          <w:rFonts w:hint="eastAsia" w:ascii="仿宋_GB2312" w:hAnsi="仿宋_GB2312" w:eastAsia="仿宋_GB2312" w:cs="仿宋_GB2312"/>
          <w:color w:val="auto"/>
          <w:spacing w:val="-4"/>
          <w:sz w:val="24"/>
        </w:rPr>
        <w:t>罚金、诉讼费、证据保全</w:t>
      </w:r>
      <w:r>
        <w:rPr>
          <w:rFonts w:hint="eastAsia" w:ascii="仿宋_GB2312" w:hAnsi="仿宋_GB2312" w:eastAsia="仿宋_GB2312" w:cs="仿宋_GB2312"/>
          <w:color w:val="auto"/>
          <w:spacing w:val="-7"/>
          <w:sz w:val="24"/>
        </w:rPr>
        <w:t>费、公证费、合理的处理费、律师费及差旅费等）及为消除不利影响而承担的费</w:t>
      </w:r>
      <w:r>
        <w:rPr>
          <w:rFonts w:hint="eastAsia" w:ascii="仿宋_GB2312" w:hAnsi="仿宋_GB2312" w:eastAsia="仿宋_GB2312" w:cs="仿宋_GB2312"/>
          <w:color w:val="auto"/>
          <w:spacing w:val="-8"/>
          <w:sz w:val="24"/>
        </w:rPr>
        <w:t>用内予以补偿，该补偿义务不因服务期满而终止；如前述损失及费用难以定量的，</w:t>
      </w:r>
      <w:r>
        <w:rPr>
          <w:rFonts w:hint="eastAsia" w:ascii="仿宋_GB2312" w:hAnsi="仿宋_GB2312" w:eastAsia="仿宋_GB2312" w:cs="仿宋_GB2312"/>
          <w:color w:val="auto"/>
          <w:spacing w:val="-1"/>
          <w:sz w:val="24"/>
        </w:rPr>
        <w:t>甲方有权要求乙方按合同总价款的【15%】</w:t>
      </w:r>
      <w:r>
        <w:rPr>
          <w:rFonts w:hint="eastAsia" w:ascii="仿宋_GB2312" w:hAnsi="仿宋_GB2312" w:eastAsia="仿宋_GB2312" w:cs="仿宋_GB2312"/>
          <w:color w:val="auto"/>
          <w:spacing w:val="-2"/>
          <w:sz w:val="24"/>
        </w:rPr>
        <w:t>予以补偿，乙方对此无异议。</w:t>
      </w:r>
    </w:p>
    <w:p>
      <w:pPr>
        <w:pStyle w:val="7"/>
        <w:spacing w:after="0" w:line="560" w:lineRule="exact"/>
        <w:ind w:left="0" w:right="0" w:firstLine="473"/>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7.8甲方有权直接从应付未付的款项中扣除乙方应承担的费用、损失、违约</w:t>
      </w:r>
      <w:r>
        <w:rPr>
          <w:rFonts w:hint="eastAsia" w:ascii="仿宋_GB2312" w:hAnsi="仿宋_GB2312" w:eastAsia="仿宋_GB2312" w:cs="仿宋_GB2312"/>
          <w:color w:val="auto"/>
          <w:spacing w:val="-3"/>
          <w:sz w:val="24"/>
        </w:rPr>
        <w:t>金、赔偿金、补偿金及其他应由乙方承担的款项。</w:t>
      </w:r>
      <w:r>
        <w:rPr>
          <w:rFonts w:hint="eastAsia" w:ascii="仿宋_GB2312" w:hAnsi="仿宋_GB2312" w:eastAsia="仿宋_GB2312" w:cs="仿宋_GB2312"/>
          <w:color w:val="auto"/>
          <w:spacing w:val="-4"/>
          <w:sz w:val="24"/>
        </w:rPr>
        <w:t>甲方收取违约金的权利不影响</w:t>
      </w:r>
      <w:r>
        <w:rPr>
          <w:rFonts w:hint="eastAsia" w:ascii="仿宋_GB2312" w:hAnsi="仿宋_GB2312" w:eastAsia="仿宋_GB2312" w:cs="仿宋_GB2312"/>
          <w:color w:val="auto"/>
          <w:spacing w:val="-3"/>
          <w:sz w:val="24"/>
        </w:rPr>
        <w:t>甲方根据本合同或适用的法律享有的其他权利。</w:t>
      </w:r>
    </w:p>
    <w:p>
      <w:pPr>
        <w:pStyle w:val="7"/>
        <w:spacing w:line="560" w:lineRule="exact"/>
        <w:ind w:firstLine="47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7.9本合同所约定的违约金如低于因违约行为所造成的损失，</w:t>
      </w:r>
      <w:r>
        <w:rPr>
          <w:rFonts w:hint="eastAsia" w:ascii="仿宋_GB2312" w:hAnsi="仿宋_GB2312" w:eastAsia="仿宋_GB2312" w:cs="仿宋_GB2312"/>
          <w:color w:val="auto"/>
          <w:spacing w:val="-4"/>
          <w:sz w:val="24"/>
        </w:rPr>
        <w:t>违约方应补偿</w:t>
      </w:r>
      <w:r>
        <w:rPr>
          <w:rFonts w:hint="eastAsia" w:ascii="仿宋_GB2312" w:hAnsi="仿宋_GB2312" w:eastAsia="仿宋_GB2312" w:cs="仿宋_GB2312"/>
          <w:color w:val="auto"/>
          <w:spacing w:val="-5"/>
          <w:sz w:val="24"/>
        </w:rPr>
        <w:t>上述不足部分的损失。</w:t>
      </w:r>
    </w:p>
    <w:p>
      <w:pPr>
        <w:pStyle w:val="7"/>
        <w:spacing w:after="0" w:line="560" w:lineRule="exact"/>
        <w:ind w:left="0" w:firstLine="426" w:firstLineChars="200"/>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4"/>
          <w:sz w:val="24"/>
        </w:rPr>
        <w:t>第八条</w:t>
      </w:r>
      <w:r>
        <w:rPr>
          <w:rFonts w:hint="eastAsia" w:ascii="仿宋_GB2312" w:hAnsi="仿宋_GB2312" w:eastAsia="仿宋_GB2312" w:cs="仿宋_GB2312"/>
          <w:color w:val="auto"/>
          <w:spacing w:val="22"/>
          <w:sz w:val="24"/>
        </w:rPr>
        <w:t xml:space="preserve"> </w:t>
      </w:r>
      <w:r>
        <w:rPr>
          <w:rFonts w:hint="eastAsia" w:ascii="仿宋_GB2312" w:hAnsi="仿宋_GB2312" w:eastAsia="仿宋_GB2312" w:cs="仿宋_GB2312"/>
          <w:b/>
          <w:bCs/>
          <w:color w:val="auto"/>
          <w:spacing w:val="-14"/>
          <w:sz w:val="24"/>
        </w:rPr>
        <w:t>合同解除</w:t>
      </w:r>
    </w:p>
    <w:p>
      <w:pPr>
        <w:pStyle w:val="7"/>
        <w:spacing w:after="0" w:line="560" w:lineRule="exact"/>
        <w:ind w:left="0" w:right="0"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8.1 本合同履行过程中出现以下情形之一的，任何一方均可书面通知对方解除合同：</w:t>
      </w:r>
    </w:p>
    <w:p>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（1）非归责于任何一方的原因，本合同范围内项目取消的；</w:t>
      </w:r>
    </w:p>
    <w:p>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（2）非归责于任何一方的原因，本合同范围内项目长期暂停，超过60天的；</w:t>
      </w:r>
    </w:p>
    <w:p>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（3）甲方的职能发生转变，不再具有委托职能；</w:t>
      </w:r>
    </w:p>
    <w:p>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（4）本合同签订时适用的法律法规或政策发生变化，且对本合同的继续履行造成重大影响；</w:t>
      </w:r>
    </w:p>
    <w:p>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（5）其它非归责于任何一方的原因导致合同目的不能实现情形。</w:t>
      </w:r>
    </w:p>
    <w:p>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8.2 本合同履行期间</w:t>
      </w:r>
      <w:r>
        <w:rPr>
          <w:rFonts w:hint="eastAsia" w:ascii="仿宋_GB2312" w:hAnsi="仿宋_GB2312" w:eastAsia="仿宋_GB2312" w:cs="仿宋_GB2312"/>
          <w:strike w:val="0"/>
          <w:color w:val="auto"/>
          <w:sz w:val="24"/>
        </w:rPr>
        <w:t>，因上述情形造成</w:t>
      </w:r>
      <w:r>
        <w:rPr>
          <w:rFonts w:hint="eastAsia" w:ascii="仿宋_GB2312" w:hAnsi="仿宋_GB2312" w:eastAsia="仿宋_GB2312" w:cs="仿宋_GB2312"/>
          <w:color w:val="auto"/>
          <w:sz w:val="24"/>
        </w:rPr>
        <w:t>合同解除</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，甲方应按乙方已经完成并验收合格的工作量向乙方支付费用，如未全部完成或未验收合格的，该部分占比费用将不予结算；乙方应将已完成的阶段性成果移交给甲方，并退还全部有关资料或予以销毁、删除。</w:t>
      </w:r>
    </w:p>
    <w:p>
      <w:pPr>
        <w:pStyle w:val="7"/>
        <w:spacing w:after="0" w:line="560" w:lineRule="exact"/>
        <w:ind w:left="128" w:right="14"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8.3甲方明确表示或者以自己的行为表明不履行本合同的，乙方有权解除</w:t>
      </w:r>
      <w:r>
        <w:rPr>
          <w:rFonts w:hint="eastAsia" w:ascii="仿宋_GB2312" w:hAnsi="仿宋_GB2312" w:eastAsia="仿宋_GB2312" w:cs="仿宋_GB2312"/>
          <w:color w:val="auto"/>
          <w:spacing w:val="-7"/>
          <w:sz w:val="24"/>
        </w:rPr>
        <w:t>合同。乙方未开始提供服务的，甲方不支付任何费用，已支付的乙方应全额退还</w:t>
      </w:r>
      <w:r>
        <w:rPr>
          <w:rFonts w:hint="eastAsia" w:ascii="仿宋_GB2312" w:hAnsi="仿宋_GB2312" w:eastAsia="仿宋_GB2312" w:cs="仿宋_GB2312"/>
          <w:color w:val="auto"/>
          <w:spacing w:val="-3"/>
          <w:sz w:val="24"/>
        </w:rPr>
        <w:t>给甲方；已开始提供服务的，甲方按乙方已经完成</w:t>
      </w:r>
      <w:r>
        <w:rPr>
          <w:rFonts w:hint="eastAsia" w:ascii="仿宋_GB2312" w:hAnsi="仿宋_GB2312" w:eastAsia="仿宋_GB2312" w:cs="仿宋_GB2312"/>
          <w:color w:val="auto"/>
          <w:spacing w:val="-4"/>
          <w:sz w:val="24"/>
        </w:rPr>
        <w:t>并验收合格的工作量向乙方支</w:t>
      </w:r>
      <w:r>
        <w:rPr>
          <w:rFonts w:hint="eastAsia" w:ascii="仿宋_GB2312" w:hAnsi="仿宋_GB2312" w:eastAsia="仿宋_GB2312" w:cs="仿宋_GB2312"/>
          <w:color w:val="auto"/>
          <w:spacing w:val="-2"/>
          <w:sz w:val="24"/>
        </w:rPr>
        <w:t>付费用，费用结算按</w:t>
      </w:r>
      <w:r>
        <w:rPr>
          <w:rFonts w:hint="eastAsia" w:ascii="仿宋_GB2312" w:hAnsi="仿宋_GB2312" w:eastAsia="仿宋_GB2312" w:cs="仿宋_GB2312"/>
          <w:color w:val="auto"/>
          <w:spacing w:val="-2"/>
          <w:sz w:val="24"/>
          <w:lang w:val="en-US" w:eastAsia="zh-CN"/>
        </w:rPr>
        <w:t>8</w:t>
      </w:r>
      <w:r>
        <w:rPr>
          <w:rFonts w:hint="eastAsia" w:ascii="仿宋_GB2312" w:hAnsi="仿宋_GB2312" w:eastAsia="仿宋_GB2312" w:cs="仿宋_GB2312"/>
          <w:color w:val="auto"/>
          <w:spacing w:val="-2"/>
          <w:sz w:val="24"/>
        </w:rPr>
        <w:t>.2</w:t>
      </w:r>
      <w:r>
        <w:rPr>
          <w:rFonts w:hint="eastAsia" w:ascii="仿宋_GB2312" w:hAnsi="仿宋_GB2312" w:eastAsia="仿宋_GB2312" w:cs="仿宋_GB2312"/>
          <w:color w:val="auto"/>
          <w:spacing w:val="-32"/>
          <w:sz w:val="24"/>
        </w:rPr>
        <w:t xml:space="preserve"> </w:t>
      </w:r>
      <w:r>
        <w:rPr>
          <w:rFonts w:hint="eastAsia" w:ascii="仿宋_GB2312" w:hAnsi="仿宋_GB2312" w:eastAsia="仿宋_GB2312" w:cs="仿宋_GB2312"/>
          <w:color w:val="auto"/>
          <w:spacing w:val="-2"/>
          <w:sz w:val="24"/>
        </w:rPr>
        <w:t>条约定的结算规则执行。乙方应同时将已完成的阶段成果移交给甲方，并退还全部有关资料或予以销毁、删除。</w:t>
      </w:r>
    </w:p>
    <w:p>
      <w:pPr>
        <w:pStyle w:val="7"/>
        <w:spacing w:after="0" w:line="560" w:lineRule="exact"/>
        <w:ind w:left="32" w:right="67" w:firstLine="489"/>
        <w:rPr>
          <w:rFonts w:hint="eastAsia" w:ascii="仿宋_GB2312" w:hAnsi="仿宋_GB2312" w:eastAsia="仿宋_GB2312" w:cs="仿宋_GB2312"/>
          <w:b/>
          <w:bCs/>
          <w:color w:val="auto"/>
          <w:spacing w:val="-14"/>
          <w:sz w:val="24"/>
        </w:rPr>
      </w:pPr>
      <w:r>
        <w:rPr>
          <w:rFonts w:hint="eastAsia" w:ascii="仿宋_GB2312" w:hAnsi="仿宋_GB2312" w:eastAsia="仿宋_GB2312" w:cs="仿宋_GB2312"/>
          <w:b/>
          <w:bCs/>
          <w:color w:val="auto"/>
          <w:spacing w:val="-14"/>
          <w:sz w:val="24"/>
        </w:rPr>
        <w:t>第九条</w:t>
      </w:r>
      <w:r>
        <w:rPr>
          <w:rFonts w:hint="eastAsia" w:ascii="仿宋_GB2312" w:hAnsi="仿宋_GB2312" w:eastAsia="仿宋_GB2312" w:cs="仿宋_GB2312"/>
          <w:color w:val="auto"/>
          <w:spacing w:val="21"/>
          <w:sz w:val="24"/>
        </w:rPr>
        <w:t xml:space="preserve"> </w:t>
      </w:r>
      <w:r>
        <w:rPr>
          <w:rFonts w:hint="eastAsia" w:ascii="仿宋_GB2312" w:hAnsi="仿宋_GB2312" w:eastAsia="仿宋_GB2312" w:cs="仿宋_GB2312"/>
          <w:b/>
          <w:bCs/>
          <w:color w:val="auto"/>
          <w:spacing w:val="-14"/>
          <w:sz w:val="24"/>
        </w:rPr>
        <w:t>不可抗力</w:t>
      </w:r>
    </w:p>
    <w:p>
      <w:pPr>
        <w:pStyle w:val="7"/>
        <w:spacing w:after="0" w:line="560" w:lineRule="exact"/>
        <w:ind w:left="32" w:right="67" w:firstLine="48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9.1“不可抗力”事件指一方无法控制致使该方无</w:t>
      </w:r>
      <w:r>
        <w:rPr>
          <w:rFonts w:hint="eastAsia" w:ascii="仿宋_GB2312" w:hAnsi="仿宋_GB2312" w:eastAsia="仿宋_GB2312" w:cs="仿宋_GB2312"/>
          <w:color w:val="auto"/>
          <w:spacing w:val="-1"/>
          <w:sz w:val="24"/>
        </w:rPr>
        <w:t>法完全履行其在本合同</w:t>
      </w:r>
      <w:r>
        <w:rPr>
          <w:rFonts w:hint="eastAsia" w:ascii="仿宋_GB2312" w:hAnsi="仿宋_GB2312" w:eastAsia="仿宋_GB2312" w:cs="仿宋_GB2312"/>
          <w:color w:val="auto"/>
          <w:spacing w:val="-3"/>
          <w:sz w:val="24"/>
        </w:rPr>
        <w:t>项下义务的事件。不可抗力事件包括但不限于政府</w:t>
      </w:r>
      <w:r>
        <w:rPr>
          <w:rFonts w:hint="eastAsia" w:ascii="仿宋_GB2312" w:hAnsi="仿宋_GB2312" w:eastAsia="仿宋_GB2312" w:cs="仿宋_GB2312"/>
          <w:color w:val="auto"/>
          <w:spacing w:val="-4"/>
          <w:sz w:val="24"/>
        </w:rPr>
        <w:t>或政府机构的禁令或行为，暴</w:t>
      </w:r>
      <w:r>
        <w:rPr>
          <w:rFonts w:hint="eastAsia" w:ascii="仿宋_GB2312" w:hAnsi="仿宋_GB2312" w:eastAsia="仿宋_GB2312" w:cs="仿宋_GB2312"/>
          <w:color w:val="auto"/>
          <w:spacing w:val="-8"/>
          <w:sz w:val="24"/>
        </w:rPr>
        <w:t>乱、战争、敌对状态、公共骚乱、罢工或其他劳务纠纷和停工，运输</w:t>
      </w:r>
      <w:r>
        <w:rPr>
          <w:rFonts w:hint="eastAsia" w:ascii="仿宋_GB2312" w:hAnsi="仿宋_GB2312" w:eastAsia="仿宋_GB2312" w:cs="仿宋_GB2312"/>
          <w:color w:val="auto"/>
          <w:spacing w:val="-9"/>
          <w:sz w:val="24"/>
        </w:rPr>
        <w:t>或其他设施</w:t>
      </w:r>
      <w:r>
        <w:rPr>
          <w:rFonts w:hint="eastAsia" w:ascii="仿宋_GB2312" w:hAnsi="仿宋_GB2312" w:eastAsia="仿宋_GB2312" w:cs="仿宋_GB2312"/>
          <w:color w:val="auto"/>
          <w:spacing w:val="-2"/>
          <w:sz w:val="24"/>
        </w:rPr>
        <w:t>停顿或中断、瘟疫、火灾、水灾、地震、风暴或其他自然现象等。</w:t>
      </w:r>
    </w:p>
    <w:p>
      <w:pPr>
        <w:pStyle w:val="7"/>
        <w:spacing w:after="0" w:line="560" w:lineRule="exact"/>
        <w:ind w:left="30"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9.2 若发生不可抗力事件直接影响本合同的履行或使</w:t>
      </w:r>
      <w:r>
        <w:rPr>
          <w:rFonts w:hint="eastAsia" w:ascii="仿宋_GB2312" w:hAnsi="仿宋_GB2312" w:eastAsia="仿宋_GB2312" w:cs="仿宋_GB2312"/>
          <w:color w:val="auto"/>
          <w:spacing w:val="6"/>
          <w:sz w:val="24"/>
        </w:rPr>
        <w:t>本合同不能完全履</w:t>
      </w:r>
      <w:r>
        <w:rPr>
          <w:rFonts w:hint="eastAsia" w:ascii="仿宋_GB2312" w:hAnsi="仿宋_GB2312" w:eastAsia="仿宋_GB2312" w:cs="仿宋_GB2312"/>
          <w:color w:val="auto"/>
          <w:spacing w:val="-8"/>
          <w:sz w:val="24"/>
        </w:rPr>
        <w:t>行，遭受不可抗力事件的一方应在事件发生后（因不可抗力事件导致通讯中断的，</w:t>
      </w:r>
      <w:r>
        <w:rPr>
          <w:rFonts w:hint="eastAsia" w:ascii="仿宋_GB2312" w:hAnsi="仿宋_GB2312" w:eastAsia="仿宋_GB2312" w:cs="仿宋_GB2312"/>
          <w:color w:val="auto"/>
          <w:sz w:val="24"/>
        </w:rPr>
        <w:t>则为恢复通讯之日后）24小时内通过电话或传真将事件的状况通知另一方，并</w:t>
      </w:r>
      <w:r>
        <w:rPr>
          <w:rFonts w:hint="eastAsia" w:ascii="仿宋_GB2312" w:hAnsi="仿宋_GB2312" w:eastAsia="仿宋_GB2312" w:cs="仿宋_GB2312"/>
          <w:color w:val="auto"/>
          <w:spacing w:val="-2"/>
          <w:sz w:val="24"/>
        </w:rPr>
        <w:t>应在事件发生后10</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2"/>
          <w:sz w:val="24"/>
        </w:rPr>
        <w:t>天内向另一方提供事件的详情及证明其不能履行、需延期履</w:t>
      </w:r>
      <w:r>
        <w:rPr>
          <w:rFonts w:hint="eastAsia" w:ascii="仿宋_GB2312" w:hAnsi="仿宋_GB2312" w:eastAsia="仿宋_GB2312" w:cs="仿宋_GB2312"/>
          <w:color w:val="auto"/>
          <w:spacing w:val="-3"/>
          <w:sz w:val="24"/>
        </w:rPr>
        <w:t>行或者只能部分履行本合同的有效证明文件。双方按事</w:t>
      </w:r>
      <w:r>
        <w:rPr>
          <w:rFonts w:hint="eastAsia" w:ascii="仿宋_GB2312" w:hAnsi="仿宋_GB2312" w:eastAsia="仿宋_GB2312" w:cs="仿宋_GB2312"/>
          <w:color w:val="auto"/>
          <w:spacing w:val="-4"/>
          <w:sz w:val="24"/>
        </w:rPr>
        <w:t>件对履行本合同影响的程</w:t>
      </w:r>
      <w:r>
        <w:rPr>
          <w:rFonts w:hint="eastAsia" w:ascii="仿宋_GB2312" w:hAnsi="仿宋_GB2312" w:eastAsia="仿宋_GB2312" w:cs="仿宋_GB2312"/>
          <w:color w:val="auto"/>
          <w:spacing w:val="-3"/>
          <w:sz w:val="24"/>
        </w:rPr>
        <w:t>度，协商决定是否免除履行本合同的部分责任，或者</w:t>
      </w:r>
      <w:r>
        <w:rPr>
          <w:rFonts w:hint="eastAsia" w:ascii="仿宋_GB2312" w:hAnsi="仿宋_GB2312" w:eastAsia="仿宋_GB2312" w:cs="仿宋_GB2312"/>
          <w:color w:val="auto"/>
          <w:spacing w:val="-4"/>
          <w:sz w:val="24"/>
        </w:rPr>
        <w:t>延期履行本合同，或者采取</w:t>
      </w:r>
      <w:r>
        <w:rPr>
          <w:rFonts w:hint="eastAsia" w:ascii="仿宋_GB2312" w:hAnsi="仿宋_GB2312" w:eastAsia="仿宋_GB2312" w:cs="仿宋_GB2312"/>
          <w:color w:val="auto"/>
          <w:spacing w:val="-3"/>
          <w:sz w:val="24"/>
        </w:rPr>
        <w:t>双方均能接受的其他解决办法或补救措施。当不可抗</w:t>
      </w:r>
      <w:r>
        <w:rPr>
          <w:rFonts w:hint="eastAsia" w:ascii="仿宋_GB2312" w:hAnsi="仿宋_GB2312" w:eastAsia="仿宋_GB2312" w:cs="仿宋_GB2312"/>
          <w:color w:val="auto"/>
          <w:spacing w:val="-4"/>
          <w:sz w:val="24"/>
        </w:rPr>
        <w:t>力事件对本合同的影响消除</w:t>
      </w:r>
      <w:r>
        <w:rPr>
          <w:rFonts w:hint="eastAsia" w:ascii="仿宋_GB2312" w:hAnsi="仿宋_GB2312" w:eastAsia="仿宋_GB2312" w:cs="仿宋_GB2312"/>
          <w:color w:val="auto"/>
          <w:spacing w:val="-1"/>
          <w:sz w:val="24"/>
        </w:rPr>
        <w:t>后，遭受事件影响的一方应在不可抗力对本合同的影响消除后的</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pacing w:val="-1"/>
          <w:sz w:val="24"/>
        </w:rPr>
        <w:t>48</w:t>
      </w:r>
      <w:r>
        <w:rPr>
          <w:rFonts w:hint="eastAsia" w:ascii="仿宋_GB2312" w:hAnsi="仿宋_GB2312" w:eastAsia="仿宋_GB2312" w:cs="仿宋_GB2312"/>
          <w:color w:val="auto"/>
          <w:spacing w:val="-35"/>
          <w:sz w:val="24"/>
        </w:rPr>
        <w:t xml:space="preserve"> </w:t>
      </w:r>
      <w:r>
        <w:rPr>
          <w:rFonts w:hint="eastAsia" w:ascii="仿宋_GB2312" w:hAnsi="仿宋_GB2312" w:eastAsia="仿宋_GB2312" w:cs="仿宋_GB2312"/>
          <w:color w:val="auto"/>
          <w:spacing w:val="-2"/>
          <w:sz w:val="24"/>
        </w:rPr>
        <w:t>小时内采取积极措施，有继续履行可能的应当继续履行本合同。</w:t>
      </w:r>
    </w:p>
    <w:p>
      <w:pPr>
        <w:pStyle w:val="7"/>
        <w:spacing w:after="0" w:line="560" w:lineRule="exact"/>
        <w:ind w:left="30" w:right="70"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9.3</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pacing w:val="-2"/>
          <w:sz w:val="24"/>
        </w:rPr>
        <w:t>因不可抗力事件影响导致无法实现</w:t>
      </w:r>
      <w:r>
        <w:rPr>
          <w:rFonts w:hint="eastAsia" w:ascii="仿宋_GB2312" w:hAnsi="仿宋_GB2312" w:eastAsia="仿宋_GB2312" w:cs="仿宋_GB2312"/>
          <w:color w:val="auto"/>
          <w:spacing w:val="-3"/>
          <w:sz w:val="24"/>
        </w:rPr>
        <w:t>合同目的的一方有权解除本合同。双方同意若因不可抗力导致合同解除的，甲方按乙方</w:t>
      </w:r>
      <w:r>
        <w:rPr>
          <w:rFonts w:hint="eastAsia" w:ascii="仿宋_GB2312" w:hAnsi="仿宋_GB2312" w:eastAsia="仿宋_GB2312" w:cs="仿宋_GB2312"/>
          <w:color w:val="auto"/>
          <w:spacing w:val="-4"/>
          <w:sz w:val="24"/>
        </w:rPr>
        <w:t>已经完成并验收合格的工作</w:t>
      </w:r>
      <w:r>
        <w:rPr>
          <w:rFonts w:hint="eastAsia" w:ascii="仿宋_GB2312" w:hAnsi="仿宋_GB2312" w:eastAsia="仿宋_GB2312" w:cs="仿宋_GB2312"/>
          <w:color w:val="auto"/>
          <w:spacing w:val="-3"/>
          <w:sz w:val="24"/>
        </w:rPr>
        <w:t>量向乙方支付费用，费用结算按第</w:t>
      </w:r>
      <w:r>
        <w:rPr>
          <w:rFonts w:hint="eastAsia" w:ascii="仿宋_GB2312" w:hAnsi="仿宋_GB2312" w:eastAsia="仿宋_GB2312" w:cs="仿宋_GB2312"/>
          <w:color w:val="auto"/>
          <w:spacing w:val="-32"/>
          <w:sz w:val="24"/>
        </w:rPr>
        <w:t xml:space="preserve"> </w:t>
      </w:r>
      <w:r>
        <w:rPr>
          <w:rFonts w:hint="eastAsia" w:ascii="仿宋_GB2312" w:hAnsi="仿宋_GB2312" w:eastAsia="仿宋_GB2312" w:cs="仿宋_GB2312"/>
          <w:color w:val="auto"/>
          <w:spacing w:val="-32"/>
          <w:sz w:val="24"/>
          <w:lang w:val="en-US" w:eastAsia="zh-CN"/>
        </w:rPr>
        <w:t>8</w:t>
      </w:r>
      <w:r>
        <w:rPr>
          <w:rFonts w:hint="eastAsia" w:ascii="仿宋_GB2312" w:hAnsi="仿宋_GB2312" w:eastAsia="仿宋_GB2312" w:cs="仿宋_GB2312"/>
          <w:color w:val="auto"/>
          <w:spacing w:val="-3"/>
          <w:sz w:val="24"/>
        </w:rPr>
        <w:t>.2</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pacing w:val="-3"/>
          <w:sz w:val="24"/>
        </w:rPr>
        <w:t>条约定的结算规则执行。</w:t>
      </w:r>
    </w:p>
    <w:p>
      <w:pPr>
        <w:pStyle w:val="7"/>
        <w:spacing w:after="0" w:line="560" w:lineRule="exact"/>
        <w:ind w:left="32" w:right="70" w:firstLine="489"/>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9.4</w:t>
      </w:r>
      <w:r>
        <w:rPr>
          <w:rFonts w:hint="eastAsia" w:ascii="仿宋_GB2312" w:hAnsi="仿宋_GB2312" w:eastAsia="仿宋_GB2312" w:cs="仿宋_GB2312"/>
          <w:color w:val="auto"/>
          <w:spacing w:val="40"/>
          <w:sz w:val="24"/>
        </w:rPr>
        <w:t xml:space="preserve"> </w:t>
      </w:r>
      <w:r>
        <w:rPr>
          <w:rFonts w:hint="eastAsia" w:ascii="仿宋_GB2312" w:hAnsi="仿宋_GB2312" w:eastAsia="仿宋_GB2312" w:cs="仿宋_GB2312"/>
          <w:color w:val="auto"/>
          <w:spacing w:val="-1"/>
          <w:sz w:val="24"/>
        </w:rPr>
        <w:t>因不可抗力事件而不能履行本合同项</w:t>
      </w:r>
      <w:r>
        <w:rPr>
          <w:rFonts w:hint="eastAsia" w:ascii="仿宋_GB2312" w:hAnsi="仿宋_GB2312" w:eastAsia="仿宋_GB2312" w:cs="仿宋_GB2312"/>
          <w:color w:val="auto"/>
          <w:spacing w:val="-2"/>
          <w:sz w:val="24"/>
        </w:rPr>
        <w:t>下义务的任何一方可部分或者全部免除责任，但该方迟延履行后发生不可抗力的，不能免除责任。</w:t>
      </w:r>
    </w:p>
    <w:p>
      <w:pPr>
        <w:pStyle w:val="7"/>
        <w:spacing w:after="0" w:line="560" w:lineRule="exact"/>
        <w:ind w:left="32" w:right="67" w:firstLine="489"/>
        <w:rPr>
          <w:rFonts w:hint="eastAsia" w:ascii="仿宋_GB2312" w:hAnsi="仿宋_GB2312" w:eastAsia="仿宋_GB2312" w:cs="仿宋_GB2312"/>
          <w:b/>
          <w:bCs/>
          <w:color w:val="auto"/>
          <w:spacing w:val="-14"/>
          <w:sz w:val="24"/>
        </w:rPr>
      </w:pPr>
      <w:r>
        <w:rPr>
          <w:rFonts w:hint="eastAsia" w:ascii="仿宋_GB2312" w:hAnsi="仿宋_GB2312" w:eastAsia="仿宋_GB2312" w:cs="仿宋_GB2312"/>
          <w:b/>
          <w:bCs/>
          <w:color w:val="auto"/>
          <w:spacing w:val="-14"/>
          <w:sz w:val="24"/>
        </w:rPr>
        <w:t>第十条 法律适用及争议解决</w:t>
      </w:r>
    </w:p>
    <w:p>
      <w:pPr>
        <w:pStyle w:val="7"/>
        <w:spacing w:after="0" w:line="560" w:lineRule="exact"/>
        <w:ind w:left="73" w:right="72" w:firstLine="4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10.1 本合同的订立、履行、解释及争议解决等均受</w:t>
      </w:r>
      <w:r>
        <w:rPr>
          <w:rFonts w:hint="eastAsia" w:ascii="仿宋_GB2312" w:hAnsi="仿宋_GB2312" w:eastAsia="仿宋_GB2312" w:cs="仿宋_GB2312"/>
          <w:color w:val="auto"/>
          <w:spacing w:val="-1"/>
          <w:sz w:val="24"/>
        </w:rPr>
        <w:t>中国法律（为本合同之</w:t>
      </w:r>
      <w:r>
        <w:rPr>
          <w:rFonts w:hint="eastAsia" w:ascii="仿宋_GB2312" w:hAnsi="仿宋_GB2312" w:eastAsia="仿宋_GB2312" w:cs="仿宋_GB2312"/>
          <w:color w:val="auto"/>
          <w:spacing w:val="-5"/>
          <w:sz w:val="24"/>
        </w:rPr>
        <w:t>目的，不包括港、澳、台地区法律）管辖。</w:t>
      </w:r>
    </w:p>
    <w:p>
      <w:pPr>
        <w:pStyle w:val="7"/>
        <w:spacing w:after="0" w:line="560" w:lineRule="exact"/>
        <w:ind w:left="34" w:firstLine="48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10.2 双方如在本合同履行过程中发生争议，应友好协商解决；协商不成的，</w:t>
      </w:r>
      <w:r>
        <w:rPr>
          <w:rFonts w:hint="eastAsia" w:ascii="仿宋_GB2312" w:hAnsi="仿宋_GB2312" w:eastAsia="仿宋_GB2312" w:cs="仿宋_GB2312"/>
          <w:color w:val="auto"/>
          <w:spacing w:val="-2"/>
          <w:sz w:val="24"/>
        </w:rPr>
        <w:t>则任何一方均有权向甲方所在地</w:t>
      </w:r>
      <w:r>
        <w:rPr>
          <w:rFonts w:hint="eastAsia" w:ascii="仿宋_GB2312" w:hAnsi="仿宋_GB2312" w:eastAsia="仿宋_GB2312" w:cs="仿宋_GB2312"/>
          <w:color w:val="auto"/>
          <w:spacing w:val="-2"/>
          <w:sz w:val="24"/>
          <w:lang w:val="en-US" w:eastAsia="zh-CN"/>
        </w:rPr>
        <w:t>有管辖权的</w:t>
      </w:r>
      <w:r>
        <w:rPr>
          <w:rFonts w:hint="eastAsia" w:ascii="仿宋_GB2312" w:hAnsi="仿宋_GB2312" w:eastAsia="仿宋_GB2312" w:cs="仿宋_GB2312"/>
          <w:color w:val="auto"/>
          <w:spacing w:val="-2"/>
          <w:sz w:val="24"/>
        </w:rPr>
        <w:t>人民法院提</w:t>
      </w:r>
      <w:r>
        <w:rPr>
          <w:rFonts w:hint="eastAsia" w:ascii="仿宋_GB2312" w:hAnsi="仿宋_GB2312" w:eastAsia="仿宋_GB2312" w:cs="仿宋_GB2312"/>
          <w:color w:val="auto"/>
          <w:spacing w:val="-3"/>
          <w:sz w:val="24"/>
        </w:rPr>
        <w:t>起诉讼。</w:t>
      </w:r>
    </w:p>
    <w:p>
      <w:pPr>
        <w:pStyle w:val="7"/>
        <w:spacing w:after="0" w:line="560" w:lineRule="exact"/>
        <w:ind w:left="521"/>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3"/>
          <w:sz w:val="24"/>
        </w:rPr>
        <w:t>第十一条</w:t>
      </w:r>
      <w:r>
        <w:rPr>
          <w:rFonts w:hint="eastAsia" w:ascii="仿宋_GB2312" w:hAnsi="仿宋_GB2312" w:eastAsia="仿宋_GB2312" w:cs="仿宋_GB2312"/>
          <w:color w:val="auto"/>
          <w:spacing w:val="11"/>
          <w:sz w:val="24"/>
        </w:rPr>
        <w:t xml:space="preserve"> </w:t>
      </w:r>
      <w:r>
        <w:rPr>
          <w:rFonts w:hint="eastAsia" w:ascii="仿宋_GB2312" w:hAnsi="仿宋_GB2312" w:eastAsia="仿宋_GB2312" w:cs="仿宋_GB2312"/>
          <w:b/>
          <w:bCs/>
          <w:color w:val="auto"/>
          <w:spacing w:val="-13"/>
          <w:sz w:val="24"/>
        </w:rPr>
        <w:t>通知与送达</w:t>
      </w:r>
    </w:p>
    <w:p>
      <w:pPr>
        <w:pStyle w:val="7"/>
        <w:spacing w:after="0" w:line="560" w:lineRule="exact"/>
        <w:ind w:left="34" w:right="67" w:firstLine="48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 本合同履行过程中，甲、乙双方的有效联系方</w:t>
      </w:r>
      <w:r>
        <w:rPr>
          <w:rFonts w:hint="eastAsia" w:ascii="仿宋_GB2312" w:hAnsi="仿宋_GB2312" w:eastAsia="仿宋_GB2312" w:cs="仿宋_GB2312"/>
          <w:color w:val="auto"/>
          <w:spacing w:val="-1"/>
          <w:sz w:val="24"/>
        </w:rPr>
        <w:t>式及联系人如签署页所</w:t>
      </w:r>
      <w:r>
        <w:rPr>
          <w:rFonts w:hint="eastAsia" w:ascii="仿宋_GB2312" w:hAnsi="仿宋_GB2312" w:eastAsia="仿宋_GB2312" w:cs="仿宋_GB2312"/>
          <w:color w:val="auto"/>
          <w:spacing w:val="-7"/>
          <w:sz w:val="24"/>
        </w:rPr>
        <w:t>列。根据本合同发出的任何通知，应当采用书面形式，可以通过电子邮件、专人</w:t>
      </w:r>
      <w:r>
        <w:rPr>
          <w:rFonts w:hint="eastAsia" w:ascii="仿宋_GB2312" w:hAnsi="仿宋_GB2312" w:eastAsia="仿宋_GB2312" w:cs="仿宋_GB2312"/>
          <w:color w:val="auto"/>
          <w:spacing w:val="-3"/>
          <w:sz w:val="24"/>
        </w:rPr>
        <w:t>递送或者特快专递发送到合同签署页所列地址。</w:t>
      </w:r>
    </w:p>
    <w:p>
      <w:pPr>
        <w:pStyle w:val="7"/>
        <w:spacing w:after="0" w:line="560" w:lineRule="exact"/>
        <w:ind w:left="30" w:right="81" w:firstLine="46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11.2 如通过专人递送，该等通知在接收时视为已经送达；如通过特快专递，该等通知在发出后第</w:t>
      </w:r>
      <w:r>
        <w:rPr>
          <w:rFonts w:hint="eastAsia" w:ascii="仿宋_GB2312" w:hAnsi="仿宋_GB2312" w:eastAsia="仿宋_GB2312" w:cs="仿宋_GB2312"/>
          <w:color w:val="auto"/>
          <w:spacing w:val="-46"/>
          <w:sz w:val="24"/>
        </w:rPr>
        <w:t xml:space="preserve"> </w:t>
      </w:r>
      <w:r>
        <w:rPr>
          <w:rFonts w:hint="eastAsia" w:ascii="仿宋_GB2312" w:hAnsi="仿宋_GB2312" w:eastAsia="仿宋_GB2312" w:cs="仿宋_GB2312"/>
          <w:color w:val="auto"/>
          <w:spacing w:val="-5"/>
          <w:sz w:val="24"/>
        </w:rPr>
        <w:t>3日视为已经送达；如通过电子邮件</w:t>
      </w:r>
      <w:r>
        <w:rPr>
          <w:rFonts w:hint="eastAsia" w:ascii="仿宋_GB2312" w:hAnsi="仿宋_GB2312" w:eastAsia="仿宋_GB2312" w:cs="仿宋_GB2312"/>
          <w:color w:val="auto"/>
          <w:spacing w:val="-6"/>
          <w:sz w:val="24"/>
        </w:rPr>
        <w:t>，该等通知在发出之日</w:t>
      </w:r>
      <w:r>
        <w:rPr>
          <w:rFonts w:hint="eastAsia" w:ascii="仿宋_GB2312" w:hAnsi="仿宋_GB2312" w:eastAsia="仿宋_GB2312" w:cs="仿宋_GB2312"/>
          <w:color w:val="auto"/>
          <w:spacing w:val="-3"/>
          <w:sz w:val="24"/>
        </w:rPr>
        <w:t>视为已经送达。如果一方故意拒收、找他人代收、邮件</w:t>
      </w:r>
      <w:r>
        <w:rPr>
          <w:rFonts w:hint="eastAsia" w:ascii="仿宋_GB2312" w:hAnsi="仿宋_GB2312" w:eastAsia="仿宋_GB2312" w:cs="仿宋_GB2312"/>
          <w:color w:val="auto"/>
          <w:spacing w:val="-4"/>
          <w:sz w:val="24"/>
        </w:rPr>
        <w:t>被退回或者以其他理由逃</w:t>
      </w:r>
      <w:r>
        <w:rPr>
          <w:rFonts w:hint="eastAsia" w:ascii="仿宋_GB2312" w:hAnsi="仿宋_GB2312" w:eastAsia="仿宋_GB2312" w:cs="仿宋_GB2312"/>
          <w:color w:val="auto"/>
          <w:spacing w:val="-2"/>
          <w:sz w:val="24"/>
        </w:rPr>
        <w:t>避接收文件的，所有书面文书自发出之日视为送达。</w:t>
      </w:r>
    </w:p>
    <w:p>
      <w:pPr>
        <w:pStyle w:val="7"/>
        <w:spacing w:after="0" w:line="560" w:lineRule="exact"/>
        <w:ind w:left="28" w:right="81" w:firstLine="49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11.3 双方一致认可，在本合同签订后，双方之间的</w:t>
      </w:r>
      <w:r>
        <w:rPr>
          <w:rFonts w:hint="eastAsia" w:ascii="仿宋_GB2312" w:hAnsi="仿宋_GB2312" w:eastAsia="仿宋_GB2312" w:cs="仿宋_GB2312"/>
          <w:color w:val="auto"/>
          <w:spacing w:val="-1"/>
          <w:sz w:val="24"/>
        </w:rPr>
        <w:t>书面通知等文件通过电</w:t>
      </w:r>
      <w:r>
        <w:rPr>
          <w:rFonts w:hint="eastAsia" w:ascii="仿宋_GB2312" w:hAnsi="仿宋_GB2312" w:eastAsia="仿宋_GB2312" w:cs="仿宋_GB2312"/>
          <w:color w:val="auto"/>
          <w:spacing w:val="-7"/>
          <w:sz w:val="24"/>
        </w:rPr>
        <w:t>子邮件、递送、特快专递等方式发送至双方签署页中的联系地址视为送达，且该</w:t>
      </w:r>
      <w:r>
        <w:rPr>
          <w:rFonts w:hint="eastAsia" w:ascii="仿宋_GB2312" w:hAnsi="仿宋_GB2312" w:eastAsia="仿宋_GB2312" w:cs="仿宋_GB2312"/>
          <w:color w:val="auto"/>
          <w:spacing w:val="-1"/>
          <w:sz w:val="24"/>
        </w:rPr>
        <w:t>联系地址适用于一审、二审、再审和执行各个诉</w:t>
      </w:r>
      <w:r>
        <w:rPr>
          <w:rFonts w:hint="eastAsia" w:ascii="仿宋_GB2312" w:hAnsi="仿宋_GB2312" w:eastAsia="仿宋_GB2312" w:cs="仿宋_GB2312"/>
          <w:color w:val="auto"/>
          <w:spacing w:val="-2"/>
          <w:sz w:val="24"/>
        </w:rPr>
        <w:t>讼阶段或者各个仲裁阶段。</w:t>
      </w:r>
    </w:p>
    <w:p>
      <w:pPr>
        <w:pStyle w:val="7"/>
        <w:spacing w:after="0" w:line="560" w:lineRule="exact"/>
        <w:ind w:left="31" w:right="80"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11.4 任何一方如改变其联系方式或者联系人的，应在变更之日起</w:t>
      </w:r>
      <w:r>
        <w:rPr>
          <w:rFonts w:hint="eastAsia" w:ascii="仿宋_GB2312" w:hAnsi="仿宋_GB2312" w:eastAsia="仿宋_GB2312" w:cs="仿宋_GB2312"/>
          <w:color w:val="auto"/>
          <w:spacing w:val="-23"/>
          <w:sz w:val="24"/>
        </w:rPr>
        <w:t xml:space="preserve"> </w:t>
      </w:r>
      <w:r>
        <w:rPr>
          <w:rFonts w:hint="eastAsia" w:ascii="仿宋_GB2312" w:hAnsi="仿宋_GB2312" w:eastAsia="仿宋_GB2312" w:cs="仿宋_GB2312"/>
          <w:color w:val="auto"/>
          <w:spacing w:val="-2"/>
          <w:sz w:val="24"/>
        </w:rPr>
        <w:t>3</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2"/>
          <w:sz w:val="24"/>
        </w:rPr>
        <w:t>个工作</w:t>
      </w:r>
      <w:r>
        <w:rPr>
          <w:rFonts w:hint="eastAsia" w:ascii="仿宋_GB2312" w:hAnsi="仿宋_GB2312" w:eastAsia="仿宋_GB2312" w:cs="仿宋_GB2312"/>
          <w:color w:val="auto"/>
          <w:spacing w:val="-5"/>
          <w:sz w:val="24"/>
        </w:rPr>
        <w:t>日内书面通知对方。在被通知方收到有关通知之前，被通</w:t>
      </w:r>
      <w:r>
        <w:rPr>
          <w:rFonts w:hint="eastAsia" w:ascii="仿宋_GB2312" w:hAnsi="仿宋_GB2312" w:eastAsia="仿宋_GB2312" w:cs="仿宋_GB2312"/>
          <w:color w:val="auto"/>
          <w:spacing w:val="-6"/>
          <w:sz w:val="24"/>
        </w:rPr>
        <w:t>知方根据变更前的联系</w:t>
      </w:r>
      <w:r>
        <w:rPr>
          <w:rFonts w:hint="eastAsia" w:ascii="仿宋_GB2312" w:hAnsi="仿宋_GB2312" w:eastAsia="仿宋_GB2312" w:cs="仿宋_GB2312"/>
          <w:color w:val="auto"/>
          <w:spacing w:val="-3"/>
          <w:sz w:val="24"/>
        </w:rPr>
        <w:t>信息所做出的联络和通讯应视为有效，未及时通知</w:t>
      </w:r>
      <w:r>
        <w:rPr>
          <w:rFonts w:hint="eastAsia" w:ascii="仿宋_GB2312" w:hAnsi="仿宋_GB2312" w:eastAsia="仿宋_GB2312" w:cs="仿宋_GB2312"/>
          <w:color w:val="auto"/>
          <w:spacing w:val="-4"/>
          <w:sz w:val="24"/>
        </w:rPr>
        <w:t>变更情况的一方自行承担由此</w:t>
      </w:r>
      <w:r>
        <w:rPr>
          <w:rFonts w:hint="eastAsia" w:ascii="仿宋_GB2312" w:hAnsi="仿宋_GB2312" w:eastAsia="仿宋_GB2312" w:cs="仿宋_GB2312"/>
          <w:color w:val="auto"/>
          <w:spacing w:val="-6"/>
          <w:sz w:val="24"/>
        </w:rPr>
        <w:t>产生的法律后果。</w:t>
      </w:r>
    </w:p>
    <w:p>
      <w:pPr>
        <w:pStyle w:val="7"/>
        <w:spacing w:after="0" w:line="560" w:lineRule="exact"/>
        <w:ind w:left="521"/>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4"/>
          <w:sz w:val="24"/>
        </w:rPr>
        <w:t>第十二条</w:t>
      </w:r>
      <w:r>
        <w:rPr>
          <w:rFonts w:hint="eastAsia" w:ascii="仿宋_GB2312" w:hAnsi="仿宋_GB2312" w:eastAsia="仿宋_GB2312" w:cs="仿宋_GB2312"/>
          <w:color w:val="auto"/>
          <w:spacing w:val="17"/>
          <w:sz w:val="24"/>
        </w:rPr>
        <w:t xml:space="preserve"> </w:t>
      </w:r>
      <w:r>
        <w:rPr>
          <w:rFonts w:hint="eastAsia" w:ascii="仿宋_GB2312" w:hAnsi="仿宋_GB2312" w:eastAsia="仿宋_GB2312" w:cs="仿宋_GB2312"/>
          <w:b/>
          <w:bCs/>
          <w:color w:val="auto"/>
          <w:spacing w:val="-14"/>
          <w:sz w:val="24"/>
        </w:rPr>
        <w:t>其他条款</w:t>
      </w:r>
    </w:p>
    <w:p>
      <w:pPr>
        <w:pStyle w:val="7"/>
        <w:spacing w:after="0" w:line="560" w:lineRule="exact"/>
        <w:ind w:left="31" w:right="80" w:firstLine="490"/>
        <w:rPr>
          <w:rFonts w:hint="eastAsia"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12.1 本合同经双方充分协商并达成一致意见后签署。双方均保证具有洽谈、签订、履行本合同的主体资格及相关所需资质，且任何一方洽谈、签订、履行本合同的行为将不会违反任何在先义务，并不会引致另一方被以任何形式追究责任。</w:t>
      </w:r>
    </w:p>
    <w:p>
      <w:pPr>
        <w:pStyle w:val="7"/>
        <w:spacing w:after="0" w:line="560" w:lineRule="exact"/>
        <w:ind w:left="34" w:right="80" w:firstLine="48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12.2 本合同任何条款依据相关法律法规规定被认定为无效</w:t>
      </w:r>
      <w:r>
        <w:rPr>
          <w:rFonts w:hint="eastAsia" w:ascii="仿宋_GB2312" w:hAnsi="仿宋_GB2312" w:eastAsia="仿宋_GB2312" w:cs="仿宋_GB2312"/>
          <w:color w:val="auto"/>
          <w:spacing w:val="-1"/>
          <w:sz w:val="24"/>
        </w:rPr>
        <w:t>的，不影响其他</w:t>
      </w:r>
      <w:r>
        <w:rPr>
          <w:rFonts w:hint="eastAsia" w:ascii="仿宋_GB2312" w:hAnsi="仿宋_GB2312" w:eastAsia="仿宋_GB2312" w:cs="仿宋_GB2312"/>
          <w:color w:val="auto"/>
          <w:spacing w:val="-9"/>
          <w:sz w:val="24"/>
        </w:rPr>
        <w:t>条款效力。</w:t>
      </w:r>
    </w:p>
    <w:p>
      <w:pPr>
        <w:pStyle w:val="7"/>
        <w:spacing w:after="0" w:line="560" w:lineRule="exact"/>
        <w:ind w:left="32" w:right="79" w:firstLine="48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12.3 本合同自各方法定代表人或者授权代表签字（</w:t>
      </w:r>
      <w:r>
        <w:rPr>
          <w:rFonts w:hint="eastAsia" w:ascii="仿宋_GB2312" w:hAnsi="仿宋_GB2312" w:eastAsia="仿宋_GB2312" w:cs="仿宋_GB2312"/>
          <w:color w:val="auto"/>
          <w:spacing w:val="-1"/>
          <w:sz w:val="24"/>
        </w:rPr>
        <w:t>签章）并加盖公章或者</w:t>
      </w:r>
      <w:r>
        <w:rPr>
          <w:rFonts w:hint="eastAsia" w:ascii="仿宋_GB2312" w:hAnsi="仿宋_GB2312" w:eastAsia="仿宋_GB2312" w:cs="仿宋_GB2312"/>
          <w:color w:val="auto"/>
          <w:spacing w:val="-7"/>
          <w:sz w:val="24"/>
        </w:rPr>
        <w:t>合同专用章之日起生效。合同未尽事宜，须双方共同协商，签订补充协议，补充</w:t>
      </w:r>
      <w:r>
        <w:rPr>
          <w:rFonts w:hint="eastAsia" w:ascii="仿宋_GB2312" w:hAnsi="仿宋_GB2312" w:eastAsia="仿宋_GB2312" w:cs="仿宋_GB2312"/>
          <w:color w:val="auto"/>
          <w:spacing w:val="-4"/>
          <w:sz w:val="24"/>
        </w:rPr>
        <w:t>协议与本合同具同等法律效力。</w:t>
      </w:r>
    </w:p>
    <w:p>
      <w:pPr>
        <w:pStyle w:val="7"/>
        <w:spacing w:after="0" w:line="560" w:lineRule="exact"/>
        <w:ind w:left="33" w:right="81"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12.4 在下列文件有效适用的前提下，下列文件均是</w:t>
      </w:r>
      <w:r>
        <w:rPr>
          <w:rFonts w:hint="eastAsia" w:ascii="仿宋_GB2312" w:hAnsi="仿宋_GB2312" w:eastAsia="仿宋_GB2312" w:cs="仿宋_GB2312"/>
          <w:color w:val="auto"/>
          <w:spacing w:val="-1"/>
          <w:sz w:val="24"/>
        </w:rPr>
        <w:t>本合同的组成部分，在</w:t>
      </w:r>
      <w:r>
        <w:rPr>
          <w:rFonts w:hint="eastAsia" w:ascii="仿宋_GB2312" w:hAnsi="仿宋_GB2312" w:eastAsia="仿宋_GB2312" w:cs="仿宋_GB2312"/>
          <w:color w:val="auto"/>
          <w:spacing w:val="-3"/>
          <w:sz w:val="24"/>
        </w:rPr>
        <w:t>彼此内容不一致或者发生歧义时，按如下顺序</w:t>
      </w:r>
      <w:r>
        <w:rPr>
          <w:rFonts w:hint="eastAsia" w:ascii="仿宋_GB2312" w:hAnsi="仿宋_GB2312" w:eastAsia="仿宋_GB2312" w:cs="仿宋_GB2312"/>
          <w:color w:val="auto"/>
          <w:spacing w:val="-4"/>
          <w:sz w:val="24"/>
        </w:rPr>
        <w:t>进行解释；但涉及到乙方服务标准</w:t>
      </w:r>
      <w:r>
        <w:rPr>
          <w:rFonts w:hint="eastAsia" w:ascii="仿宋_GB2312" w:hAnsi="仿宋_GB2312" w:eastAsia="仿宋_GB2312" w:cs="仿宋_GB2312"/>
          <w:color w:val="auto"/>
          <w:spacing w:val="-5"/>
          <w:sz w:val="24"/>
        </w:rPr>
        <w:t>的部分，应以最严格标准为准：</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（1）补充条款及补充协议；</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（2）合同附件、经甲方确认的服务方案；</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（3）本合同正文；</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（4）中标通知书；</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（5）乙方的投标/响应文件、澄清等；</w:t>
      </w:r>
    </w:p>
    <w:p>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（6）甲方的招标/采购文件；</w:t>
      </w:r>
    </w:p>
    <w:p>
      <w:pPr>
        <w:pStyle w:val="7"/>
        <w:spacing w:after="0" w:line="560" w:lineRule="exact"/>
        <w:ind w:left="3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（7）合同履行期间经合同双方指定代表人签字确认的函件，如通知、会议 </w:t>
      </w:r>
      <w:r>
        <w:rPr>
          <w:rFonts w:hint="eastAsia" w:ascii="仿宋_GB2312" w:hAnsi="仿宋_GB2312" w:eastAsia="仿宋_GB2312" w:cs="仿宋_GB2312"/>
          <w:color w:val="auto"/>
          <w:spacing w:val="-4"/>
          <w:sz w:val="24"/>
        </w:rPr>
        <w:t>纪要、备忘录、补充协议书、指令、传真、电子邮件、变更和洽商等书面形式的</w:t>
      </w:r>
      <w:r>
        <w:rPr>
          <w:rFonts w:hint="eastAsia" w:ascii="仿宋_GB2312" w:hAnsi="仿宋_GB2312" w:eastAsia="仿宋_GB2312" w:cs="仿宋_GB2312"/>
          <w:color w:val="auto"/>
          <w:spacing w:val="-11"/>
          <w:sz w:val="24"/>
        </w:rPr>
        <w:t>文件。</w:t>
      </w:r>
    </w:p>
    <w:p>
      <w:pPr>
        <w:pStyle w:val="7"/>
        <w:spacing w:after="0" w:line="560" w:lineRule="exact"/>
        <w:ind w:left="36" w:right="16" w:firstLine="48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12.5 本合同涉及填空内容的，须以机打内容为准，</w:t>
      </w:r>
      <w:r>
        <w:rPr>
          <w:rFonts w:hint="eastAsia" w:ascii="仿宋_GB2312" w:hAnsi="仿宋_GB2312" w:eastAsia="仿宋_GB2312" w:cs="仿宋_GB2312"/>
          <w:color w:val="auto"/>
          <w:spacing w:val="-1"/>
          <w:sz w:val="24"/>
        </w:rPr>
        <w:t>涉及手写内容处须加盖</w:t>
      </w:r>
      <w:r>
        <w:rPr>
          <w:rFonts w:hint="eastAsia" w:ascii="仿宋_GB2312" w:hAnsi="仿宋_GB2312" w:eastAsia="仿宋_GB2312" w:cs="仿宋_GB2312"/>
          <w:color w:val="auto"/>
          <w:spacing w:val="-7"/>
          <w:sz w:val="24"/>
        </w:rPr>
        <w:t>单位印章确认。</w:t>
      </w:r>
    </w:p>
    <w:p>
      <w:pPr>
        <w:pStyle w:val="7"/>
        <w:spacing w:after="0" w:line="560" w:lineRule="exact"/>
        <w:ind w:left="37" w:right="14" w:firstLine="484"/>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12.6 双方依据本合同相关约定解除合同时，该合同</w:t>
      </w:r>
      <w:r>
        <w:rPr>
          <w:rFonts w:hint="eastAsia" w:ascii="仿宋_GB2312" w:hAnsi="仿宋_GB2312" w:eastAsia="仿宋_GB2312" w:cs="仿宋_GB2312"/>
          <w:color w:val="auto"/>
          <w:spacing w:val="-1"/>
          <w:sz w:val="24"/>
        </w:rPr>
        <w:t>自守约方书面通知违约</w:t>
      </w:r>
      <w:r>
        <w:rPr>
          <w:rFonts w:hint="eastAsia" w:ascii="仿宋_GB2312" w:hAnsi="仿宋_GB2312" w:eastAsia="仿宋_GB2312" w:cs="仿宋_GB2312"/>
          <w:color w:val="auto"/>
          <w:spacing w:val="-4"/>
          <w:sz w:val="24"/>
        </w:rPr>
        <w:t>方之日解除，但守约方书面通知书中另行载明合同解除日期的，则以该载明日期</w:t>
      </w:r>
      <w:r>
        <w:rPr>
          <w:rFonts w:hint="eastAsia" w:ascii="仿宋_GB2312" w:hAnsi="仿宋_GB2312" w:eastAsia="仿宋_GB2312" w:cs="仿宋_GB2312"/>
          <w:color w:val="auto"/>
          <w:spacing w:val="-7"/>
          <w:sz w:val="24"/>
        </w:rPr>
        <w:t>为合同解除日。</w:t>
      </w:r>
    </w:p>
    <w:p>
      <w:pPr>
        <w:pStyle w:val="7"/>
        <w:spacing w:after="0" w:line="560" w:lineRule="exact"/>
        <w:ind w:left="40" w:right="16" w:firstLine="48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12.7 本合同一式【玖】份，甲方执【肆】份，乙方</w:t>
      </w:r>
      <w:r>
        <w:rPr>
          <w:rFonts w:hint="eastAsia" w:ascii="仿宋_GB2312" w:hAnsi="仿宋_GB2312" w:eastAsia="仿宋_GB2312" w:cs="仿宋_GB2312"/>
          <w:color w:val="auto"/>
          <w:spacing w:val="-1"/>
          <w:sz w:val="24"/>
        </w:rPr>
        <w:t>执【伍】份，均具有同</w:t>
      </w:r>
      <w:r>
        <w:rPr>
          <w:rFonts w:hint="eastAsia" w:ascii="仿宋_GB2312" w:hAnsi="仿宋_GB2312" w:eastAsia="仿宋_GB2312" w:cs="仿宋_GB2312"/>
          <w:color w:val="auto"/>
          <w:spacing w:val="-8"/>
          <w:sz w:val="24"/>
        </w:rPr>
        <w:t>等法律效力。</w:t>
      </w:r>
    </w:p>
    <w:p>
      <w:pPr>
        <w:pStyle w:val="7"/>
        <w:spacing w:after="0" w:line="560" w:lineRule="exact"/>
        <w:ind w:left="52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12.8 其他约定：【无】。</w:t>
      </w:r>
    </w:p>
    <w:p>
      <w:pPr>
        <w:pStyle w:val="7"/>
        <w:spacing w:after="0" w:line="560" w:lineRule="exact"/>
        <w:ind w:left="31"/>
        <w:rPr>
          <w:rFonts w:hint="eastAsia" w:ascii="仿宋_GB2312" w:hAnsi="仿宋_GB2312" w:eastAsia="仿宋_GB2312" w:cs="仿宋_GB2312"/>
          <w:color w:val="auto"/>
          <w:sz w:val="24"/>
        </w:rPr>
        <w:sectPr>
          <w:pgSz w:w="11900" w:h="16841"/>
          <w:pgMar w:top="1431" w:right="1784" w:bottom="1153" w:left="1784" w:header="0" w:footer="993" w:gutter="0"/>
          <w:cols w:space="720" w:num="1"/>
        </w:sectPr>
      </w:pPr>
      <w:r>
        <w:rPr>
          <w:rFonts w:hint="eastAsia" w:ascii="仿宋_GB2312" w:hAnsi="仿宋_GB2312" w:eastAsia="仿宋_GB2312" w:cs="仿宋_GB2312"/>
          <w:color w:val="auto"/>
          <w:spacing w:val="-4"/>
          <w:sz w:val="24"/>
        </w:rPr>
        <w:t>（以下无正文）</w:t>
      </w:r>
    </w:p>
    <w:p>
      <w:pPr>
        <w:spacing w:line="360" w:lineRule="auto"/>
        <w:rPr>
          <w:rFonts w:hint="eastAsia" w:ascii="仿宋" w:hAnsi="仿宋" w:eastAsia="仿宋" w:cs="仿宋"/>
          <w:color w:val="auto"/>
          <w:sz w:val="24"/>
        </w:rPr>
      </w:pPr>
      <w:r>
        <w:rPr>
          <w:rFonts w:hint="eastAsia" w:ascii="仿宋" w:hAnsi="仿宋" w:eastAsia="仿宋" w:cs="仿宋"/>
          <w:color w:val="auto"/>
          <w:spacing w:val="-20"/>
          <w:sz w:val="24"/>
        </w:rPr>
        <w:t>发包人名称：</w:t>
      </w:r>
      <w:r>
        <w:rPr>
          <w:rFonts w:hint="eastAsia" w:ascii="仿宋" w:hAnsi="仿宋" w:eastAsia="仿宋" w:cs="仿宋"/>
          <w:color w:val="auto"/>
          <w:sz w:val="24"/>
        </w:rPr>
        <w:t>（盖章）</w:t>
      </w:r>
      <w:r>
        <w:rPr>
          <w:rFonts w:hint="eastAsia" w:ascii="仿宋" w:hAnsi="仿宋" w:eastAsia="仿宋" w:cs="仿宋"/>
          <w:color w:val="auto"/>
          <w:spacing w:val="-20"/>
          <w:sz w:val="24"/>
        </w:rPr>
        <w:t xml:space="preserve">              </w:t>
      </w:r>
      <w:r>
        <w:rPr>
          <w:rFonts w:ascii="仿宋" w:hAnsi="仿宋" w:eastAsia="仿宋" w:cs="仿宋"/>
          <w:color w:val="auto"/>
          <w:spacing w:val="-20"/>
          <w:sz w:val="24"/>
        </w:rPr>
        <w:t xml:space="preserve">     </w:t>
      </w:r>
      <w:r>
        <w:rPr>
          <w:rFonts w:hint="eastAsia" w:ascii="仿宋" w:hAnsi="仿宋" w:eastAsia="仿宋" w:cs="仿宋"/>
          <w:color w:val="auto"/>
          <w:spacing w:val="-20"/>
          <w:sz w:val="24"/>
        </w:rPr>
        <w:t xml:space="preserve"> </w:t>
      </w:r>
      <w:r>
        <w:rPr>
          <w:rFonts w:ascii="仿宋" w:hAnsi="仿宋" w:eastAsia="仿宋" w:cs="仿宋"/>
          <w:color w:val="auto"/>
          <w:spacing w:val="-20"/>
          <w:sz w:val="24"/>
        </w:rPr>
        <w:t xml:space="preserve">     </w:t>
      </w:r>
      <w:r>
        <w:rPr>
          <w:rFonts w:hint="eastAsia" w:ascii="仿宋" w:hAnsi="仿宋" w:eastAsia="仿宋" w:cs="仿宋"/>
          <w:color w:val="auto"/>
          <w:spacing w:val="-20"/>
          <w:sz w:val="24"/>
        </w:rPr>
        <w:t xml:space="preserve"> 承包人名称：</w:t>
      </w:r>
      <w:r>
        <w:rPr>
          <w:rFonts w:hint="eastAsia" w:ascii="仿宋" w:hAnsi="仿宋" w:eastAsia="仿宋" w:cs="仿宋"/>
          <w:color w:val="auto"/>
          <w:sz w:val="24"/>
        </w:rPr>
        <w:t>（盖章）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法定代表人或其                </w:t>
      </w:r>
      <w:r>
        <w:rPr>
          <w:rFonts w:ascii="仿宋" w:hAnsi="仿宋" w:eastAsia="仿宋" w:cs="仿宋"/>
          <w:color w:val="auto"/>
          <w:sz w:val="24"/>
        </w:rPr>
        <w:t xml:space="preserve">     </w:t>
      </w:r>
      <w:r>
        <w:rPr>
          <w:rFonts w:hint="eastAsia" w:ascii="仿宋" w:hAnsi="仿宋" w:eastAsia="仿宋" w:cs="仿宋"/>
          <w:color w:val="auto"/>
          <w:sz w:val="24"/>
        </w:rPr>
        <w:t>法定代表人或其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授权代表（签章）：         </w:t>
      </w:r>
      <w:r>
        <w:rPr>
          <w:rFonts w:ascii="仿宋" w:hAnsi="仿宋" w:eastAsia="仿宋" w:cs="仿宋"/>
          <w:color w:val="auto"/>
          <w:sz w:val="24"/>
        </w:rPr>
        <w:t xml:space="preserve">     </w:t>
      </w:r>
      <w:r>
        <w:rPr>
          <w:rFonts w:hint="eastAsia" w:ascii="仿宋" w:hAnsi="仿宋" w:eastAsia="仿宋" w:cs="仿宋"/>
          <w:color w:val="auto"/>
          <w:sz w:val="24"/>
        </w:rPr>
        <w:t xml:space="preserve">   授权代表（签章）：</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住所：                        </w:t>
      </w:r>
      <w:r>
        <w:rPr>
          <w:rFonts w:ascii="仿宋" w:hAnsi="仿宋" w:eastAsia="仿宋" w:cs="仿宋"/>
          <w:color w:val="auto"/>
          <w:sz w:val="24"/>
        </w:rPr>
        <w:t xml:space="preserve">     </w:t>
      </w:r>
      <w:r>
        <w:rPr>
          <w:rFonts w:hint="eastAsia" w:ascii="仿宋" w:hAnsi="仿宋" w:eastAsia="仿宋" w:cs="仿宋"/>
          <w:color w:val="auto"/>
          <w:sz w:val="24"/>
        </w:rPr>
        <w:t>住所：</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邮政编码：                    </w:t>
      </w:r>
      <w:r>
        <w:rPr>
          <w:rFonts w:ascii="仿宋" w:hAnsi="仿宋" w:eastAsia="仿宋" w:cs="仿宋"/>
          <w:color w:val="auto"/>
          <w:sz w:val="24"/>
        </w:rPr>
        <w:t xml:space="preserve">     </w:t>
      </w:r>
      <w:r>
        <w:rPr>
          <w:rFonts w:hint="eastAsia" w:ascii="仿宋" w:hAnsi="仿宋" w:eastAsia="仿宋" w:cs="仿宋"/>
          <w:color w:val="auto"/>
          <w:sz w:val="24"/>
        </w:rPr>
        <w:t xml:space="preserve">邮政编码：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电话：                        </w:t>
      </w:r>
      <w:r>
        <w:rPr>
          <w:rFonts w:ascii="仿宋" w:hAnsi="仿宋" w:eastAsia="仿宋" w:cs="仿宋"/>
          <w:color w:val="auto"/>
          <w:sz w:val="24"/>
        </w:rPr>
        <w:t xml:space="preserve">     </w:t>
      </w:r>
      <w:r>
        <w:rPr>
          <w:rFonts w:hint="eastAsia" w:ascii="仿宋" w:hAnsi="仿宋" w:eastAsia="仿宋" w:cs="仿宋"/>
          <w:color w:val="auto"/>
          <w:sz w:val="24"/>
        </w:rPr>
        <w:t>电话：</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传真：                        </w:t>
      </w:r>
      <w:r>
        <w:rPr>
          <w:rFonts w:ascii="仿宋" w:hAnsi="仿宋" w:eastAsia="仿宋" w:cs="仿宋"/>
          <w:color w:val="auto"/>
          <w:sz w:val="24"/>
        </w:rPr>
        <w:t xml:space="preserve">     </w:t>
      </w:r>
      <w:r>
        <w:rPr>
          <w:rFonts w:hint="eastAsia" w:ascii="仿宋" w:hAnsi="仿宋" w:eastAsia="仿宋" w:cs="仿宋"/>
          <w:color w:val="auto"/>
          <w:sz w:val="24"/>
        </w:rPr>
        <w:t>传真：</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开户银行：                    </w:t>
      </w:r>
      <w:r>
        <w:rPr>
          <w:rFonts w:ascii="仿宋" w:hAnsi="仿宋" w:eastAsia="仿宋" w:cs="仿宋"/>
          <w:color w:val="auto"/>
          <w:sz w:val="24"/>
        </w:rPr>
        <w:t xml:space="preserve">     </w:t>
      </w:r>
      <w:r>
        <w:rPr>
          <w:rFonts w:hint="eastAsia" w:ascii="仿宋" w:hAnsi="仿宋" w:eastAsia="仿宋" w:cs="仿宋"/>
          <w:color w:val="auto"/>
          <w:sz w:val="24"/>
        </w:rPr>
        <w:t>开户银行：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 xml:space="preserve">号：                    </w:t>
      </w:r>
      <w:r>
        <w:rPr>
          <w:rFonts w:ascii="仿宋" w:hAnsi="仿宋" w:eastAsia="仿宋" w:cs="仿宋"/>
          <w:color w:val="auto"/>
          <w:sz w:val="24"/>
        </w:rPr>
        <w:t xml:space="preserve">     </w:t>
      </w: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号：</w:t>
      </w:r>
    </w:p>
    <w:p>
      <w:pPr>
        <w:pStyle w:val="65"/>
        <w:spacing w:line="360" w:lineRule="auto"/>
        <w:jc w:val="both"/>
        <w:rPr>
          <w:rFonts w:hint="eastAsia" w:ascii="仿宋" w:hAnsi="仿宋" w:eastAsia="仿宋" w:cs="仿宋"/>
          <w:color w:val="auto"/>
          <w:sz w:val="24"/>
        </w:rPr>
      </w:pPr>
    </w:p>
    <w:p>
      <w:pPr>
        <w:pStyle w:val="65"/>
        <w:spacing w:line="360" w:lineRule="auto"/>
        <w:jc w:val="both"/>
        <w:rPr>
          <w:color w:val="auto"/>
        </w:rPr>
        <w:sectPr>
          <w:pgSz w:w="11906" w:h="16838"/>
          <w:pgMar w:top="1440" w:right="1800" w:bottom="1440" w:left="1800" w:header="794" w:footer="992" w:gutter="0"/>
          <w:cols w:space="425" w:num="1"/>
          <w:docGrid w:type="lines" w:linePitch="312" w:charSpace="0"/>
        </w:sectPr>
      </w:pPr>
      <w:r>
        <w:rPr>
          <w:rFonts w:hint="eastAsia" w:ascii="仿宋" w:hAnsi="仿宋" w:eastAsia="仿宋" w:cs="仿宋"/>
          <w:color w:val="auto"/>
          <w:sz w:val="24"/>
        </w:rPr>
        <w:t xml:space="preserve">签订日期： 年 月  日       </w:t>
      </w:r>
      <w:r>
        <w:rPr>
          <w:rFonts w:ascii="仿宋" w:hAnsi="仿宋" w:eastAsia="仿宋" w:cs="仿宋"/>
          <w:color w:val="auto"/>
          <w:sz w:val="24"/>
        </w:rPr>
        <w:t xml:space="preserve">    </w:t>
      </w:r>
      <w:r>
        <w:rPr>
          <w:rFonts w:hint="eastAsia" w:ascii="仿宋" w:hAnsi="仿宋" w:eastAsia="仿宋" w:cs="仿宋"/>
          <w:color w:val="auto"/>
          <w:sz w:val="24"/>
        </w:rPr>
        <w:t xml:space="preserve">签订日期： 年 月 </w:t>
      </w:r>
    </w:p>
    <w:p>
      <w:pPr>
        <w:pStyle w:val="9"/>
      </w:pPr>
    </w:p>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响应文件格式及附件</w:t>
      </w:r>
    </w:p>
    <w:p>
      <w:pPr>
        <w:adjustRightInd w:val="0"/>
        <w:snapToGrid w:val="0"/>
        <w:spacing w:line="360" w:lineRule="auto"/>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格式1:                           响 应 声 明 函</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i/>
          <w:iCs/>
          <w:szCs w:val="21"/>
          <w:u w:val="single"/>
        </w:rPr>
        <w:t>采购人）</w:t>
      </w: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根据贵方</w:t>
      </w:r>
      <w:r>
        <w:rPr>
          <w:rFonts w:hint="eastAsia" w:asciiTheme="minorEastAsia" w:hAnsiTheme="minorEastAsia" w:eastAsiaTheme="minorEastAsia" w:cstheme="minorEastAsia"/>
          <w:bCs/>
          <w:szCs w:val="21"/>
          <w:u w:val="single"/>
        </w:rPr>
        <w:t xml:space="preserve">  （项目名称） </w:t>
      </w:r>
      <w:r>
        <w:rPr>
          <w:rFonts w:hint="eastAsia" w:asciiTheme="minorEastAsia" w:hAnsiTheme="minorEastAsia" w:eastAsiaTheme="minorEastAsia" w:cstheme="minorEastAsia"/>
          <w:bCs/>
          <w:szCs w:val="21"/>
        </w:rPr>
        <w:t>项目（项目编号（分包号）：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）的采购比选公告，本签字代表</w:t>
      </w:r>
      <w:r>
        <w:rPr>
          <w:rFonts w:hint="eastAsia" w:asciiTheme="minorEastAsia" w:hAnsiTheme="minorEastAsia" w:eastAsiaTheme="minorEastAsia" w:cstheme="minorEastAsia"/>
          <w:bCs/>
          <w:szCs w:val="21"/>
          <w:u w:val="single"/>
        </w:rPr>
        <w:t>（全名、职务）</w:t>
      </w:r>
      <w:r>
        <w:rPr>
          <w:rFonts w:hint="eastAsia" w:asciiTheme="minorEastAsia" w:hAnsiTheme="minorEastAsia" w:eastAsiaTheme="minorEastAsia" w:cstheme="minorEastAsia"/>
          <w:bCs/>
          <w:szCs w:val="21"/>
        </w:rPr>
        <w:t>代表供应商</w:t>
      </w:r>
      <w:r>
        <w:rPr>
          <w:rFonts w:hint="eastAsia" w:asciiTheme="minorEastAsia" w:hAnsiTheme="minorEastAsia" w:eastAsiaTheme="minorEastAsia" w:cstheme="minorEastAsia"/>
          <w:bCs/>
          <w:szCs w:val="21"/>
          <w:u w:val="single"/>
        </w:rPr>
        <w:t>（供应商单位名称、地址）</w:t>
      </w:r>
      <w:r>
        <w:rPr>
          <w:rFonts w:hint="eastAsia" w:asciiTheme="minorEastAsia" w:hAnsiTheme="minorEastAsia" w:eastAsiaTheme="minorEastAsia" w:cstheme="minorEastAsia"/>
          <w:bCs/>
          <w:szCs w:val="21"/>
        </w:rPr>
        <w:t>提交下述文件正本一份和副本</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份及电子版U盘一个。</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据此函，签字代表承诺如下内容（本承诺内容为响应基本要求，如不满足或有缺漏项的，视为响应无效）：</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1、我们愿意遵守采购比选文件中的各项规定，提供符合采购比选文件所要求的各项服务。</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2、我们同意本响应文件自响应文件接收截止日起90天内有效。</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4.我们同意按贵司的要求提供有关资料，并保证真实性。     </w:t>
      </w: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供应商代表签字：                 </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供应商（全称并加盖公章）：            </w:t>
      </w:r>
    </w:p>
    <w:p>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日  期：</w:t>
      </w:r>
    </w:p>
    <w:p>
      <w:pPr>
        <w:adjustRightInd w:val="0"/>
        <w:snapToGrid w:val="0"/>
        <w:spacing w:line="360" w:lineRule="auto"/>
        <w:rPr>
          <w:rFonts w:hint="eastAsia"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pStyle w:val="9"/>
      </w:pPr>
    </w:p>
    <w:p>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格式2:                         开标一览表</w:t>
      </w:r>
    </w:p>
    <w:p>
      <w:pPr>
        <w:adjustRightInd w:val="0"/>
        <w:snapToGrid w:val="0"/>
        <w:spacing w:line="360" w:lineRule="auto"/>
        <w:rPr>
          <w:rFonts w:hint="eastAsia" w:asciiTheme="minorEastAsia" w:hAnsiTheme="minorEastAsia" w:eastAsiaTheme="minorEastAsia" w:cstheme="minorEastAsia"/>
          <w:bCs/>
          <w:i/>
          <w:iCs/>
          <w:szCs w:val="21"/>
          <w:u w:val="single"/>
        </w:rPr>
      </w:pPr>
      <w:r>
        <w:rPr>
          <w:rFonts w:hint="eastAsia" w:asciiTheme="minorEastAsia" w:hAnsiTheme="minorEastAsia" w:eastAsiaTheme="minorEastAsia" w:cstheme="minorEastAsia"/>
          <w:bCs/>
          <w:i/>
          <w:iCs/>
          <w:szCs w:val="21"/>
          <w:u w:val="single"/>
        </w:rPr>
        <w:t>1、常用报价格式：</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响应总价(小写)（元）</w:t>
            </w:r>
          </w:p>
        </w:tc>
        <w:tc>
          <w:tcPr>
            <w:tcW w:w="2823" w:type="dxa"/>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w:t>
            </w:r>
          </w:p>
        </w:tc>
        <w:tc>
          <w:tcPr>
            <w:tcW w:w="1527" w:type="dxa"/>
            <w:noWrap/>
            <w:vAlign w:val="center"/>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adjustRightInd w:val="0"/>
              <w:snapToGrid w:val="0"/>
              <w:spacing w:line="360" w:lineRule="auto"/>
              <w:jc w:val="center"/>
              <w:rPr>
                <w:rFonts w:hint="eastAsia" w:asciiTheme="minorEastAsia" w:hAnsiTheme="minorEastAsia" w:eastAsiaTheme="minorEastAsia" w:cstheme="minorEastAsia"/>
                <w:bCs/>
                <w:szCs w:val="21"/>
              </w:rPr>
            </w:pPr>
          </w:p>
        </w:tc>
        <w:tc>
          <w:tcPr>
            <w:tcW w:w="2823" w:type="dxa"/>
            <w:noWrap/>
          </w:tcPr>
          <w:p>
            <w:pPr>
              <w:adjustRightInd w:val="0"/>
              <w:snapToGrid w:val="0"/>
              <w:spacing w:line="360" w:lineRule="auto"/>
              <w:jc w:val="center"/>
              <w:rPr>
                <w:rFonts w:hint="eastAsia" w:asciiTheme="minorEastAsia" w:hAnsiTheme="minorEastAsia" w:eastAsiaTheme="minorEastAsia" w:cstheme="minorEastAsia"/>
                <w:bCs/>
                <w:szCs w:val="21"/>
              </w:rPr>
            </w:pPr>
          </w:p>
        </w:tc>
        <w:tc>
          <w:tcPr>
            <w:tcW w:w="1527" w:type="dxa"/>
            <w:noWrap/>
          </w:tcPr>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6"/>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备注：（其他需要说明的情形）</w:t>
            </w:r>
          </w:p>
        </w:tc>
      </w:tr>
    </w:tbl>
    <w:p>
      <w:pPr>
        <w:adjustRightInd w:val="0"/>
        <w:snapToGrid w:val="0"/>
        <w:spacing w:line="360" w:lineRule="auto"/>
        <w:ind w:firstLine="560"/>
        <w:rPr>
          <w:rFonts w:hint="eastAsia" w:asciiTheme="minorEastAsia" w:hAnsiTheme="minorEastAsia" w:eastAsiaTheme="minorEastAsia" w:cstheme="minorEastAsia"/>
          <w:bCs/>
          <w:szCs w:val="21"/>
        </w:rPr>
      </w:pP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p>
    <w:p>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 xml:space="preserve">供应商代表签名：                日期：  </w:t>
      </w:r>
    </w:p>
    <w:p>
      <w:pPr>
        <w:adjustRightInd w:val="0"/>
        <w:snapToGrid w:val="0"/>
        <w:spacing w:line="360" w:lineRule="auto"/>
        <w:rPr>
          <w:rFonts w:hint="eastAsia" w:ascii="宋体" w:hAnsi="宋体" w:cs="宋体"/>
          <w:b/>
          <w:szCs w:val="21"/>
        </w:rPr>
      </w:pPr>
      <w:r>
        <w:rPr>
          <w:rFonts w:hint="eastAsia" w:ascii="宋体" w:hAnsi="宋体" w:cs="宋体"/>
          <w:b/>
          <w:szCs w:val="21"/>
        </w:rPr>
        <w:t>格式3:</w:t>
      </w:r>
      <w:r>
        <w:rPr>
          <w:rFonts w:hint="eastAsia" w:ascii="宋体" w:hAnsi="宋体" w:cs="宋体"/>
          <w:bCs/>
          <w:szCs w:val="21"/>
        </w:rPr>
        <w:t xml:space="preserve">                            </w:t>
      </w:r>
      <w:r>
        <w:rPr>
          <w:rFonts w:hint="eastAsia" w:ascii="宋体" w:hAnsi="宋体" w:cs="宋体"/>
          <w:b/>
          <w:szCs w:val="21"/>
        </w:rPr>
        <w:t>响应报价明细表</w:t>
      </w:r>
    </w:p>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宋体" w:hAnsi="宋体" w:cs="宋体"/>
                <w:bCs/>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宋体" w:hAnsi="宋体" w:cs="宋体"/>
                <w:bCs/>
                <w:szCs w:val="21"/>
              </w:rPr>
            </w:pPr>
            <w:r>
              <w:rPr>
                <w:rFonts w:hint="eastAsia" w:ascii="宋体" w:hAnsi="宋体" w:cs="宋体"/>
                <w:bCs/>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宋体" w:hAnsi="宋体" w:cs="宋体"/>
                <w:bCs/>
                <w:szCs w:val="21"/>
              </w:rPr>
            </w:pPr>
            <w:r>
              <w:rPr>
                <w:rFonts w:hint="eastAsia" w:ascii="宋体" w:hAnsi="宋体" w:cs="宋体"/>
                <w:bCs/>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总价（大小写）：</w:t>
            </w:r>
          </w:p>
        </w:tc>
      </w:tr>
    </w:tbl>
    <w:p>
      <w:pPr>
        <w:adjustRightInd w:val="0"/>
        <w:snapToGrid w:val="0"/>
        <w:spacing w:line="360" w:lineRule="auto"/>
        <w:ind w:firstLine="56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p>
    <w:p>
      <w:pPr>
        <w:pStyle w:val="6"/>
        <w:adjustRightInd w:val="0"/>
        <w:snapToGrid w:val="0"/>
        <w:spacing w:line="360" w:lineRule="auto"/>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6"/>
        <w:adjustRightInd w:val="0"/>
        <w:snapToGrid w:val="0"/>
        <w:spacing w:line="360" w:lineRule="auto"/>
        <w:rPr>
          <w:rFonts w:hint="eastAsia" w:asciiTheme="minorEastAsia" w:hAnsiTheme="minorEastAsia" w:eastAsiaTheme="minorEastAsia" w:cstheme="minorEastAsia"/>
          <w:bCs/>
          <w:szCs w:val="21"/>
        </w:rPr>
      </w:pPr>
    </w:p>
    <w:p>
      <w:pPr>
        <w:pStyle w:val="6"/>
        <w:adjustRightInd w:val="0"/>
        <w:snapToGrid w:val="0"/>
        <w:spacing w:line="360" w:lineRule="auto"/>
        <w:ind w:firstLine="210" w:firstLineChars="100"/>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供应商代表签名：                日期：</w:t>
      </w:r>
    </w:p>
    <w:p>
      <w:pPr>
        <w:pStyle w:val="9"/>
      </w:pPr>
    </w:p>
    <w:p>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格式4：                       法定代表人授权委托书</w:t>
      </w:r>
    </w:p>
    <w:p>
      <w:pPr>
        <w:jc w:val="center"/>
      </w:pPr>
      <w:r>
        <w:rPr>
          <w:rFonts w:hint="eastAsia"/>
        </w:rPr>
        <w:t>法定代表人授权委托书</w:t>
      </w:r>
    </w:p>
    <w:p/>
    <w:p>
      <w:r>
        <w:rPr>
          <w:rFonts w:hint="eastAsia"/>
          <w:u w:val="single"/>
        </w:rPr>
        <w:t xml:space="preserve">     （供应商名称）     </w:t>
      </w:r>
      <w:r>
        <w:rPr>
          <w:rFonts w:hint="eastAsia"/>
        </w:rPr>
        <w:t>法定代表人授权我司员工      全权负责项目的一切相关事宜。本授权书于_______年_____月_____日签字生效，特此声明。</w:t>
      </w:r>
    </w:p>
    <w:p/>
    <w:p/>
    <w:p/>
    <w:p>
      <w:r>
        <w:rPr>
          <w:rFonts w:hint="eastAsia"/>
        </w:rPr>
        <w:t xml:space="preserve">供应商（公章）：                                                         </w:t>
      </w:r>
    </w:p>
    <w:p>
      <w:r>
        <w:rPr>
          <w:rFonts w:hint="eastAsia"/>
        </w:rPr>
        <w:t>法定代表人签字：（或法人章）</w:t>
      </w:r>
    </w:p>
    <w:p>
      <w:r>
        <w:rPr>
          <w:rFonts w:hint="eastAsia"/>
        </w:rPr>
        <w:t>被授权人签字：</w:t>
      </w:r>
    </w:p>
    <w:p>
      <w:pPr>
        <w:pStyle w:val="9"/>
        <w:ind w:left="0" w:leftChars="0" w:firstLine="0" w:firstLineChars="0"/>
      </w:pPr>
    </w:p>
    <w:p>
      <w:pPr>
        <w:pStyle w:val="9"/>
        <w:ind w:left="0" w:leftChars="0" w:firstLine="0" w:firstLineChars="0"/>
      </w:pPr>
    </w:p>
    <w:p>
      <w:pPr>
        <w:pStyle w:val="9"/>
        <w:ind w:left="0" w:leftChars="0" w:firstLine="0" w:firstLineChars="0"/>
        <w:rPr>
          <w:rFonts w:hint="eastAsia" w:ascii="宋体" w:hAnsi="宋体" w:eastAsia="宋体" w:cs="宋体"/>
        </w:rPr>
      </w:pPr>
      <w:r>
        <w:rPr>
          <w:rFonts w:hint="eastAsia" w:ascii="宋体" w:hAnsi="宋体" w:eastAsia="宋体" w:cs="宋体"/>
        </w:rPr>
        <w:t>附：法定代表人身份证复印件</w:t>
      </w:r>
    </w:p>
    <w:p>
      <w:pPr>
        <w:pStyle w:val="9"/>
        <w:ind w:left="0" w:leftChars="0" w:firstLine="0" w:firstLineChars="0"/>
        <w:rPr>
          <w:rFonts w:ascii="Times New Roman" w:eastAsia="宋体"/>
          <w:szCs w:val="24"/>
        </w:rPr>
        <w:sectPr>
          <w:pgSz w:w="11906" w:h="16838"/>
          <w:pgMar w:top="1440" w:right="1800" w:bottom="1440" w:left="1800" w:header="794" w:footer="992" w:gutter="0"/>
          <w:cols w:space="425" w:num="1"/>
          <w:docGrid w:type="lines" w:linePitch="312" w:charSpace="0"/>
        </w:sectPr>
      </w:pPr>
      <w:r>
        <w:rPr>
          <w:rFonts w:hint="eastAsia" w:ascii="Times New Roman" w:eastAsia="宋体"/>
          <w:szCs w:val="24"/>
        </w:rPr>
        <w:t>授权委托人身份证复印件</w:t>
      </w:r>
    </w:p>
    <w:p>
      <w:pPr>
        <w:pStyle w:val="34"/>
        <w:adjustRightInd w:val="0"/>
        <w:snapToGrid w:val="0"/>
        <w:spacing w:line="360" w:lineRule="auto"/>
        <w:ind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格式5：                    法定代表人身份证明书</w:t>
      </w:r>
    </w:p>
    <w:p>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法定代表人身份证明书</w:t>
      </w: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 xml:space="preserve">姓    名：性别：    年龄：    职务：    </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bCs/>
          <w:szCs w:val="21"/>
          <w:u w:val="single"/>
        </w:rPr>
        <w:t xml:space="preserve">    （供应商名称）   </w:t>
      </w:r>
      <w:r>
        <w:rPr>
          <w:rFonts w:hint="eastAsia" w:asciiTheme="minorEastAsia" w:hAnsiTheme="minorEastAsia" w:eastAsiaTheme="minorEastAsia" w:cstheme="minorEastAsia"/>
          <w:bCs/>
          <w:szCs w:val="21"/>
        </w:rPr>
        <w:t>的法定代表人。</w:t>
      </w: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特此证明。</w:t>
      </w: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供应商（公章）：                </w:t>
      </w: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 xml:space="preserve">日期：  </w:t>
      </w:r>
    </w:p>
    <w:p>
      <w:pPr>
        <w:adjustRightInd w:val="0"/>
        <w:snapToGrid w:val="0"/>
        <w:spacing w:line="360" w:lineRule="auto"/>
        <w:rPr>
          <w:rFonts w:hint="eastAsia" w:asciiTheme="minorEastAsia" w:hAnsiTheme="minorEastAsia" w:eastAsiaTheme="minorEastAsia" w:cstheme="minorEastAsia"/>
          <w:b/>
          <w:szCs w:val="21"/>
        </w:rPr>
      </w:pPr>
    </w:p>
    <w:p>
      <w:pPr>
        <w:spacing w:line="360" w:lineRule="auto"/>
        <w:rPr>
          <w:rFonts w:hint="eastAsia" w:ascii="宋体" w:hAnsi="宋体" w:cs="宋体"/>
          <w:b/>
          <w:bCs/>
          <w:szCs w:val="21"/>
        </w:rPr>
      </w:pPr>
      <w:r>
        <w:rPr>
          <w:rFonts w:hint="eastAsia" w:ascii="宋体" w:hAnsi="宋体" w:cs="宋体"/>
          <w:b/>
          <w:szCs w:val="21"/>
        </w:rPr>
        <w:t xml:space="preserve">格式6：                    </w:t>
      </w:r>
      <w:r>
        <w:rPr>
          <w:rFonts w:hint="eastAsia" w:ascii="宋体" w:hAnsi="宋体" w:cs="宋体"/>
          <w:b/>
          <w:bCs/>
          <w:szCs w:val="21"/>
        </w:rPr>
        <w:t>资格承诺函</w:t>
      </w: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（采购人）</w:t>
      </w:r>
    </w:p>
    <w:p>
      <w:pPr>
        <w:spacing w:line="360" w:lineRule="auto"/>
        <w:ind w:firstLine="420" w:firstLineChars="200"/>
        <w:jc w:val="left"/>
        <w:rPr>
          <w:rFonts w:hint="eastAsia"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（项目名称）（项目编号（分包号）： ）</w:t>
      </w:r>
      <w:r>
        <w:rPr>
          <w:rFonts w:hint="eastAsia" w:ascii="宋体" w:hAnsi="宋体" w:cs="宋体"/>
          <w:szCs w:val="21"/>
        </w:rPr>
        <w:t>项目的采购活动，现承诺如下：</w:t>
      </w:r>
    </w:p>
    <w:p>
      <w:pPr>
        <w:spacing w:line="360" w:lineRule="auto"/>
        <w:ind w:firstLine="420" w:firstLineChars="200"/>
        <w:jc w:val="left"/>
        <w:rPr>
          <w:rFonts w:hint="eastAsia" w:ascii="宋体" w:hAnsi="宋体" w:cs="宋体"/>
          <w:szCs w:val="21"/>
        </w:rPr>
      </w:pPr>
      <w:r>
        <w:rPr>
          <w:rFonts w:hint="eastAsia" w:ascii="宋体" w:hAnsi="宋体" w:cs="宋体"/>
          <w:szCs w:val="21"/>
        </w:rPr>
        <w:t>1.我单位具有符合《中华人民共和国政府采购法》《中华人民共和国政府采购法实施条例》及采购文件资格要求规定的良好的商业信誉和健全的财务会计制度。</w:t>
      </w:r>
    </w:p>
    <w:p>
      <w:pPr>
        <w:spacing w:line="360" w:lineRule="auto"/>
        <w:ind w:firstLine="420" w:firstLineChars="200"/>
        <w:jc w:val="left"/>
        <w:rPr>
          <w:rFonts w:hint="eastAsia" w:ascii="宋体" w:hAnsi="宋体" w:cs="宋体"/>
          <w:szCs w:val="21"/>
        </w:rPr>
      </w:pPr>
      <w:r>
        <w:rPr>
          <w:rFonts w:hint="eastAsia" w:ascii="宋体" w:hAnsi="宋体" w:cs="宋体"/>
          <w:szCs w:val="21"/>
        </w:rPr>
        <w:t>2.我单位具有符合《中华人民共和国政府采购法》《中华人民共和国政府采购法实施条例》及采购文件资格要求规定的履行合同所必需的设备和专业技术能力。</w:t>
      </w:r>
    </w:p>
    <w:p>
      <w:pPr>
        <w:spacing w:line="360" w:lineRule="auto"/>
        <w:ind w:firstLine="420" w:firstLineChars="200"/>
        <w:jc w:val="left"/>
        <w:rPr>
          <w:rFonts w:hint="eastAsia" w:ascii="宋体" w:hAnsi="宋体" w:cs="宋体"/>
          <w:szCs w:val="21"/>
        </w:rPr>
      </w:pPr>
      <w:r>
        <w:rPr>
          <w:rFonts w:hint="eastAsia" w:ascii="宋体" w:hAnsi="宋体" w:cs="宋体"/>
          <w:szCs w:val="21"/>
        </w:rPr>
        <w:t>3.我单位具有符合《中华人民共和国政府采购法》《中华人民共和国政府采购法实施条例》及采购文件资格要求规定的依法缴纳税收和社会保障资金的相关证明材料。</w:t>
      </w:r>
    </w:p>
    <w:p>
      <w:pPr>
        <w:spacing w:line="360" w:lineRule="auto"/>
        <w:ind w:firstLine="420" w:firstLineChars="200"/>
        <w:jc w:val="left"/>
        <w:rPr>
          <w:rFonts w:hint="eastAsia" w:ascii="宋体" w:hAnsi="宋体" w:cs="宋体"/>
          <w:szCs w:val="21"/>
        </w:rPr>
      </w:pPr>
      <w:r>
        <w:rPr>
          <w:rFonts w:hint="eastAsia" w:ascii="宋体" w:hAnsi="宋体" w:cs="宋体"/>
          <w:szCs w:val="21"/>
        </w:rPr>
        <w:t>4.我单位符合《中华人民共和国政府采购法》《中华人民共和国政府采购法实施条例》及采购文件资格要求规定的在参加政府采购活动前三年内，在经营活动中没有重大违法记录。</w:t>
      </w:r>
    </w:p>
    <w:p>
      <w:pPr>
        <w:spacing w:line="360" w:lineRule="auto"/>
        <w:ind w:firstLine="420" w:firstLineChars="200"/>
        <w:jc w:val="left"/>
        <w:rPr>
          <w:rFonts w:hint="eastAsia" w:ascii="宋体" w:hAnsi="宋体" w:cs="宋体"/>
          <w:szCs w:val="21"/>
        </w:rPr>
      </w:pPr>
      <w:r>
        <w:rPr>
          <w:rFonts w:hint="eastAsia" w:ascii="宋体" w:hAnsi="宋体" w:cs="宋体"/>
          <w:szCs w:val="21"/>
        </w:rPr>
        <w:t>5.如违反上述承诺，同意将相关失信行为纳入海口市信用信息共享平台。</w:t>
      </w:r>
    </w:p>
    <w:p>
      <w:pPr>
        <w:spacing w:line="360" w:lineRule="auto"/>
        <w:ind w:firstLine="420" w:firstLineChars="200"/>
        <w:jc w:val="left"/>
        <w:rPr>
          <w:rFonts w:hint="eastAsia" w:ascii="宋体" w:hAnsi="宋体" w:cs="宋体"/>
          <w:szCs w:val="21"/>
        </w:rPr>
      </w:pPr>
      <w:r>
        <w:rPr>
          <w:rFonts w:hint="eastAsia" w:ascii="宋体" w:hAnsi="宋体" w:cs="宋体"/>
          <w:szCs w:val="21"/>
        </w:rPr>
        <w:t>6.同意此承诺书在市公共资源中心的政府采购信息发布平台公示，接受社会各界监督。</w:t>
      </w:r>
    </w:p>
    <w:p>
      <w:pPr>
        <w:spacing w:line="360" w:lineRule="auto"/>
        <w:ind w:firstLine="420" w:firstLineChars="200"/>
        <w:jc w:val="left"/>
        <w:rPr>
          <w:rFonts w:hint="eastAsia" w:ascii="宋体" w:hAnsi="宋体" w:cs="宋体"/>
          <w:szCs w:val="21"/>
        </w:rPr>
      </w:pPr>
      <w:r>
        <w:rPr>
          <w:rFonts w:hint="eastAsia" w:ascii="宋体" w:hAnsi="宋体" w:cs="宋体"/>
          <w:szCs w:val="21"/>
        </w:rPr>
        <w:t>若我单位以上承诺不实，自愿承担提供虚假材料谋取成交、成交的法律责任。</w:t>
      </w:r>
    </w:p>
    <w:p>
      <w:pPr>
        <w:spacing w:line="360" w:lineRule="auto"/>
        <w:rPr>
          <w:rFonts w:hint="eastAsia" w:ascii="宋体" w:hAnsi="宋体" w:cs="宋体"/>
          <w:szCs w:val="21"/>
        </w:rPr>
      </w:pPr>
    </w:p>
    <w:p>
      <w:pPr>
        <w:spacing w:line="360" w:lineRule="auto"/>
        <w:ind w:firstLine="420" w:firstLineChars="200"/>
        <w:jc w:val="left"/>
        <w:rPr>
          <w:rFonts w:hint="eastAsia" w:ascii="宋体" w:hAnsi="宋体" w:cs="宋体"/>
          <w:szCs w:val="21"/>
        </w:rPr>
      </w:pPr>
      <w:r>
        <w:rPr>
          <w:rFonts w:hint="eastAsia" w:ascii="宋体" w:hAnsi="宋体" w:cs="宋体"/>
          <w:szCs w:val="21"/>
        </w:rPr>
        <w:t>承诺供应商（全称并加盖公章）：</w:t>
      </w:r>
    </w:p>
    <w:p>
      <w:pPr>
        <w:spacing w:line="360" w:lineRule="auto"/>
        <w:ind w:firstLine="420" w:firstLineChars="200"/>
        <w:jc w:val="left"/>
        <w:rPr>
          <w:rFonts w:hint="eastAsia" w:ascii="宋体" w:hAnsi="宋体" w:cs="宋体"/>
          <w:szCs w:val="21"/>
        </w:rPr>
      </w:pPr>
      <w:r>
        <w:rPr>
          <w:rFonts w:hint="eastAsia" w:ascii="宋体" w:hAnsi="宋体" w:cs="宋体"/>
          <w:szCs w:val="21"/>
        </w:rPr>
        <w:t>单位负责人或授权代表（签字）：</w:t>
      </w:r>
    </w:p>
    <w:p>
      <w:pPr>
        <w:spacing w:line="360" w:lineRule="auto"/>
        <w:ind w:firstLine="420" w:firstLineChars="200"/>
        <w:jc w:val="left"/>
        <w:rPr>
          <w:rFonts w:hint="eastAsia" w:ascii="宋体" w:hAnsi="宋体" w:cs="宋体"/>
          <w:szCs w:val="21"/>
        </w:rPr>
        <w:sectPr>
          <w:pgSz w:w="11906" w:h="16838"/>
          <w:pgMar w:top="1440" w:right="1800" w:bottom="1440" w:left="1800" w:header="794" w:footer="992" w:gutter="0"/>
          <w:cols w:space="425" w:num="1"/>
          <w:docGrid w:type="lines" w:linePitch="312" w:charSpace="0"/>
        </w:sectPr>
      </w:pPr>
      <w:r>
        <w:rPr>
          <w:rFonts w:hint="eastAsia" w:ascii="宋体" w:hAnsi="宋体" w:cs="宋体"/>
          <w:szCs w:val="21"/>
        </w:rPr>
        <w:t>日期：</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附件1：                     中小企业声明函（服务类）</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w:t>
      </w:r>
    </w:p>
    <w:p>
      <w:pPr>
        <w:adjustRightInd w:val="0"/>
        <w:snapToGrid w:val="0"/>
        <w:spacing w:line="360" w:lineRule="auto"/>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szCs w:val="21"/>
          <w:u w:val="single"/>
        </w:rPr>
        <w:t>（单位名称）</w:t>
      </w:r>
      <w:r>
        <w:rPr>
          <w:rFonts w:hint="eastAsia" w:asciiTheme="minorEastAsia" w:hAnsiTheme="minorEastAsia" w:eastAsiaTheme="minorEastAsia" w:cstheme="minorEastAsia"/>
          <w:bCs/>
          <w:szCs w:val="21"/>
        </w:rPr>
        <w:t>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bCs/>
          <w:szCs w:val="21"/>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本企业对上述声明内容的真实性负责。如有虚假，将依法承担相应责任。</w:t>
      </w:r>
    </w:p>
    <w:p>
      <w:pPr>
        <w:adjustRightInd w:val="0"/>
        <w:snapToGrid w:val="0"/>
        <w:spacing w:line="360" w:lineRule="auto"/>
        <w:ind w:firstLine="2940" w:firstLineChars="1400"/>
        <w:rPr>
          <w:rFonts w:hint="eastAsia" w:asciiTheme="minorEastAsia" w:hAnsiTheme="minorEastAsia" w:eastAsiaTheme="minorEastAsia" w:cstheme="minorEastAsia"/>
          <w:bCs/>
          <w:szCs w:val="21"/>
        </w:rPr>
      </w:pPr>
    </w:p>
    <w:p>
      <w:pPr>
        <w:pStyle w:val="6"/>
        <w:adjustRightInd w:val="0"/>
        <w:snapToGrid w:val="0"/>
        <w:spacing w:line="360" w:lineRule="auto"/>
        <w:ind w:firstLine="3990" w:firstLineChars="19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供应商名称（盖章）：</w:t>
      </w:r>
    </w:p>
    <w:p>
      <w:pPr>
        <w:adjustRightInd w:val="0"/>
        <w:snapToGrid w:val="0"/>
        <w:spacing w:line="360" w:lineRule="auto"/>
        <w:ind w:firstLine="3990" w:firstLineChars="19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w:t>
      </w:r>
    </w:p>
    <w:p>
      <w:pPr>
        <w:adjustRightInd w:val="0"/>
        <w:snapToGrid w:val="0"/>
        <w:spacing w:line="360" w:lineRule="auto"/>
        <w:rPr>
          <w:rFonts w:hint="eastAsia" w:asciiTheme="minorEastAsia" w:hAnsiTheme="minorEastAsia" w:eastAsiaTheme="minorEastAsia" w:cstheme="minorEastAsia"/>
          <w:bCs/>
          <w:szCs w:val="21"/>
        </w:rPr>
      </w:pP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p>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①从业人员、营业收入、资产总额填报上一年度数据，无上一年度数据的新成立企业可不填报。</w:t>
      </w:r>
    </w:p>
    <w:p>
      <w:pPr>
        <w:adjustRightInd w:val="0"/>
        <w:snapToGrid w:val="0"/>
        <w:spacing w:line="360" w:lineRule="auto"/>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②供应商提供《中小企业声明函》内容不实的，属于“隐瞒真实情况，提供虚假资料的” 情形，依照有关规定追究相应责任。</w:t>
      </w:r>
    </w:p>
    <w:p>
      <w:pPr>
        <w:adjustRightInd w:val="0"/>
        <w:snapToGrid w:val="0"/>
        <w:spacing w:line="360" w:lineRule="auto"/>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附件2：监狱企业证明文件</w:t>
      </w:r>
    </w:p>
    <w:p>
      <w:pPr>
        <w:adjustRightInd w:val="0"/>
        <w:snapToGrid w:val="0"/>
        <w:spacing w:line="360" w:lineRule="auto"/>
        <w:rPr>
          <w:szCs w:val="21"/>
          <w:lang w:val="zh-CN"/>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lang w:val="zh-CN"/>
        </w:rPr>
        <w:t>享受</w:t>
      </w:r>
      <w:r>
        <w:rPr>
          <w:rFonts w:hint="eastAsia"/>
          <w:szCs w:val="21"/>
          <w:lang w:val="zh-CN"/>
        </w:rPr>
        <w:t>政策优惠的监狱企业须提供由省级以上监狱管理局、戒毒管理局（含新疆生产建设兵团）出具的属于监狱企业的证明文件。</w:t>
      </w:r>
    </w:p>
    <w:p>
      <w:pPr>
        <w:adjustRightInd w:val="0"/>
        <w:snapToGrid w:val="0"/>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附件3 ：                       残疾人福利性单位声明函</w:t>
      </w:r>
    </w:p>
    <w:p>
      <w:pPr>
        <w:spacing w:line="360" w:lineRule="auto"/>
        <w:ind w:firstLine="561"/>
        <w:rPr>
          <w:rFonts w:hint="eastAsia" w:ascii="宋体" w:hAnsi="宋体" w:cs="宋体"/>
          <w:bCs/>
          <w:szCs w:val="21"/>
        </w:rPr>
      </w:pPr>
      <w:r>
        <w:rPr>
          <w:rFonts w:hint="eastAsia" w:asciiTheme="minorEastAsia" w:hAnsiTheme="minorEastAsia" w:eastAsiaTheme="minorEastAsia" w:cstheme="minorEastAsia"/>
          <w:szCs w:val="21"/>
        </w:rPr>
        <w:t>格式自拟</w:t>
      </w:r>
    </w:p>
    <w:p>
      <w:pPr>
        <w:adjustRightInd w:val="0"/>
        <w:snapToGrid w:val="0"/>
        <w:spacing w:line="360" w:lineRule="auto"/>
        <w:ind w:firstLine="3570" w:firstLineChars="170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int="eastAsia" w:hAnsi="宋体"/>
        <w:b/>
        <w:bCs/>
        <w:szCs w:val="21"/>
      </w:rPr>
    </w:pPr>
    <w:r>
      <w:rPr>
        <w:rFonts w:hint="eastAsia" w:hAnsi="宋体"/>
        <w:b/>
        <w:bCs/>
        <w:szCs w:val="21"/>
      </w:rPr>
      <w:t>/HKGP-2021-0038</w:t>
    </w:r>
  </w:p>
  <w:p>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int="eastAsia" w:hAnsi="宋体"/>
        <w:b/>
        <w:bCs/>
        <w:szCs w:val="21"/>
      </w:rPr>
    </w:pPr>
    <w:r>
      <w:rPr>
        <w:rFonts w:hint="eastAsia" w:hAnsi="宋体"/>
        <w:b/>
        <w:bCs/>
        <w:szCs w:val="21"/>
      </w:rPr>
      <w:t>/HKGP-2021-0038</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05F4"/>
    <w:multiLevelType w:val="singleLevel"/>
    <w:tmpl w:val="C24705F4"/>
    <w:lvl w:ilvl="0" w:tentative="0">
      <w:start w:val="5"/>
      <w:numFmt w:val="chineseCounting"/>
      <w:suff w:val="space"/>
      <w:lvlText w:val="第%1章"/>
      <w:lvlJc w:val="left"/>
      <w:rPr>
        <w:rFonts w:hint="eastAsia"/>
      </w:rPr>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YzAwMThiZjIwZDJiYWY0NzQ0NDIwMjZhZjUwNzUifQ=="/>
  </w:docVars>
  <w:rsids>
    <w:rsidRoot w:val="53E73F9D"/>
    <w:rsid w:val="00011153"/>
    <w:rsid w:val="00031A66"/>
    <w:rsid w:val="0004302F"/>
    <w:rsid w:val="00046FE0"/>
    <w:rsid w:val="00094A14"/>
    <w:rsid w:val="000B4EE4"/>
    <w:rsid w:val="000D58CA"/>
    <w:rsid w:val="001250E9"/>
    <w:rsid w:val="001322C6"/>
    <w:rsid w:val="00172171"/>
    <w:rsid w:val="001840C2"/>
    <w:rsid w:val="001D37FC"/>
    <w:rsid w:val="00200ADB"/>
    <w:rsid w:val="002167EB"/>
    <w:rsid w:val="002260A5"/>
    <w:rsid w:val="00285578"/>
    <w:rsid w:val="002A4D92"/>
    <w:rsid w:val="002C2327"/>
    <w:rsid w:val="002C6251"/>
    <w:rsid w:val="002C7E72"/>
    <w:rsid w:val="002F39E4"/>
    <w:rsid w:val="00311611"/>
    <w:rsid w:val="003216DB"/>
    <w:rsid w:val="00333C6F"/>
    <w:rsid w:val="0034027E"/>
    <w:rsid w:val="00341631"/>
    <w:rsid w:val="00384706"/>
    <w:rsid w:val="003B27AE"/>
    <w:rsid w:val="003B2EA9"/>
    <w:rsid w:val="003B724D"/>
    <w:rsid w:val="003C3FEE"/>
    <w:rsid w:val="003C617B"/>
    <w:rsid w:val="003F636F"/>
    <w:rsid w:val="003F6A7A"/>
    <w:rsid w:val="00407E90"/>
    <w:rsid w:val="00420FE4"/>
    <w:rsid w:val="0042390D"/>
    <w:rsid w:val="004239B3"/>
    <w:rsid w:val="0044303F"/>
    <w:rsid w:val="00454FEB"/>
    <w:rsid w:val="00486C43"/>
    <w:rsid w:val="004A031C"/>
    <w:rsid w:val="004E75DE"/>
    <w:rsid w:val="004F51BC"/>
    <w:rsid w:val="004F5381"/>
    <w:rsid w:val="004F743D"/>
    <w:rsid w:val="00540EAE"/>
    <w:rsid w:val="0055448A"/>
    <w:rsid w:val="005649F5"/>
    <w:rsid w:val="005A343D"/>
    <w:rsid w:val="005D103E"/>
    <w:rsid w:val="005E05A9"/>
    <w:rsid w:val="005E7CFA"/>
    <w:rsid w:val="005F1361"/>
    <w:rsid w:val="005F4489"/>
    <w:rsid w:val="005F6D74"/>
    <w:rsid w:val="00602A27"/>
    <w:rsid w:val="006049C5"/>
    <w:rsid w:val="00611144"/>
    <w:rsid w:val="0062689E"/>
    <w:rsid w:val="0063022E"/>
    <w:rsid w:val="0066039C"/>
    <w:rsid w:val="00670D58"/>
    <w:rsid w:val="00676605"/>
    <w:rsid w:val="006766F9"/>
    <w:rsid w:val="0068200A"/>
    <w:rsid w:val="006A7043"/>
    <w:rsid w:val="006B7465"/>
    <w:rsid w:val="006D7B98"/>
    <w:rsid w:val="006E5B23"/>
    <w:rsid w:val="00705848"/>
    <w:rsid w:val="00744B3C"/>
    <w:rsid w:val="00770AFB"/>
    <w:rsid w:val="00773520"/>
    <w:rsid w:val="0078337F"/>
    <w:rsid w:val="007A0B19"/>
    <w:rsid w:val="007B215B"/>
    <w:rsid w:val="007B5A0C"/>
    <w:rsid w:val="007D34D6"/>
    <w:rsid w:val="00801901"/>
    <w:rsid w:val="00803595"/>
    <w:rsid w:val="008040E6"/>
    <w:rsid w:val="008065B7"/>
    <w:rsid w:val="008106B8"/>
    <w:rsid w:val="00811FE8"/>
    <w:rsid w:val="0081226C"/>
    <w:rsid w:val="00846083"/>
    <w:rsid w:val="00847139"/>
    <w:rsid w:val="008473F6"/>
    <w:rsid w:val="00883C17"/>
    <w:rsid w:val="008A448A"/>
    <w:rsid w:val="008B4F40"/>
    <w:rsid w:val="008B7F5C"/>
    <w:rsid w:val="008C5003"/>
    <w:rsid w:val="008D2530"/>
    <w:rsid w:val="008E7F76"/>
    <w:rsid w:val="008F20CB"/>
    <w:rsid w:val="00900AD8"/>
    <w:rsid w:val="00903A0C"/>
    <w:rsid w:val="009213EA"/>
    <w:rsid w:val="00922F5C"/>
    <w:rsid w:val="0092679B"/>
    <w:rsid w:val="00935168"/>
    <w:rsid w:val="00996A2E"/>
    <w:rsid w:val="009A1606"/>
    <w:rsid w:val="009B4088"/>
    <w:rsid w:val="009D799C"/>
    <w:rsid w:val="009F0DD6"/>
    <w:rsid w:val="00A32AC0"/>
    <w:rsid w:val="00A521C4"/>
    <w:rsid w:val="00A63F7E"/>
    <w:rsid w:val="00A84C17"/>
    <w:rsid w:val="00AA0754"/>
    <w:rsid w:val="00AB2B02"/>
    <w:rsid w:val="00AE1F60"/>
    <w:rsid w:val="00B16756"/>
    <w:rsid w:val="00B2148D"/>
    <w:rsid w:val="00B27509"/>
    <w:rsid w:val="00B2776D"/>
    <w:rsid w:val="00B47565"/>
    <w:rsid w:val="00B72CD5"/>
    <w:rsid w:val="00BB29E1"/>
    <w:rsid w:val="00BC2BDC"/>
    <w:rsid w:val="00BC55EC"/>
    <w:rsid w:val="00BF1B97"/>
    <w:rsid w:val="00C07A9F"/>
    <w:rsid w:val="00C2692B"/>
    <w:rsid w:val="00C5222F"/>
    <w:rsid w:val="00C5249C"/>
    <w:rsid w:val="00C71770"/>
    <w:rsid w:val="00CB1D7A"/>
    <w:rsid w:val="00CB4299"/>
    <w:rsid w:val="00CE3F36"/>
    <w:rsid w:val="00CE7B39"/>
    <w:rsid w:val="00CF3B3E"/>
    <w:rsid w:val="00CF7AFC"/>
    <w:rsid w:val="00D042E0"/>
    <w:rsid w:val="00D05E92"/>
    <w:rsid w:val="00D32FDA"/>
    <w:rsid w:val="00D55A15"/>
    <w:rsid w:val="00D80FE5"/>
    <w:rsid w:val="00D85C2A"/>
    <w:rsid w:val="00E11919"/>
    <w:rsid w:val="00E33B68"/>
    <w:rsid w:val="00E63A9F"/>
    <w:rsid w:val="00EA1904"/>
    <w:rsid w:val="00EC40B2"/>
    <w:rsid w:val="00ED47C9"/>
    <w:rsid w:val="00ED53DE"/>
    <w:rsid w:val="00EE5F7C"/>
    <w:rsid w:val="00F311EC"/>
    <w:rsid w:val="00F33254"/>
    <w:rsid w:val="00F7017E"/>
    <w:rsid w:val="00F92FEC"/>
    <w:rsid w:val="00FB530B"/>
    <w:rsid w:val="00FB7A71"/>
    <w:rsid w:val="00FD5E65"/>
    <w:rsid w:val="00FE6C77"/>
    <w:rsid w:val="012F0CEC"/>
    <w:rsid w:val="0159347F"/>
    <w:rsid w:val="01816A09"/>
    <w:rsid w:val="018B39AB"/>
    <w:rsid w:val="02213014"/>
    <w:rsid w:val="022D30DA"/>
    <w:rsid w:val="02455925"/>
    <w:rsid w:val="02A76009"/>
    <w:rsid w:val="02D219C4"/>
    <w:rsid w:val="03231259"/>
    <w:rsid w:val="033B0CFE"/>
    <w:rsid w:val="034F7EF4"/>
    <w:rsid w:val="03626672"/>
    <w:rsid w:val="03854560"/>
    <w:rsid w:val="03BF4CCA"/>
    <w:rsid w:val="03C14561"/>
    <w:rsid w:val="040D3C69"/>
    <w:rsid w:val="04261197"/>
    <w:rsid w:val="04630F4A"/>
    <w:rsid w:val="049B5476"/>
    <w:rsid w:val="04D773EB"/>
    <w:rsid w:val="04E03371"/>
    <w:rsid w:val="04FE0047"/>
    <w:rsid w:val="052D4ADE"/>
    <w:rsid w:val="055E210C"/>
    <w:rsid w:val="056A57F8"/>
    <w:rsid w:val="057C7677"/>
    <w:rsid w:val="05F21DE6"/>
    <w:rsid w:val="06163BD1"/>
    <w:rsid w:val="064E6865"/>
    <w:rsid w:val="06984B35"/>
    <w:rsid w:val="06EC4087"/>
    <w:rsid w:val="07050876"/>
    <w:rsid w:val="071D0355"/>
    <w:rsid w:val="073851BD"/>
    <w:rsid w:val="074C5FBB"/>
    <w:rsid w:val="07B81042"/>
    <w:rsid w:val="07D1641A"/>
    <w:rsid w:val="07F661BB"/>
    <w:rsid w:val="08007B78"/>
    <w:rsid w:val="08105A97"/>
    <w:rsid w:val="08145A20"/>
    <w:rsid w:val="082C4653"/>
    <w:rsid w:val="085A2AEA"/>
    <w:rsid w:val="085A4AFD"/>
    <w:rsid w:val="08A774AC"/>
    <w:rsid w:val="08C94F2B"/>
    <w:rsid w:val="08DB2D17"/>
    <w:rsid w:val="08DC5BCE"/>
    <w:rsid w:val="08FD2989"/>
    <w:rsid w:val="090F409F"/>
    <w:rsid w:val="095B57F7"/>
    <w:rsid w:val="09601EFA"/>
    <w:rsid w:val="09A068B5"/>
    <w:rsid w:val="09B37E23"/>
    <w:rsid w:val="09FC5A6D"/>
    <w:rsid w:val="0A586351"/>
    <w:rsid w:val="0A7B7C6C"/>
    <w:rsid w:val="0A89454C"/>
    <w:rsid w:val="0A9B5DA1"/>
    <w:rsid w:val="0AA52631"/>
    <w:rsid w:val="0AD87214"/>
    <w:rsid w:val="0AF21923"/>
    <w:rsid w:val="0AFD710E"/>
    <w:rsid w:val="0BB61093"/>
    <w:rsid w:val="0BB7140A"/>
    <w:rsid w:val="0BBC0022"/>
    <w:rsid w:val="0BD90EE9"/>
    <w:rsid w:val="0BF26973"/>
    <w:rsid w:val="0C282C80"/>
    <w:rsid w:val="0C747BE1"/>
    <w:rsid w:val="0C796895"/>
    <w:rsid w:val="0C8D7232"/>
    <w:rsid w:val="0C956CDB"/>
    <w:rsid w:val="0C9E593E"/>
    <w:rsid w:val="0CA578F4"/>
    <w:rsid w:val="0CA773A9"/>
    <w:rsid w:val="0CC95340"/>
    <w:rsid w:val="0CE06855"/>
    <w:rsid w:val="0CF271BF"/>
    <w:rsid w:val="0D3A63F7"/>
    <w:rsid w:val="0D5F1E64"/>
    <w:rsid w:val="0D8B3BEF"/>
    <w:rsid w:val="0DB27913"/>
    <w:rsid w:val="0DFD1228"/>
    <w:rsid w:val="0E2B535C"/>
    <w:rsid w:val="0E603E62"/>
    <w:rsid w:val="0F3B3D47"/>
    <w:rsid w:val="0F4814BC"/>
    <w:rsid w:val="0F515C6A"/>
    <w:rsid w:val="100B407B"/>
    <w:rsid w:val="104E667B"/>
    <w:rsid w:val="10575E20"/>
    <w:rsid w:val="105A2DDD"/>
    <w:rsid w:val="106611CB"/>
    <w:rsid w:val="10961B97"/>
    <w:rsid w:val="110C1B4E"/>
    <w:rsid w:val="113722BE"/>
    <w:rsid w:val="113F685C"/>
    <w:rsid w:val="11601AD6"/>
    <w:rsid w:val="11E76422"/>
    <w:rsid w:val="12380801"/>
    <w:rsid w:val="123D786F"/>
    <w:rsid w:val="12507C79"/>
    <w:rsid w:val="1254371D"/>
    <w:rsid w:val="125C66D8"/>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4FE60C5"/>
    <w:rsid w:val="150D5D06"/>
    <w:rsid w:val="157F1A78"/>
    <w:rsid w:val="15D078F9"/>
    <w:rsid w:val="15DA2C5A"/>
    <w:rsid w:val="1605187F"/>
    <w:rsid w:val="160F44C3"/>
    <w:rsid w:val="16154877"/>
    <w:rsid w:val="16184E19"/>
    <w:rsid w:val="16C0190D"/>
    <w:rsid w:val="170F0CDD"/>
    <w:rsid w:val="17137D16"/>
    <w:rsid w:val="173B3498"/>
    <w:rsid w:val="17506105"/>
    <w:rsid w:val="179F07E8"/>
    <w:rsid w:val="17B66701"/>
    <w:rsid w:val="17B77DC6"/>
    <w:rsid w:val="18456D7A"/>
    <w:rsid w:val="186A144F"/>
    <w:rsid w:val="18812024"/>
    <w:rsid w:val="18B93AF3"/>
    <w:rsid w:val="18DA1062"/>
    <w:rsid w:val="18DF750D"/>
    <w:rsid w:val="19057B47"/>
    <w:rsid w:val="192E465C"/>
    <w:rsid w:val="195A634B"/>
    <w:rsid w:val="199C16E9"/>
    <w:rsid w:val="199D5F29"/>
    <w:rsid w:val="1A5202FA"/>
    <w:rsid w:val="1A5D2B80"/>
    <w:rsid w:val="1AAC33FA"/>
    <w:rsid w:val="1AED0A61"/>
    <w:rsid w:val="1B004900"/>
    <w:rsid w:val="1B056327"/>
    <w:rsid w:val="1B4B4FB2"/>
    <w:rsid w:val="1B4E010B"/>
    <w:rsid w:val="1B7A723A"/>
    <w:rsid w:val="1B9E715D"/>
    <w:rsid w:val="1BCA0EFB"/>
    <w:rsid w:val="1BD6322C"/>
    <w:rsid w:val="1BDF0C37"/>
    <w:rsid w:val="1C180837"/>
    <w:rsid w:val="1C2244F6"/>
    <w:rsid w:val="1C6670D2"/>
    <w:rsid w:val="1C9070D0"/>
    <w:rsid w:val="1CA52F76"/>
    <w:rsid w:val="1CAD6FA9"/>
    <w:rsid w:val="1CD36013"/>
    <w:rsid w:val="1CEB50A1"/>
    <w:rsid w:val="1D234DCF"/>
    <w:rsid w:val="1D2D3ACF"/>
    <w:rsid w:val="1D577F5A"/>
    <w:rsid w:val="1D686A57"/>
    <w:rsid w:val="1D6D62C4"/>
    <w:rsid w:val="1D813BCE"/>
    <w:rsid w:val="1DE2494A"/>
    <w:rsid w:val="1E1A6270"/>
    <w:rsid w:val="1E66393B"/>
    <w:rsid w:val="1EB83740"/>
    <w:rsid w:val="1EC56452"/>
    <w:rsid w:val="1EED5392"/>
    <w:rsid w:val="1F9D2223"/>
    <w:rsid w:val="1FB738D7"/>
    <w:rsid w:val="1FC96AD8"/>
    <w:rsid w:val="1FE15F3B"/>
    <w:rsid w:val="202B6D50"/>
    <w:rsid w:val="203E5DA7"/>
    <w:rsid w:val="21132956"/>
    <w:rsid w:val="211428BF"/>
    <w:rsid w:val="21202FCA"/>
    <w:rsid w:val="217C5962"/>
    <w:rsid w:val="21B3342C"/>
    <w:rsid w:val="224A1874"/>
    <w:rsid w:val="229B216B"/>
    <w:rsid w:val="22B13B13"/>
    <w:rsid w:val="22B66EF0"/>
    <w:rsid w:val="234271CB"/>
    <w:rsid w:val="234718C4"/>
    <w:rsid w:val="237D267B"/>
    <w:rsid w:val="238B212F"/>
    <w:rsid w:val="23BC2A5A"/>
    <w:rsid w:val="23CD07BD"/>
    <w:rsid w:val="24346E9F"/>
    <w:rsid w:val="24494D5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C837A7"/>
    <w:rsid w:val="27D44B1C"/>
    <w:rsid w:val="282A6111"/>
    <w:rsid w:val="28777AD4"/>
    <w:rsid w:val="287D015D"/>
    <w:rsid w:val="288B7471"/>
    <w:rsid w:val="288D44C2"/>
    <w:rsid w:val="28A92BCF"/>
    <w:rsid w:val="28B078C0"/>
    <w:rsid w:val="28BC374C"/>
    <w:rsid w:val="28C04A7F"/>
    <w:rsid w:val="28DC42EF"/>
    <w:rsid w:val="29335621"/>
    <w:rsid w:val="293755EF"/>
    <w:rsid w:val="297213A4"/>
    <w:rsid w:val="298A5CE1"/>
    <w:rsid w:val="29935745"/>
    <w:rsid w:val="299E0C30"/>
    <w:rsid w:val="29AF73CD"/>
    <w:rsid w:val="29CF2C9E"/>
    <w:rsid w:val="2A1525B3"/>
    <w:rsid w:val="2A1F3C77"/>
    <w:rsid w:val="2A2D615E"/>
    <w:rsid w:val="2A420242"/>
    <w:rsid w:val="2A770325"/>
    <w:rsid w:val="2B577739"/>
    <w:rsid w:val="2B82420A"/>
    <w:rsid w:val="2BC32FA6"/>
    <w:rsid w:val="2BDE0F2A"/>
    <w:rsid w:val="2C1427CB"/>
    <w:rsid w:val="2C1F0ECB"/>
    <w:rsid w:val="2C2F0132"/>
    <w:rsid w:val="2C366723"/>
    <w:rsid w:val="2C5B48B1"/>
    <w:rsid w:val="2C635A6B"/>
    <w:rsid w:val="2C9C63F2"/>
    <w:rsid w:val="2CE95AE3"/>
    <w:rsid w:val="2D056A81"/>
    <w:rsid w:val="2D0D1210"/>
    <w:rsid w:val="2D205DF5"/>
    <w:rsid w:val="2D6F2A08"/>
    <w:rsid w:val="2D7A708A"/>
    <w:rsid w:val="2D986A7C"/>
    <w:rsid w:val="2DAF4B82"/>
    <w:rsid w:val="2DD31C58"/>
    <w:rsid w:val="2E386100"/>
    <w:rsid w:val="2E3A4E93"/>
    <w:rsid w:val="2E921BC1"/>
    <w:rsid w:val="2E9D3756"/>
    <w:rsid w:val="2EAC5640"/>
    <w:rsid w:val="2ED71151"/>
    <w:rsid w:val="2EDB7FFD"/>
    <w:rsid w:val="2EFB0B3C"/>
    <w:rsid w:val="2F0D3AA7"/>
    <w:rsid w:val="2F3B21A6"/>
    <w:rsid w:val="2F5B4CE0"/>
    <w:rsid w:val="2F5C1340"/>
    <w:rsid w:val="2F6457B2"/>
    <w:rsid w:val="2F8D101C"/>
    <w:rsid w:val="2F9039F3"/>
    <w:rsid w:val="2FF4525E"/>
    <w:rsid w:val="300D602F"/>
    <w:rsid w:val="30434F34"/>
    <w:rsid w:val="30551C7E"/>
    <w:rsid w:val="305C1DF5"/>
    <w:rsid w:val="30784F9E"/>
    <w:rsid w:val="30C330A2"/>
    <w:rsid w:val="31032820"/>
    <w:rsid w:val="31753D11"/>
    <w:rsid w:val="31847465"/>
    <w:rsid w:val="31DE379A"/>
    <w:rsid w:val="327D0402"/>
    <w:rsid w:val="32A61FCC"/>
    <w:rsid w:val="32C0465B"/>
    <w:rsid w:val="32CE6B16"/>
    <w:rsid w:val="33000244"/>
    <w:rsid w:val="33157AE9"/>
    <w:rsid w:val="3319111C"/>
    <w:rsid w:val="33366578"/>
    <w:rsid w:val="33897E1B"/>
    <w:rsid w:val="33955F11"/>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4C01C6"/>
    <w:rsid w:val="357342CB"/>
    <w:rsid w:val="35956011"/>
    <w:rsid w:val="35A207D8"/>
    <w:rsid w:val="35A51DD0"/>
    <w:rsid w:val="35CC03C4"/>
    <w:rsid w:val="36202DD1"/>
    <w:rsid w:val="36345F74"/>
    <w:rsid w:val="366C2AF8"/>
    <w:rsid w:val="36720821"/>
    <w:rsid w:val="36E43B49"/>
    <w:rsid w:val="3708704A"/>
    <w:rsid w:val="37105321"/>
    <w:rsid w:val="3744384B"/>
    <w:rsid w:val="375D7E76"/>
    <w:rsid w:val="37807888"/>
    <w:rsid w:val="37C96B2D"/>
    <w:rsid w:val="37F0121B"/>
    <w:rsid w:val="3869436C"/>
    <w:rsid w:val="38754CFF"/>
    <w:rsid w:val="388B18D0"/>
    <w:rsid w:val="38CA6BA3"/>
    <w:rsid w:val="38EF3348"/>
    <w:rsid w:val="38F36F52"/>
    <w:rsid w:val="394B49F2"/>
    <w:rsid w:val="395D73C0"/>
    <w:rsid w:val="395E6B76"/>
    <w:rsid w:val="3964489B"/>
    <w:rsid w:val="396D4363"/>
    <w:rsid w:val="397D5C71"/>
    <w:rsid w:val="398C450B"/>
    <w:rsid w:val="39A27D95"/>
    <w:rsid w:val="39A30FAD"/>
    <w:rsid w:val="39DF76B4"/>
    <w:rsid w:val="3A3B4A7C"/>
    <w:rsid w:val="3A9C5889"/>
    <w:rsid w:val="3ABD5DEE"/>
    <w:rsid w:val="3B0300BA"/>
    <w:rsid w:val="3B103205"/>
    <w:rsid w:val="3B2C125E"/>
    <w:rsid w:val="3B40382E"/>
    <w:rsid w:val="3B4909A7"/>
    <w:rsid w:val="3B5A7F75"/>
    <w:rsid w:val="3B706D2B"/>
    <w:rsid w:val="3B900E71"/>
    <w:rsid w:val="3B967BC8"/>
    <w:rsid w:val="3BC7074D"/>
    <w:rsid w:val="3BDA3232"/>
    <w:rsid w:val="3C0567E7"/>
    <w:rsid w:val="3C362D65"/>
    <w:rsid w:val="3C547DBA"/>
    <w:rsid w:val="3C5511BD"/>
    <w:rsid w:val="3C5A7719"/>
    <w:rsid w:val="3C71787E"/>
    <w:rsid w:val="3C766FF7"/>
    <w:rsid w:val="3C905F09"/>
    <w:rsid w:val="3CEC3782"/>
    <w:rsid w:val="3D005751"/>
    <w:rsid w:val="3D2E7CF5"/>
    <w:rsid w:val="3D4A1496"/>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C13F0A"/>
    <w:rsid w:val="40DB416D"/>
    <w:rsid w:val="40DE32EB"/>
    <w:rsid w:val="412D71DE"/>
    <w:rsid w:val="416C485A"/>
    <w:rsid w:val="41721093"/>
    <w:rsid w:val="417E6A1E"/>
    <w:rsid w:val="41A25A1E"/>
    <w:rsid w:val="41D5051C"/>
    <w:rsid w:val="41D93646"/>
    <w:rsid w:val="420A155A"/>
    <w:rsid w:val="422B280E"/>
    <w:rsid w:val="42420B28"/>
    <w:rsid w:val="424C4B06"/>
    <w:rsid w:val="43215097"/>
    <w:rsid w:val="43335793"/>
    <w:rsid w:val="43504A5C"/>
    <w:rsid w:val="437629AE"/>
    <w:rsid w:val="43BE61A8"/>
    <w:rsid w:val="43D0692B"/>
    <w:rsid w:val="43DA56DD"/>
    <w:rsid w:val="43EE0B63"/>
    <w:rsid w:val="44234977"/>
    <w:rsid w:val="442944F4"/>
    <w:rsid w:val="442D019F"/>
    <w:rsid w:val="44370871"/>
    <w:rsid w:val="448441F5"/>
    <w:rsid w:val="44AA1CB0"/>
    <w:rsid w:val="44CE24E4"/>
    <w:rsid w:val="44D16A09"/>
    <w:rsid w:val="44D90521"/>
    <w:rsid w:val="44DD1FA5"/>
    <w:rsid w:val="44E52F1F"/>
    <w:rsid w:val="450E440F"/>
    <w:rsid w:val="45502007"/>
    <w:rsid w:val="4580392B"/>
    <w:rsid w:val="45883F8A"/>
    <w:rsid w:val="45B761D7"/>
    <w:rsid w:val="45F04858"/>
    <w:rsid w:val="4606799E"/>
    <w:rsid w:val="4629386F"/>
    <w:rsid w:val="466174A4"/>
    <w:rsid w:val="468B197E"/>
    <w:rsid w:val="46D52AA1"/>
    <w:rsid w:val="47044BB8"/>
    <w:rsid w:val="47094429"/>
    <w:rsid w:val="470E5183"/>
    <w:rsid w:val="471F4F7F"/>
    <w:rsid w:val="47413903"/>
    <w:rsid w:val="47501D1D"/>
    <w:rsid w:val="4759014D"/>
    <w:rsid w:val="479B2B65"/>
    <w:rsid w:val="47E241F2"/>
    <w:rsid w:val="47E67EE1"/>
    <w:rsid w:val="47F05DF8"/>
    <w:rsid w:val="47F81B18"/>
    <w:rsid w:val="48040B11"/>
    <w:rsid w:val="480F1E50"/>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AF316D3"/>
    <w:rsid w:val="4B967555"/>
    <w:rsid w:val="4B984072"/>
    <w:rsid w:val="4BA41081"/>
    <w:rsid w:val="4BAE7BD6"/>
    <w:rsid w:val="4C624E51"/>
    <w:rsid w:val="4C6F5D75"/>
    <w:rsid w:val="4C8614A0"/>
    <w:rsid w:val="4CB90B4A"/>
    <w:rsid w:val="4D011E35"/>
    <w:rsid w:val="4D1A70AD"/>
    <w:rsid w:val="4D4D66ED"/>
    <w:rsid w:val="4D53629A"/>
    <w:rsid w:val="4D896AAF"/>
    <w:rsid w:val="4D927727"/>
    <w:rsid w:val="4D9F454A"/>
    <w:rsid w:val="4DBA3D68"/>
    <w:rsid w:val="4DCE6EF4"/>
    <w:rsid w:val="4DCE7CC5"/>
    <w:rsid w:val="4DDF58BD"/>
    <w:rsid w:val="4E295649"/>
    <w:rsid w:val="4E434405"/>
    <w:rsid w:val="4E6D51A2"/>
    <w:rsid w:val="4F330037"/>
    <w:rsid w:val="4F6B7B7D"/>
    <w:rsid w:val="4F745347"/>
    <w:rsid w:val="4F840FDE"/>
    <w:rsid w:val="4F8A0ABB"/>
    <w:rsid w:val="4FDA1222"/>
    <w:rsid w:val="4FE015B4"/>
    <w:rsid w:val="502A587C"/>
    <w:rsid w:val="502B260A"/>
    <w:rsid w:val="503277C4"/>
    <w:rsid w:val="507B2035"/>
    <w:rsid w:val="507F1E04"/>
    <w:rsid w:val="50D729C1"/>
    <w:rsid w:val="5187033E"/>
    <w:rsid w:val="51B615DA"/>
    <w:rsid w:val="51CF5615"/>
    <w:rsid w:val="51D41141"/>
    <w:rsid w:val="52111515"/>
    <w:rsid w:val="52115DFD"/>
    <w:rsid w:val="523830D8"/>
    <w:rsid w:val="52D8768A"/>
    <w:rsid w:val="52D87EF9"/>
    <w:rsid w:val="52F14A35"/>
    <w:rsid w:val="53453EF9"/>
    <w:rsid w:val="53665F38"/>
    <w:rsid w:val="537E7219"/>
    <w:rsid w:val="53E73F9D"/>
    <w:rsid w:val="542B47E5"/>
    <w:rsid w:val="543D6C6B"/>
    <w:rsid w:val="5463665A"/>
    <w:rsid w:val="54737C15"/>
    <w:rsid w:val="5489364B"/>
    <w:rsid w:val="54A75409"/>
    <w:rsid w:val="54D86D8D"/>
    <w:rsid w:val="554B067D"/>
    <w:rsid w:val="55583A1F"/>
    <w:rsid w:val="55705033"/>
    <w:rsid w:val="557D70BE"/>
    <w:rsid w:val="55CE4587"/>
    <w:rsid w:val="5624337B"/>
    <w:rsid w:val="56332F20"/>
    <w:rsid w:val="56756F25"/>
    <w:rsid w:val="5677755F"/>
    <w:rsid w:val="56AB7615"/>
    <w:rsid w:val="56D55E16"/>
    <w:rsid w:val="56DA4ED6"/>
    <w:rsid w:val="56E827E2"/>
    <w:rsid w:val="56E96FC6"/>
    <w:rsid w:val="57103B34"/>
    <w:rsid w:val="5714694D"/>
    <w:rsid w:val="57340E32"/>
    <w:rsid w:val="57660B55"/>
    <w:rsid w:val="57B977E7"/>
    <w:rsid w:val="580249CD"/>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5F15A1"/>
    <w:rsid w:val="5A954EAF"/>
    <w:rsid w:val="5ABB4A59"/>
    <w:rsid w:val="5AC230A5"/>
    <w:rsid w:val="5B070F30"/>
    <w:rsid w:val="5B1D06EE"/>
    <w:rsid w:val="5B3E7A46"/>
    <w:rsid w:val="5B907B59"/>
    <w:rsid w:val="5B9554C2"/>
    <w:rsid w:val="5B9955B0"/>
    <w:rsid w:val="5BAB5771"/>
    <w:rsid w:val="5BD12B75"/>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5FD279C5"/>
    <w:rsid w:val="600B3636"/>
    <w:rsid w:val="6060486B"/>
    <w:rsid w:val="60D14B50"/>
    <w:rsid w:val="60DE7CF2"/>
    <w:rsid w:val="611E2E9B"/>
    <w:rsid w:val="612B0E8B"/>
    <w:rsid w:val="614B7400"/>
    <w:rsid w:val="61667E7F"/>
    <w:rsid w:val="619D6AD3"/>
    <w:rsid w:val="619D7131"/>
    <w:rsid w:val="61A221D4"/>
    <w:rsid w:val="61B56BA8"/>
    <w:rsid w:val="61B56F70"/>
    <w:rsid w:val="61DE071F"/>
    <w:rsid w:val="6218157F"/>
    <w:rsid w:val="62204E98"/>
    <w:rsid w:val="62553AB2"/>
    <w:rsid w:val="62956105"/>
    <w:rsid w:val="62997C74"/>
    <w:rsid w:val="62B82BD8"/>
    <w:rsid w:val="62E55633"/>
    <w:rsid w:val="634041A9"/>
    <w:rsid w:val="6365698D"/>
    <w:rsid w:val="63805167"/>
    <w:rsid w:val="63832876"/>
    <w:rsid w:val="63B81477"/>
    <w:rsid w:val="63C85032"/>
    <w:rsid w:val="63C93F77"/>
    <w:rsid w:val="63DB40DD"/>
    <w:rsid w:val="640929F0"/>
    <w:rsid w:val="64181FD3"/>
    <w:rsid w:val="64B905C0"/>
    <w:rsid w:val="64CF7BEB"/>
    <w:rsid w:val="64EC443D"/>
    <w:rsid w:val="65127D57"/>
    <w:rsid w:val="65187528"/>
    <w:rsid w:val="652C7549"/>
    <w:rsid w:val="656C147B"/>
    <w:rsid w:val="65832223"/>
    <w:rsid w:val="659D3808"/>
    <w:rsid w:val="66026919"/>
    <w:rsid w:val="66177279"/>
    <w:rsid w:val="664A7A0D"/>
    <w:rsid w:val="671A190B"/>
    <w:rsid w:val="6731767E"/>
    <w:rsid w:val="67335956"/>
    <w:rsid w:val="68016B77"/>
    <w:rsid w:val="68307014"/>
    <w:rsid w:val="687047EC"/>
    <w:rsid w:val="690C2F01"/>
    <w:rsid w:val="692A3B68"/>
    <w:rsid w:val="693A4663"/>
    <w:rsid w:val="699B0FA7"/>
    <w:rsid w:val="699F0403"/>
    <w:rsid w:val="69C15C84"/>
    <w:rsid w:val="6A257C7E"/>
    <w:rsid w:val="6A426CC9"/>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B62A0B"/>
    <w:rsid w:val="6DCC1623"/>
    <w:rsid w:val="6DD84920"/>
    <w:rsid w:val="6DDB5D1F"/>
    <w:rsid w:val="6DE82115"/>
    <w:rsid w:val="6DF14E2F"/>
    <w:rsid w:val="6E1F4FB0"/>
    <w:rsid w:val="6E465867"/>
    <w:rsid w:val="6E5246F3"/>
    <w:rsid w:val="6E556105"/>
    <w:rsid w:val="6E7847AD"/>
    <w:rsid w:val="6F3326BD"/>
    <w:rsid w:val="6F5B19D4"/>
    <w:rsid w:val="6FBD5643"/>
    <w:rsid w:val="6FC50CC6"/>
    <w:rsid w:val="6FDF215C"/>
    <w:rsid w:val="6FF979C2"/>
    <w:rsid w:val="707123F1"/>
    <w:rsid w:val="70A709CF"/>
    <w:rsid w:val="70AA1BAA"/>
    <w:rsid w:val="70C21E33"/>
    <w:rsid w:val="70E13E9D"/>
    <w:rsid w:val="70E25931"/>
    <w:rsid w:val="71420EA7"/>
    <w:rsid w:val="7150639A"/>
    <w:rsid w:val="715504AF"/>
    <w:rsid w:val="718972B9"/>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2A14"/>
    <w:rsid w:val="74B6734E"/>
    <w:rsid w:val="74C6482B"/>
    <w:rsid w:val="751F6102"/>
    <w:rsid w:val="752320C7"/>
    <w:rsid w:val="75682033"/>
    <w:rsid w:val="756E4256"/>
    <w:rsid w:val="75D723B2"/>
    <w:rsid w:val="76393941"/>
    <w:rsid w:val="76584AFD"/>
    <w:rsid w:val="76BB2B7A"/>
    <w:rsid w:val="770739C7"/>
    <w:rsid w:val="77336515"/>
    <w:rsid w:val="78375191"/>
    <w:rsid w:val="783A5034"/>
    <w:rsid w:val="78752699"/>
    <w:rsid w:val="788A190E"/>
    <w:rsid w:val="78B1737B"/>
    <w:rsid w:val="78B67C13"/>
    <w:rsid w:val="78D027F0"/>
    <w:rsid w:val="79107D4E"/>
    <w:rsid w:val="79353900"/>
    <w:rsid w:val="793F6CA3"/>
    <w:rsid w:val="794A04D7"/>
    <w:rsid w:val="79746535"/>
    <w:rsid w:val="797647ED"/>
    <w:rsid w:val="79814165"/>
    <w:rsid w:val="799C6F8D"/>
    <w:rsid w:val="7A13676F"/>
    <w:rsid w:val="7A243D59"/>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A939D5"/>
    <w:rsid w:val="7DE76B4F"/>
    <w:rsid w:val="7DEA78A4"/>
    <w:rsid w:val="7E454CA6"/>
    <w:rsid w:val="7E8B0CEF"/>
    <w:rsid w:val="7EA93097"/>
    <w:rsid w:val="7ED22AB7"/>
    <w:rsid w:val="7EE46CE0"/>
    <w:rsid w:val="7F143F12"/>
    <w:rsid w:val="7F1E73A2"/>
    <w:rsid w:val="7F29005F"/>
    <w:rsid w:val="7F380545"/>
    <w:rsid w:val="7F6A4A9D"/>
    <w:rsid w:val="7F922AC7"/>
    <w:rsid w:val="7F9B2913"/>
    <w:rsid w:val="7FB1606D"/>
    <w:rsid w:val="7FC739CB"/>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annotation text"/>
    <w:basedOn w:val="1"/>
    <w:link w:val="70"/>
    <w:autoRedefine/>
    <w:qFormat/>
    <w:uiPriority w:val="0"/>
    <w:pPr>
      <w:jc w:val="left"/>
    </w:pPr>
  </w:style>
  <w:style w:type="paragraph" w:styleId="7">
    <w:name w:val="Body Text"/>
    <w:basedOn w:val="1"/>
    <w:autoRedefine/>
    <w:qFormat/>
    <w:uiPriority w:val="99"/>
    <w:pPr>
      <w:spacing w:after="120"/>
    </w:pPr>
  </w:style>
  <w:style w:type="paragraph" w:styleId="8">
    <w:name w:val="Body Text Indent"/>
    <w:basedOn w:val="1"/>
    <w:next w:val="9"/>
    <w:autoRedefine/>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autoRedefine/>
    <w:unhideWhenUsed/>
    <w:qFormat/>
    <w:uiPriority w:val="0"/>
    <w:pPr>
      <w:spacing w:after="120" w:line="240" w:lineRule="auto"/>
      <w:ind w:left="420" w:leftChars="200" w:firstLine="420" w:firstLineChars="200"/>
    </w:pPr>
    <w:rPr>
      <w:sz w:val="21"/>
      <w:szCs w:val="21"/>
    </w:rPr>
  </w:style>
  <w:style w:type="paragraph" w:styleId="10">
    <w:name w:val="Plain Text"/>
    <w:basedOn w:val="1"/>
    <w:autoRedefine/>
    <w:qFormat/>
    <w:uiPriority w:val="0"/>
    <w:rPr>
      <w:rFonts w:ascii="宋体" w:hAnsi="Courier New"/>
      <w:szCs w:val="20"/>
    </w:rPr>
  </w:style>
  <w:style w:type="paragraph" w:styleId="11">
    <w:name w:val="Balloon Text"/>
    <w:basedOn w:val="1"/>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next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autoRedefine/>
    <w:qFormat/>
    <w:uiPriority w:val="0"/>
    <w:pPr>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71"/>
    <w:semiHidden/>
    <w:unhideWhenUsed/>
    <w:qFormat/>
    <w:uiPriority w:val="0"/>
    <w:rPr>
      <w:b/>
      <w:bCs/>
    </w:rPr>
  </w:style>
  <w:style w:type="table" w:styleId="19">
    <w:name w:val="Table Grid"/>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page number"/>
    <w:basedOn w:val="20"/>
    <w:autoRedefine/>
    <w:qFormat/>
    <w:uiPriority w:val="0"/>
  </w:style>
  <w:style w:type="character" w:styleId="23">
    <w:name w:val="FollowedHyperlink"/>
    <w:basedOn w:val="20"/>
    <w:autoRedefine/>
    <w:semiHidden/>
    <w:unhideWhenUsed/>
    <w:qFormat/>
    <w:uiPriority w:val="0"/>
    <w:rPr>
      <w:color w:val="428BCA"/>
      <w:u w:val="none"/>
    </w:rPr>
  </w:style>
  <w:style w:type="character" w:styleId="24">
    <w:name w:val="Emphasis"/>
    <w:basedOn w:val="20"/>
    <w:qFormat/>
    <w:uiPriority w:val="0"/>
    <w:rPr>
      <w:i/>
    </w:rPr>
  </w:style>
  <w:style w:type="character" w:styleId="25">
    <w:name w:val="HTML Definition"/>
    <w:basedOn w:val="20"/>
    <w:autoRedefine/>
    <w:semiHidden/>
    <w:unhideWhenUsed/>
    <w:qFormat/>
    <w:uiPriority w:val="0"/>
    <w:rPr>
      <w:i/>
      <w:iCs/>
    </w:rPr>
  </w:style>
  <w:style w:type="character" w:styleId="26">
    <w:name w:val="Hyperlink"/>
    <w:basedOn w:val="20"/>
    <w:autoRedefine/>
    <w:qFormat/>
    <w:uiPriority w:val="0"/>
    <w:rPr>
      <w:color w:val="013F7C"/>
      <w:u w:val="none"/>
    </w:rPr>
  </w:style>
  <w:style w:type="character" w:styleId="27">
    <w:name w:val="HTML Code"/>
    <w:basedOn w:val="20"/>
    <w:autoRedefine/>
    <w:semiHidden/>
    <w:unhideWhenUsed/>
    <w:qFormat/>
    <w:uiPriority w:val="0"/>
    <w:rPr>
      <w:rFonts w:hint="default" w:ascii="Consolas" w:hAnsi="Consolas" w:eastAsia="Consolas" w:cs="Consolas"/>
      <w:color w:val="C7254E"/>
      <w:sz w:val="21"/>
      <w:szCs w:val="21"/>
      <w:shd w:val="clear" w:color="auto" w:fill="F9F2F4"/>
    </w:rPr>
  </w:style>
  <w:style w:type="character" w:styleId="28">
    <w:name w:val="annotation reference"/>
    <w:basedOn w:val="20"/>
    <w:semiHidden/>
    <w:unhideWhenUsed/>
    <w:qFormat/>
    <w:uiPriority w:val="0"/>
    <w:rPr>
      <w:sz w:val="21"/>
      <w:szCs w:val="21"/>
    </w:rPr>
  </w:style>
  <w:style w:type="character" w:styleId="29">
    <w:name w:val="HTML Cite"/>
    <w:basedOn w:val="20"/>
    <w:autoRedefine/>
    <w:semiHidden/>
    <w:unhideWhenUsed/>
    <w:qFormat/>
    <w:uiPriority w:val="0"/>
  </w:style>
  <w:style w:type="character" w:styleId="30">
    <w:name w:val="HTML Keyboard"/>
    <w:basedOn w:val="20"/>
    <w:autoRedefine/>
    <w:semiHidden/>
    <w:unhideWhenUsed/>
    <w:qFormat/>
    <w:uiPriority w:val="0"/>
    <w:rPr>
      <w:rFonts w:hint="default" w:ascii="Consolas" w:hAnsi="Consolas" w:eastAsia="Consolas" w:cs="Consolas"/>
      <w:color w:val="FFFFFF"/>
      <w:sz w:val="21"/>
      <w:szCs w:val="21"/>
      <w:shd w:val="clear" w:color="auto" w:fill="333333"/>
    </w:rPr>
  </w:style>
  <w:style w:type="character" w:styleId="31">
    <w:name w:val="HTML Sample"/>
    <w:basedOn w:val="20"/>
    <w:autoRedefine/>
    <w:semiHidden/>
    <w:unhideWhenUsed/>
    <w:qFormat/>
    <w:uiPriority w:val="0"/>
    <w:rPr>
      <w:rFonts w:ascii="Consolas" w:hAnsi="Consolas" w:eastAsia="Consolas" w:cs="Consolas"/>
      <w:sz w:val="21"/>
      <w:szCs w:val="21"/>
    </w:rPr>
  </w:style>
  <w:style w:type="paragraph" w:customStyle="1" w:styleId="32">
    <w:name w:val="引用1"/>
    <w:basedOn w:val="1"/>
    <w:next w:val="1"/>
    <w:autoRedefine/>
    <w:qFormat/>
    <w:uiPriority w:val="99"/>
    <w:rPr>
      <w:rFonts w:ascii="Calibri" w:hAnsi="Calibri" w:cs="Calibri"/>
      <w:i/>
      <w:iCs/>
      <w:color w:val="000000"/>
      <w:sz w:val="22"/>
      <w:szCs w:val="22"/>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样式3"/>
    <w:basedOn w:val="10"/>
    <w:autoRedefine/>
    <w:qFormat/>
    <w:uiPriority w:val="0"/>
    <w:pPr>
      <w:spacing w:line="0" w:lineRule="atLeast"/>
      <w:outlineLvl w:val="0"/>
    </w:pPr>
    <w:rPr>
      <w:sz w:val="28"/>
      <w:szCs w:val="24"/>
    </w:rPr>
  </w:style>
  <w:style w:type="paragraph" w:customStyle="1" w:styleId="35">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6">
    <w:name w:val="Normal_18"/>
    <w:autoRedefine/>
    <w:qFormat/>
    <w:uiPriority w:val="0"/>
    <w:rPr>
      <w:rFonts w:ascii="Times New Roman" w:hAnsi="Times New Roman" w:eastAsia="宋体" w:cs="Times New Roman"/>
      <w:sz w:val="21"/>
      <w:lang w:val="en-US" w:eastAsia="zh-CN" w:bidi="ar-SA"/>
    </w:rPr>
  </w:style>
  <w:style w:type="character" w:customStyle="1" w:styleId="37">
    <w:name w:val="ndata"/>
    <w:basedOn w:val="20"/>
    <w:autoRedefine/>
    <w:qFormat/>
    <w:uiPriority w:val="0"/>
    <w:rPr>
      <w:color w:val="AAAAAA"/>
    </w:rPr>
  </w:style>
  <w:style w:type="character" w:customStyle="1" w:styleId="38">
    <w:name w:val="NormalCharacter"/>
    <w:autoRedefine/>
    <w:qFormat/>
    <w:uiPriority w:val="0"/>
    <w:rPr>
      <w:sz w:val="21"/>
      <w:lang w:val="en-US" w:eastAsia="zh-CN" w:bidi="ar-SA"/>
    </w:rPr>
  </w:style>
  <w:style w:type="paragraph" w:customStyle="1" w:styleId="39">
    <w:name w:val="正文2"/>
    <w:basedOn w:val="1"/>
    <w:autoRedefine/>
    <w:qFormat/>
    <w:uiPriority w:val="0"/>
    <w:pPr>
      <w:spacing w:before="156" w:line="360" w:lineRule="auto"/>
      <w:ind w:firstLine="510" w:firstLineChars="200"/>
    </w:pPr>
    <w:rPr>
      <w:sz w:val="24"/>
    </w:rPr>
  </w:style>
  <w:style w:type="paragraph" w:customStyle="1" w:styleId="40">
    <w:name w:val="NormalIndent"/>
    <w:basedOn w:val="1"/>
    <w:autoRedefine/>
    <w:qFormat/>
    <w:uiPriority w:val="0"/>
    <w:pPr>
      <w:widowControl/>
      <w:ind w:firstLine="200" w:firstLineChars="200"/>
      <w:textAlignment w:val="baseline"/>
    </w:pPr>
    <w:rPr>
      <w:rFonts w:ascii="Calibri" w:hAnsi="Calibri"/>
    </w:rPr>
  </w:style>
  <w:style w:type="paragraph" w:styleId="41">
    <w:name w:val="List Paragraph"/>
    <w:basedOn w:val="1"/>
    <w:autoRedefine/>
    <w:qFormat/>
    <w:uiPriority w:val="34"/>
    <w:pPr>
      <w:ind w:firstLine="420" w:firstLineChars="200"/>
    </w:pPr>
  </w:style>
  <w:style w:type="paragraph" w:customStyle="1" w:styleId="42">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3">
    <w:name w:val="active5"/>
    <w:basedOn w:val="20"/>
    <w:autoRedefine/>
    <w:qFormat/>
    <w:uiPriority w:val="0"/>
    <w:rPr>
      <w:color w:val="FFFFFF"/>
      <w:shd w:val="clear" w:color="auto" w:fill="428BCA"/>
    </w:rPr>
  </w:style>
  <w:style w:type="character" w:customStyle="1" w:styleId="44">
    <w:name w:val="ui-jqgrid-resize"/>
    <w:basedOn w:val="20"/>
    <w:autoRedefine/>
    <w:qFormat/>
    <w:uiPriority w:val="0"/>
  </w:style>
  <w:style w:type="character" w:customStyle="1" w:styleId="45">
    <w:name w:val="ui-icon37"/>
    <w:basedOn w:val="20"/>
    <w:autoRedefine/>
    <w:qFormat/>
    <w:uiPriority w:val="0"/>
  </w:style>
  <w:style w:type="character" w:customStyle="1" w:styleId="46">
    <w:name w:val="ui-icon38"/>
    <w:basedOn w:val="20"/>
    <w:autoRedefine/>
    <w:qFormat/>
    <w:uiPriority w:val="0"/>
  </w:style>
  <w:style w:type="character" w:customStyle="1" w:styleId="47">
    <w:name w:val="ui-icon39"/>
    <w:basedOn w:val="20"/>
    <w:autoRedefine/>
    <w:qFormat/>
    <w:uiPriority w:val="0"/>
  </w:style>
  <w:style w:type="character" w:customStyle="1" w:styleId="48">
    <w:name w:val="input-icon2"/>
    <w:basedOn w:val="20"/>
    <w:autoRedefine/>
    <w:qFormat/>
    <w:uiPriority w:val="0"/>
  </w:style>
  <w:style w:type="character" w:customStyle="1" w:styleId="49">
    <w:name w:val="before"/>
    <w:basedOn w:val="20"/>
    <w:autoRedefine/>
    <w:qFormat/>
    <w:uiPriority w:val="0"/>
    <w:rPr>
      <w:rFonts w:hint="default" w:ascii="FontAwesome" w:hAnsi="FontAwesome" w:eastAsia="FontAwesome" w:cs="FontAwesome"/>
      <w:color w:val="888888"/>
    </w:rPr>
  </w:style>
  <w:style w:type="character" w:customStyle="1" w:styleId="50">
    <w:name w:val="before1"/>
    <w:basedOn w:val="20"/>
    <w:autoRedefine/>
    <w:qFormat/>
    <w:uiPriority w:val="0"/>
    <w:rPr>
      <w:rFonts w:hint="default" w:ascii="FontAwesome" w:hAnsi="FontAwesome" w:eastAsia="FontAwesome" w:cs="FontAwesome"/>
      <w:color w:val="888888"/>
    </w:rPr>
  </w:style>
  <w:style w:type="character" w:customStyle="1" w:styleId="51">
    <w:name w:val="hover6"/>
    <w:basedOn w:val="20"/>
    <w:autoRedefine/>
    <w:qFormat/>
    <w:uiPriority w:val="0"/>
    <w:rPr>
      <w:shd w:val="clear" w:color="auto" w:fill="EEEEEE"/>
    </w:rPr>
  </w:style>
  <w:style w:type="character" w:customStyle="1" w:styleId="52">
    <w:name w:val="old"/>
    <w:basedOn w:val="20"/>
    <w:autoRedefine/>
    <w:qFormat/>
    <w:uiPriority w:val="0"/>
    <w:rPr>
      <w:color w:val="999999"/>
    </w:rPr>
  </w:style>
  <w:style w:type="character" w:customStyle="1" w:styleId="53">
    <w:name w:val="ui-icon40"/>
    <w:basedOn w:val="20"/>
    <w:autoRedefine/>
    <w:qFormat/>
    <w:uiPriority w:val="0"/>
  </w:style>
  <w:style w:type="paragraph" w:customStyle="1" w:styleId="5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5">
    <w:name w:val="font31"/>
    <w:basedOn w:val="20"/>
    <w:autoRedefine/>
    <w:qFormat/>
    <w:uiPriority w:val="0"/>
    <w:rPr>
      <w:rFonts w:hint="default" w:ascii="Arial" w:hAnsi="Arial" w:cs="Arial"/>
      <w:b/>
      <w:color w:val="000000"/>
      <w:sz w:val="24"/>
      <w:szCs w:val="24"/>
      <w:u w:val="none"/>
    </w:rPr>
  </w:style>
  <w:style w:type="character" w:customStyle="1" w:styleId="56">
    <w:name w:val="font81"/>
    <w:basedOn w:val="20"/>
    <w:autoRedefine/>
    <w:qFormat/>
    <w:uiPriority w:val="0"/>
    <w:rPr>
      <w:rFonts w:ascii="新宋体" w:hAnsi="新宋体" w:eastAsia="新宋体" w:cs="新宋体"/>
      <w:color w:val="000000"/>
      <w:sz w:val="21"/>
      <w:szCs w:val="21"/>
      <w:u w:val="none"/>
    </w:rPr>
  </w:style>
  <w:style w:type="character" w:customStyle="1" w:styleId="57">
    <w:name w:val="font41"/>
    <w:basedOn w:val="20"/>
    <w:autoRedefine/>
    <w:qFormat/>
    <w:uiPriority w:val="0"/>
    <w:rPr>
      <w:rFonts w:hint="default" w:ascii="Times New Roman" w:hAnsi="Times New Roman" w:cs="Times New Roman"/>
      <w:color w:val="000000"/>
      <w:sz w:val="18"/>
      <w:szCs w:val="18"/>
      <w:u w:val="none"/>
    </w:rPr>
  </w:style>
  <w:style w:type="character" w:customStyle="1" w:styleId="58">
    <w:name w:val="font51"/>
    <w:basedOn w:val="20"/>
    <w:autoRedefine/>
    <w:qFormat/>
    <w:uiPriority w:val="0"/>
    <w:rPr>
      <w:rFonts w:hint="eastAsia" w:ascii="宋体" w:hAnsi="宋体" w:eastAsia="宋体" w:cs="宋体"/>
      <w:b/>
      <w:color w:val="000000"/>
      <w:sz w:val="32"/>
      <w:szCs w:val="32"/>
      <w:u w:val="none"/>
    </w:rPr>
  </w:style>
  <w:style w:type="character" w:customStyle="1" w:styleId="59">
    <w:name w:val="font01"/>
    <w:basedOn w:val="20"/>
    <w:autoRedefine/>
    <w:qFormat/>
    <w:uiPriority w:val="0"/>
    <w:rPr>
      <w:rFonts w:hint="eastAsia" w:ascii="宋体" w:hAnsi="宋体" w:eastAsia="宋体" w:cs="宋体"/>
      <w:color w:val="000000"/>
      <w:sz w:val="24"/>
      <w:szCs w:val="24"/>
      <w:u w:val="none"/>
    </w:rPr>
  </w:style>
  <w:style w:type="character" w:customStyle="1" w:styleId="60">
    <w:name w:val="font71"/>
    <w:basedOn w:val="20"/>
    <w:autoRedefine/>
    <w:qFormat/>
    <w:uiPriority w:val="0"/>
    <w:rPr>
      <w:rFonts w:hint="default" w:ascii="仿宋_GB2312" w:eastAsia="仿宋_GB2312" w:cs="仿宋_GB2312"/>
      <w:b/>
      <w:bCs/>
      <w:color w:val="000000"/>
      <w:sz w:val="32"/>
      <w:szCs w:val="32"/>
      <w:u w:val="none"/>
    </w:rPr>
  </w:style>
  <w:style w:type="character" w:customStyle="1" w:styleId="61">
    <w:name w:val="active1"/>
    <w:basedOn w:val="20"/>
    <w:autoRedefine/>
    <w:qFormat/>
    <w:uiPriority w:val="0"/>
    <w:rPr>
      <w:color w:val="FFFFFF"/>
      <w:shd w:val="clear" w:color="auto" w:fill="428BCA"/>
    </w:rPr>
  </w:style>
  <w:style w:type="character" w:customStyle="1" w:styleId="62">
    <w:name w:val="hover5"/>
    <w:basedOn w:val="20"/>
    <w:autoRedefine/>
    <w:qFormat/>
    <w:uiPriority w:val="0"/>
    <w:rPr>
      <w:shd w:val="clear" w:color="auto" w:fill="EEEEEE"/>
    </w:rPr>
  </w:style>
  <w:style w:type="character" w:customStyle="1" w:styleId="63">
    <w:name w:val="ui-jqgrid-resize2"/>
    <w:basedOn w:val="20"/>
    <w:autoRedefine/>
    <w:qFormat/>
    <w:uiPriority w:val="0"/>
  </w:style>
  <w:style w:type="paragraph" w:customStyle="1" w:styleId="64">
    <w:name w:val="正文（首行缩进2字符）"/>
    <w:basedOn w:val="1"/>
    <w:autoRedefine/>
    <w:qFormat/>
    <w:uiPriority w:val="0"/>
    <w:pPr>
      <w:ind w:firstLine="440"/>
    </w:pPr>
    <w:rPr>
      <w:rFonts w:ascii="宋体" w:hAnsi="宋体"/>
      <w:kern w:val="0"/>
      <w:sz w:val="22"/>
    </w:rPr>
  </w:style>
  <w:style w:type="paragraph" w:customStyle="1" w:styleId="65">
    <w:name w:val="表格文字"/>
    <w:basedOn w:val="1"/>
    <w:autoRedefine/>
    <w:qFormat/>
    <w:uiPriority w:val="0"/>
    <w:pPr>
      <w:jc w:val="center"/>
    </w:pPr>
    <w:rPr>
      <w:rFonts w:ascii="黑体" w:eastAsia="黑体"/>
      <w:bCs/>
      <w:spacing w:val="10"/>
      <w:kern w:val="0"/>
    </w:rPr>
  </w:style>
  <w:style w:type="paragraph" w:customStyle="1" w:styleId="66">
    <w:name w:val="公文标题"/>
    <w:basedOn w:val="1"/>
    <w:autoRedefine/>
    <w:qFormat/>
    <w:uiPriority w:val="0"/>
    <w:pPr>
      <w:spacing w:line="579" w:lineRule="exact"/>
      <w:jc w:val="center"/>
    </w:pPr>
    <w:rPr>
      <w:rFonts w:eastAsia="方正小标宋_GBK"/>
      <w:sz w:val="44"/>
    </w:rPr>
  </w:style>
  <w:style w:type="character" w:customStyle="1" w:styleId="67">
    <w:name w:val="font21"/>
    <w:basedOn w:val="20"/>
    <w:autoRedefine/>
    <w:qFormat/>
    <w:uiPriority w:val="0"/>
    <w:rPr>
      <w:rFonts w:hint="eastAsia" w:ascii="宋体" w:hAnsi="宋体" w:eastAsia="宋体" w:cs="宋体"/>
      <w:b/>
      <w:bCs/>
      <w:color w:val="000000"/>
      <w:sz w:val="24"/>
      <w:szCs w:val="24"/>
      <w:u w:val="none"/>
    </w:rPr>
  </w:style>
  <w:style w:type="paragraph" w:customStyle="1" w:styleId="68">
    <w:name w:val="Table Text"/>
    <w:basedOn w:val="1"/>
    <w:semiHidden/>
    <w:qFormat/>
    <w:uiPriority w:val="0"/>
    <w:rPr>
      <w:rFonts w:ascii="仿宋" w:hAnsi="仿宋" w:eastAsia="仿宋" w:cs="仿宋"/>
      <w:sz w:val="24"/>
      <w:lang w:eastAsia="en-US"/>
    </w:rPr>
  </w:style>
  <w:style w:type="table" w:customStyle="1" w:styleId="69">
    <w:name w:val="Table Normal"/>
    <w:semiHidden/>
    <w:unhideWhenUsed/>
    <w:qFormat/>
    <w:uiPriority w:val="0"/>
    <w:tblPr>
      <w:tblCellMar>
        <w:top w:w="0" w:type="dxa"/>
        <w:left w:w="0" w:type="dxa"/>
        <w:bottom w:w="0" w:type="dxa"/>
        <w:right w:w="0" w:type="dxa"/>
      </w:tblCellMar>
    </w:tblPr>
  </w:style>
  <w:style w:type="character" w:customStyle="1" w:styleId="70">
    <w:name w:val="批注文字 字符"/>
    <w:basedOn w:val="20"/>
    <w:link w:val="6"/>
    <w:qFormat/>
    <w:uiPriority w:val="0"/>
    <w:rPr>
      <w:kern w:val="2"/>
      <w:sz w:val="21"/>
      <w:szCs w:val="24"/>
    </w:rPr>
  </w:style>
  <w:style w:type="character" w:customStyle="1" w:styleId="71">
    <w:name w:val="批注主题 字符"/>
    <w:basedOn w:val="70"/>
    <w:link w:val="17"/>
    <w:semiHidden/>
    <w:qFormat/>
    <w:uiPriority w:val="0"/>
    <w:rPr>
      <w:b/>
      <w:bCs/>
      <w:kern w:val="2"/>
      <w:sz w:val="21"/>
      <w:szCs w:val="24"/>
    </w:rPr>
  </w:style>
  <w:style w:type="paragraph" w:customStyle="1" w:styleId="7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4FD13-FCC4-4BF2-8083-D802180A91B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52</Pages>
  <Words>29479</Words>
  <Characters>30635</Characters>
  <Lines>236</Lines>
  <Paragraphs>66</Paragraphs>
  <TotalTime>2</TotalTime>
  <ScaleCrop>false</ScaleCrop>
  <LinksUpToDate>false</LinksUpToDate>
  <CharactersWithSpaces>31880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2024-07-23T02:21:00Z</dcterms:created>
  <dc:creator>随风</dc:creator>
  <cp:lastModifiedBy>Purple Rain</cp:lastModifiedBy>
  <cp:lastPrinted>2023-08-10T06:31:00Z</cp:lastPrinted>
  <dcterms:modified xsi:type="dcterms:W3CDTF">2024-08-15T03:38:23Z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04B7B59FCBA746ED8931432712A0FC0E_13</vt:lpwstr>
  </property>
</Properties>
</file>