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bidi w:val="0"/>
        <w:adjustRightInd/>
        <w:snapToGrid/>
        <w:spacing w:line="560" w:lineRule="exact"/>
        <w:jc w:val="center"/>
        <w:rPr>
          <w:rFonts w:ascii="宋体" w:hAnsi="宋体" w:eastAsia="宋体" w:cs="宋体"/>
          <w:b/>
          <w:bCs/>
          <w:sz w:val="44"/>
          <w:szCs w:val="44"/>
          <w:highlight w:val="none"/>
        </w:rPr>
      </w:pPr>
      <w:r>
        <w:rPr>
          <w:rFonts w:hint="eastAsia" w:ascii="宋体" w:hAnsi="宋体" w:eastAsia="宋体" w:cs="宋体"/>
          <w:b/>
          <w:bCs/>
          <w:sz w:val="44"/>
          <w:szCs w:val="44"/>
          <w:highlight w:val="none"/>
        </w:rPr>
        <w:t>海口江东新区管理局</w:t>
      </w:r>
    </w:p>
    <w:p>
      <w:pPr>
        <w:pStyle w:val="6"/>
        <w:keepNext w:val="0"/>
        <w:keepLines w:val="0"/>
        <w:pageBreakBefore w:val="0"/>
        <w:kinsoku/>
        <w:wordWrap/>
        <w:overflowPunct/>
        <w:topLinePunct w:val="0"/>
        <w:autoSpaceDE/>
        <w:bidi w:val="0"/>
        <w:adjustRightInd/>
        <w:snapToGrid/>
        <w:spacing w:line="560" w:lineRule="exact"/>
        <w:rPr>
          <w:rFonts w:hint="eastAsia" w:ascii="宋体" w:hAnsi="宋体" w:eastAsia="宋体" w:cs="宋体"/>
          <w:b/>
          <w:bCs/>
          <w:kern w:val="2"/>
          <w:sz w:val="44"/>
          <w:szCs w:val="44"/>
          <w:highlight w:val="none"/>
          <w:lang w:val="en-US" w:eastAsia="zh-CN" w:bidi="ar-SA"/>
        </w:rPr>
      </w:pPr>
      <w:r>
        <w:rPr>
          <w:rFonts w:hint="eastAsia" w:ascii="宋体" w:hAnsi="宋体" w:eastAsia="宋体" w:cs="宋体"/>
          <w:sz w:val="44"/>
          <w:szCs w:val="44"/>
          <w:highlight w:val="none"/>
          <w:lang w:eastAsia="zh-CN"/>
        </w:rPr>
        <w:t>2023</w:t>
      </w:r>
      <w:r>
        <w:rPr>
          <w:rFonts w:hint="eastAsia" w:ascii="宋体" w:hAnsi="宋体" w:eastAsia="宋体" w:cs="宋体"/>
          <w:b/>
          <w:bCs/>
          <w:kern w:val="2"/>
          <w:sz w:val="44"/>
          <w:szCs w:val="44"/>
          <w:highlight w:val="none"/>
          <w:lang w:val="en-US" w:eastAsia="zh-CN" w:bidi="ar-SA"/>
        </w:rPr>
        <w:t>年江东新区地下综合管廊项目（一期）—空港环路地下综合管廊项目</w:t>
      </w:r>
    </w:p>
    <w:p>
      <w:pPr>
        <w:keepNext w:val="0"/>
        <w:keepLines w:val="0"/>
        <w:pageBreakBefore w:val="0"/>
        <w:kinsoku/>
        <w:wordWrap/>
        <w:overflowPunct/>
        <w:topLinePunct w:val="0"/>
        <w:autoSpaceDE/>
        <w:bidi w:val="0"/>
        <w:adjustRightInd/>
        <w:snapToGrid/>
        <w:spacing w:line="560" w:lineRule="exact"/>
        <w:jc w:val="center"/>
        <w:rPr>
          <w:b/>
          <w:bCs/>
          <w:sz w:val="44"/>
          <w:szCs w:val="44"/>
          <w:highlight w:val="none"/>
        </w:rPr>
      </w:pPr>
      <w:r>
        <w:rPr>
          <w:rFonts w:hint="eastAsia" w:ascii="宋体" w:hAnsi="宋体" w:eastAsia="宋体" w:cs="宋体"/>
          <w:b/>
          <w:bCs/>
          <w:sz w:val="44"/>
          <w:szCs w:val="44"/>
          <w:highlight w:val="none"/>
        </w:rPr>
        <w:t>支出绩效评价报告</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一、基本情况</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（一）项目概况</w:t>
      </w:r>
    </w:p>
    <w:p>
      <w:pPr>
        <w:keepNext w:val="0"/>
        <w:keepLines w:val="0"/>
        <w:pageBreakBefore w:val="0"/>
        <w:widowControl/>
        <w:kinsoku/>
        <w:wordWrap/>
        <w:overflowPunct/>
        <w:topLinePunct w:val="0"/>
        <w:autoSpaceDE/>
        <w:bidi w:val="0"/>
        <w:adjustRightInd/>
        <w:snapToGrid/>
        <w:spacing w:line="560" w:lineRule="exact"/>
        <w:ind w:firstLine="640" w:firstLineChars="200"/>
        <w:jc w:val="both"/>
        <w:rPr>
          <w:rFonts w:hint="eastAsia" w:ascii="仿宋_GB2312" w:hAnsi="Times New Roman" w:eastAsia="仿宋_GB2312" w:cs="仿宋_GB2312"/>
          <w:sz w:val="32"/>
          <w:szCs w:val="32"/>
          <w:highlight w:val="none"/>
          <w:lang w:bidi="ar"/>
        </w:rPr>
      </w:pPr>
      <w:r>
        <w:rPr>
          <w:rFonts w:hint="eastAsia" w:ascii="仿宋_GB2312" w:hAnsi="Times New Roman" w:eastAsia="仿宋_GB2312" w:cs="仿宋_GB2312"/>
          <w:sz w:val="32"/>
          <w:szCs w:val="32"/>
          <w:highlight w:val="none"/>
          <w:lang w:bidi="ar"/>
        </w:rPr>
        <w:t>江东新区地下综合管廊项目（一期）—空港环路地下综合管廊项目业主为</w:t>
      </w:r>
      <w:r>
        <w:rPr>
          <w:rFonts w:hint="eastAsia" w:ascii="仿宋_GB2312" w:hAnsi="Times New Roman" w:eastAsia="仿宋_GB2312" w:cs="仿宋_GB2312"/>
          <w:sz w:val="32"/>
          <w:szCs w:val="32"/>
          <w:highlight w:val="none"/>
          <w:lang w:val="en-US" w:eastAsia="zh-CN" w:bidi="ar"/>
        </w:rPr>
        <w:t>海口市君实综合开发建设有限</w:t>
      </w:r>
      <w:bookmarkStart w:id="0" w:name="_GoBack"/>
      <w:bookmarkEnd w:id="0"/>
      <w:r>
        <w:rPr>
          <w:rFonts w:hint="eastAsia" w:ascii="仿宋_GB2312" w:hAnsi="Times New Roman" w:eastAsia="仿宋_GB2312" w:cs="仿宋_GB2312"/>
          <w:sz w:val="32"/>
          <w:szCs w:val="32"/>
          <w:highlight w:val="none"/>
          <w:lang w:val="en-US" w:eastAsia="zh-CN" w:bidi="ar"/>
        </w:rPr>
        <w:t>责任公司（变更前名称：</w:t>
      </w:r>
      <w:r>
        <w:rPr>
          <w:rFonts w:hint="eastAsia" w:ascii="仿宋_GB2312" w:hAnsi="Times New Roman" w:eastAsia="仿宋_GB2312" w:cs="仿宋_GB2312"/>
          <w:sz w:val="32"/>
          <w:szCs w:val="32"/>
          <w:highlight w:val="none"/>
          <w:lang w:bidi="ar"/>
        </w:rPr>
        <w:t>海口江东新区开发建设有限责任公司</w:t>
      </w:r>
      <w:r>
        <w:rPr>
          <w:rFonts w:hint="eastAsia" w:ascii="仿宋_GB2312" w:hAnsi="Times New Roman" w:eastAsia="仿宋_GB2312" w:cs="仿宋_GB2312"/>
          <w:sz w:val="32"/>
          <w:szCs w:val="32"/>
          <w:highlight w:val="none"/>
          <w:lang w:eastAsia="zh-CN" w:bidi="ar"/>
        </w:rPr>
        <w:t>）</w:t>
      </w:r>
      <w:r>
        <w:rPr>
          <w:rFonts w:hint="eastAsia" w:ascii="仿宋_GB2312" w:hAnsi="Times New Roman" w:eastAsia="仿宋_GB2312" w:cs="仿宋_GB2312"/>
          <w:sz w:val="32"/>
          <w:szCs w:val="32"/>
          <w:highlight w:val="none"/>
          <w:lang w:bidi="ar"/>
        </w:rPr>
        <w:t>，项目拟建三段管廊，总长度约8993m，分别为空港环路西段综合管廊（南渡江大道~桂江大道，全长约3.18公里，双舱支线型综合管廊，现浇标准断面，双舱宽度净宽×净高=（2.6+3.0）m×4.0m）、空港环路中段综合管廊（桂江大道~云美大道，全长约4.70公里，双舱支线型综合管廊，现浇标准断面，双舱宽度净宽×净高=（2.6+4.3）m×4.0m）、空港环路东段综合管廊（云美大道~林田大道，全长约1.11公里，双舱支线型综合管廊，现浇标准断面，双舱宽度净宽×净高=（2.6+3.0）m×4.0m）。主要建设内容包括综合管廊主体结构、附属构筑物、引出排管、内部安装工程（电气、自控、排水、消防、暖通）、标识标牌、支架工程、入廊给水管及再生水管安装、整平管廊所在规划林地约20m宽度范围场地标高至道路人行道标高及简单覆绿等。项目总投资119469.09 万元，其中工程费94540.91 万元，工程建设其它费用 18757.05 万元（含征地拆迁费 9402.54 万元，该项费用以市政府批复为准），预预备费5194.77 万元，建设单位管理费 976.36 万元。该项目</w:t>
      </w:r>
      <w:r>
        <w:rPr>
          <w:rFonts w:hint="eastAsia" w:ascii="仿宋_GB2312" w:hAnsi="Times New Roman" w:eastAsia="仿宋_GB2312" w:cs="仿宋_GB2312"/>
          <w:sz w:val="32"/>
          <w:szCs w:val="32"/>
          <w:highlight w:val="none"/>
          <w:lang w:val="en-US" w:eastAsia="zh-CN" w:bidi="ar"/>
        </w:rPr>
        <w:t>2023年</w:t>
      </w:r>
      <w:r>
        <w:rPr>
          <w:rFonts w:hint="eastAsia" w:ascii="仿宋_GB2312" w:hAnsi="Times New Roman" w:eastAsia="仿宋_GB2312" w:cs="仿宋_GB2312"/>
          <w:sz w:val="32"/>
          <w:szCs w:val="32"/>
          <w:highlight w:val="none"/>
          <w:lang w:bidi="ar"/>
        </w:rPr>
        <w:t>共计获得资金</w:t>
      </w:r>
      <w:r>
        <w:rPr>
          <w:rFonts w:hint="eastAsia" w:ascii="仿宋_GB2312" w:hAnsi="Times New Roman" w:eastAsia="仿宋_GB2312" w:cs="仿宋_GB2312"/>
          <w:sz w:val="32"/>
          <w:szCs w:val="32"/>
          <w:highlight w:val="none"/>
          <w:lang w:val="en-US" w:eastAsia="zh-CN" w:bidi="ar"/>
        </w:rPr>
        <w:t>5600</w:t>
      </w:r>
      <w:r>
        <w:rPr>
          <w:rFonts w:hint="eastAsia" w:ascii="仿宋_GB2312" w:hAnsi="Times New Roman" w:eastAsia="仿宋_GB2312" w:cs="仿宋_GB2312"/>
          <w:sz w:val="32"/>
          <w:szCs w:val="32"/>
          <w:highlight w:val="none"/>
          <w:lang w:bidi="ar"/>
        </w:rPr>
        <w:t>万元</w:t>
      </w:r>
      <w:r>
        <w:rPr>
          <w:rFonts w:hint="eastAsia" w:ascii="仿宋_GB2312" w:hAnsi="Times New Roman" w:eastAsia="仿宋_GB2312" w:cs="仿宋_GB2312"/>
          <w:sz w:val="32"/>
          <w:szCs w:val="32"/>
          <w:highlight w:val="none"/>
          <w:lang w:eastAsia="zh-CN" w:bidi="ar"/>
        </w:rPr>
        <w:t>，</w:t>
      </w:r>
      <w:r>
        <w:rPr>
          <w:rFonts w:hint="eastAsia" w:ascii="仿宋_GB2312" w:hAnsi="Times New Roman" w:eastAsia="仿宋_GB2312" w:cs="仿宋_GB2312"/>
          <w:sz w:val="32"/>
          <w:szCs w:val="32"/>
          <w:highlight w:val="none"/>
          <w:lang w:val="en-US" w:eastAsia="zh-CN" w:bidi="ar"/>
        </w:rPr>
        <w:t>其中</w:t>
      </w:r>
      <w:r>
        <w:rPr>
          <w:rFonts w:hint="eastAsia" w:ascii="仿宋_GB2312" w:hAnsi="Times New Roman" w:eastAsia="仿宋_GB2312" w:cs="仿宋_GB2312"/>
          <w:sz w:val="32"/>
          <w:szCs w:val="32"/>
          <w:highlight w:val="none"/>
          <w:lang w:bidi="ar"/>
        </w:rPr>
        <w:t>2023年地债资金5600万元</w:t>
      </w:r>
      <w:r>
        <w:rPr>
          <w:rFonts w:hint="eastAsia" w:ascii="仿宋_GB2312" w:hAnsi="Times New Roman" w:eastAsia="仿宋_GB2312" w:cs="仿宋_GB2312"/>
          <w:sz w:val="32"/>
          <w:szCs w:val="32"/>
          <w:highlight w:val="none"/>
          <w:lang w:eastAsia="zh-CN" w:bidi="ar"/>
        </w:rPr>
        <w:t>。</w:t>
      </w:r>
      <w:r>
        <w:rPr>
          <w:rFonts w:hint="eastAsia" w:ascii="仿宋_GB2312" w:hAnsi="Times New Roman" w:eastAsia="仿宋_GB2312" w:cs="仿宋_GB2312"/>
          <w:sz w:val="32"/>
          <w:szCs w:val="32"/>
          <w:highlight w:val="none"/>
          <w:lang w:val="en-US" w:eastAsia="zh-CN" w:bidi="ar"/>
        </w:rPr>
        <w:t>截至目前，均已支出完毕</w:t>
      </w:r>
      <w:r>
        <w:rPr>
          <w:rFonts w:hint="eastAsia" w:ascii="仿宋_GB2312" w:hAnsi="Times New Roman" w:eastAsia="仿宋_GB2312" w:cs="仿宋_GB2312"/>
          <w:sz w:val="32"/>
          <w:szCs w:val="32"/>
          <w:highlight w:val="none"/>
          <w:lang w:eastAsia="zh-CN" w:bidi="ar"/>
        </w:rPr>
        <w:t>。</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（二）项目绩效目标</w:t>
      </w:r>
    </w:p>
    <w:p>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该项目总体目标:提交工作面1000米，并完成主体结构施工。年度绩效目标如下：</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8"/>
        <w:gridCol w:w="4483"/>
        <w:gridCol w:w="2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Merge w:val="restar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指标类型</w:t>
            </w:r>
          </w:p>
        </w:tc>
        <w:tc>
          <w:tcPr>
            <w:tcW w:w="2630" w:type="pct"/>
            <w:vMerge w:val="restar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指标名称</w:t>
            </w:r>
          </w:p>
        </w:tc>
        <w:tc>
          <w:tcPr>
            <w:tcW w:w="1184" w:type="pct"/>
            <w:vMerge w:val="restar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Merge w:val="continue"/>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2630" w:type="pct"/>
            <w:vMerge w:val="continue"/>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1184" w:type="pct"/>
            <w:vMerge w:val="continue"/>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产出指标</w:t>
            </w:r>
          </w:p>
        </w:tc>
        <w:tc>
          <w:tcPr>
            <w:tcW w:w="2630"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已完成提交工作面</w:t>
            </w:r>
          </w:p>
        </w:tc>
        <w:tc>
          <w:tcPr>
            <w:tcW w:w="1184"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Theme="minorEastAsia"/>
                <w:sz w:val="24"/>
                <w:highlight w:val="none"/>
                <w:lang w:val="en-US" w:eastAsia="zh-CN"/>
              </w:rPr>
            </w:pPr>
            <w:r>
              <w:rPr>
                <w:rFonts w:hint="eastAsia" w:ascii="宋体" w:hAnsi="宋体"/>
                <w:sz w:val="24"/>
                <w:highlight w:val="none"/>
              </w:rPr>
              <w:t>≥</w:t>
            </w:r>
            <w:r>
              <w:rPr>
                <w:rFonts w:hint="eastAsia" w:ascii="宋体" w:hAnsi="宋体"/>
                <w:sz w:val="24"/>
                <w:highlight w:val="none"/>
                <w:lang w:val="en-US" w:eastAsia="zh-CN"/>
              </w:rPr>
              <w:t>1千米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效益指标</w:t>
            </w:r>
          </w:p>
        </w:tc>
        <w:tc>
          <w:tcPr>
            <w:tcW w:w="2630"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项目受益人数</w:t>
            </w:r>
          </w:p>
        </w:tc>
        <w:tc>
          <w:tcPr>
            <w:tcW w:w="1184"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sz w:val="24"/>
                <w:highlight w:val="none"/>
              </w:rPr>
              <w:t>≥</w:t>
            </w:r>
            <w:r>
              <w:rPr>
                <w:rFonts w:hint="eastAsia" w:ascii="宋体" w:hAnsi="宋体"/>
                <w:sz w:val="24"/>
                <w:highlight w:val="none"/>
                <w:lang w:val="en-US" w:eastAsia="zh-CN"/>
              </w:rPr>
              <w:t>2000</w:t>
            </w:r>
            <w:r>
              <w:rPr>
                <w:rFonts w:hint="eastAsia" w:ascii="宋体" w:hAnsi="宋体"/>
                <w:sz w:val="24"/>
                <w:highlight w:val="none"/>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sz w:val="24"/>
                <w:highlight w:val="none"/>
              </w:rPr>
            </w:pPr>
            <w:r>
              <w:rPr>
                <w:rFonts w:hint="eastAsia" w:ascii="宋体" w:hAnsi="宋体" w:eastAsia="宋体"/>
                <w:sz w:val="24"/>
                <w:highlight w:val="none"/>
              </w:rPr>
              <w:t>效益指标</w:t>
            </w:r>
          </w:p>
        </w:tc>
        <w:tc>
          <w:tcPr>
            <w:tcW w:w="2630"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sz w:val="24"/>
                <w:highlight w:val="none"/>
              </w:rPr>
            </w:pPr>
            <w:r>
              <w:rPr>
                <w:rFonts w:hint="eastAsia"/>
              </w:rPr>
              <w:t>安全事故发生数</w:t>
            </w:r>
          </w:p>
        </w:tc>
        <w:tc>
          <w:tcPr>
            <w:tcW w:w="1184"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default" w:ascii="宋体" w:hAnsi="宋体" w:eastAsiaTheme="minorEastAsia"/>
                <w:sz w:val="24"/>
                <w:highlight w:val="none"/>
                <w:lang w:val="en-US" w:eastAsia="zh-CN"/>
              </w:rPr>
            </w:pPr>
            <w:r>
              <w:rPr>
                <w:rFonts w:hint="eastAsia" w:ascii="宋体" w:hAnsi="宋体"/>
                <w:sz w:val="24"/>
                <w:highlight w:val="none"/>
                <w:lang w:val="en-US" w:eastAsia="zh-CN"/>
              </w:rPr>
              <w:t>=0起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成本指标</w:t>
            </w:r>
          </w:p>
        </w:tc>
        <w:tc>
          <w:tcPr>
            <w:tcW w:w="2630"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超概算比例</w:t>
            </w:r>
          </w:p>
        </w:tc>
        <w:tc>
          <w:tcPr>
            <w:tcW w:w="1184"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szCs w:val="22"/>
                <w:highlight w:val="none"/>
              </w:rPr>
            </w:pPr>
            <w:r>
              <w:rPr>
                <w:rFonts w:hint="eastAsia" w:ascii="宋体" w:hAnsi="宋体"/>
                <w:sz w:val="24"/>
                <w:highlight w:val="none"/>
              </w:rPr>
              <w:t>≤</w:t>
            </w:r>
            <w:r>
              <w:rPr>
                <w:rFonts w:hint="eastAsia" w:ascii="宋体" w:hAnsi="宋体"/>
                <w:sz w:val="24"/>
                <w:highlight w:val="none"/>
                <w:lang w:val="en-US" w:eastAsia="zh-CN"/>
              </w:rPr>
              <w:t>5</w:t>
            </w:r>
            <w:r>
              <w:rPr>
                <w:rFonts w:hint="eastAsia" w:ascii="宋体" w:hAnsi="宋体"/>
                <w:sz w:val="24"/>
                <w:highlight w:val="none"/>
              </w:rPr>
              <w:t>%</w:t>
            </w:r>
          </w:p>
        </w:tc>
      </w:tr>
    </w:tbl>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二、绩效评价工作开展情况</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（一）绩效评价目的、对象、范围</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w:t>
      </w:r>
      <w:r>
        <w:rPr>
          <w:rFonts w:hint="eastAsia" w:ascii="仿宋_GB2312" w:hAnsi="Times New Roman" w:eastAsia="仿宋_GB2312" w:cs="仿宋_GB2312"/>
          <w:color w:val="auto"/>
          <w:sz w:val="32"/>
          <w:szCs w:val="32"/>
          <w:highlight w:val="none"/>
          <w:lang w:bidi="ar"/>
        </w:rPr>
        <w:t>江东新区地下综合管廊项目（一期）—空港环路地下综合管廊项目</w:t>
      </w:r>
      <w:r>
        <w:rPr>
          <w:rFonts w:hint="eastAsia" w:ascii="仿宋_GB2312" w:hAnsi="仿宋_GB2312" w:eastAsia="仿宋_GB2312" w:cs="仿宋_GB2312"/>
          <w:color w:val="auto"/>
          <w:sz w:val="32"/>
          <w:szCs w:val="32"/>
          <w:highlight w:val="none"/>
        </w:rPr>
        <w:t>开展部门评价，促进部门提升预算绩效管理工作水平，强化</w:t>
      </w:r>
      <w:r>
        <w:rPr>
          <w:rFonts w:hint="eastAsia" w:ascii="仿宋_GB2312" w:hAnsi="仿宋_GB2312" w:eastAsia="仿宋_GB2312" w:cs="仿宋_GB2312"/>
          <w:sz w:val="32"/>
          <w:szCs w:val="32"/>
          <w:highlight w:val="none"/>
        </w:rPr>
        <w:t>部门支出责任，规范资金管理行为，提高财政资金使用效益。</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（二）绩效评价原则、评价指标体系、评价方法、评价标准</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1.绩效评价原则</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本次部门评价坚持运用科学合理的方法，按照规范的程序，对项目绩效进行客观、公正的反映。</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2.评价指标体系</w:t>
      </w:r>
    </w:p>
    <w:p>
      <w:pPr>
        <w:keepNext w:val="0"/>
        <w:keepLines w:val="0"/>
        <w:widowControl w:val="0"/>
        <w:suppressLineNumbers w:val="0"/>
        <w:autoSpaceDE/>
        <w:autoSpaceDN w:val="0"/>
        <w:spacing w:before="0" w:beforeAutospacing="0" w:after="0" w:afterAutospacing="0" w:line="560" w:lineRule="exact"/>
        <w:ind w:left="0" w:right="0" w:firstLine="640" w:firstLineChars="200"/>
        <w:jc w:val="both"/>
        <w:rPr>
          <w:rFonts w:hint="eastAsia" w:ascii="仿宋_GB2312" w:hAnsi="Calibri" w:eastAsia="仿宋_GB2312" w:cs="仿宋_GB2312"/>
          <w:kern w:val="2"/>
          <w:sz w:val="32"/>
          <w:szCs w:val="32"/>
          <w:lang w:val="en-US" w:eastAsia="zh-CN" w:bidi="ar"/>
        </w:rPr>
      </w:pPr>
      <w:r>
        <w:rPr>
          <w:rFonts w:hint="eastAsia" w:ascii="仿宋_GB2312" w:hAnsi="Calibri" w:eastAsia="仿宋_GB2312" w:cs="仿宋_GB2312"/>
          <w:kern w:val="2"/>
          <w:sz w:val="32"/>
          <w:szCs w:val="32"/>
          <w:lang w:val="en-US" w:eastAsia="zh-CN" w:bidi="ar"/>
        </w:rPr>
        <w:t>从项目决策、过程、产出等指标开展部门评价。</w:t>
      </w:r>
    </w:p>
    <w:tbl>
      <w:tblPr>
        <w:tblStyle w:val="7"/>
        <w:tblW w:w="42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2"/>
        <w:gridCol w:w="2577"/>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1012"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270"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766"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950"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270"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950"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766" w:type="pct"/>
            <w:vAlign w:val="center"/>
          </w:tcPr>
          <w:p>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950"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766"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766"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950"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spacing w:line="300" w:lineRule="exact"/>
              <w:jc w:val="center"/>
              <w:rPr>
                <w:rFonts w:hint="eastAsia" w:ascii="宋体" w:hAnsi="宋体" w:eastAsia="宋体"/>
                <w:color w:val="auto"/>
                <w:sz w:val="21"/>
                <w:szCs w:val="21"/>
              </w:rPr>
            </w:pPr>
          </w:p>
        </w:tc>
        <w:tc>
          <w:tcPr>
            <w:tcW w:w="1270" w:type="pct"/>
            <w:vMerge w:val="continue"/>
            <w:vAlign w:val="center"/>
          </w:tcPr>
          <w:p>
            <w:pPr>
              <w:spacing w:line="300" w:lineRule="exact"/>
              <w:jc w:val="center"/>
              <w:rPr>
                <w:rFonts w:hint="eastAsia" w:ascii="宋体" w:hAnsi="宋体" w:eastAsia="宋体"/>
                <w:color w:val="auto"/>
                <w:sz w:val="21"/>
                <w:szCs w:val="21"/>
              </w:rPr>
            </w:pP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270"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950" w:type="pc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spacing w:line="300" w:lineRule="exact"/>
              <w:jc w:val="center"/>
              <w:rPr>
                <w:rFonts w:hint="eastAsia" w:ascii="宋体" w:hAnsi="宋体" w:eastAsia="宋体"/>
                <w:color w:val="auto"/>
                <w:sz w:val="21"/>
                <w:szCs w:val="21"/>
              </w:rPr>
            </w:pPr>
          </w:p>
        </w:tc>
        <w:tc>
          <w:tcPr>
            <w:tcW w:w="1270" w:type="pct"/>
            <w:vMerge w:val="continue"/>
            <w:vAlign w:val="center"/>
          </w:tcPr>
          <w:p>
            <w:pPr>
              <w:spacing w:line="300" w:lineRule="exact"/>
              <w:jc w:val="center"/>
              <w:rPr>
                <w:rFonts w:hint="eastAsia" w:ascii="宋体" w:hAnsi="宋体" w:eastAsia="宋体"/>
                <w:color w:val="auto"/>
                <w:sz w:val="21"/>
                <w:szCs w:val="21"/>
              </w:rPr>
            </w:pP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950"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spacing w:line="300" w:lineRule="exact"/>
              <w:jc w:val="center"/>
              <w:rPr>
                <w:rFonts w:hint="eastAsia" w:ascii="宋体" w:hAnsi="宋体" w:eastAsia="宋体"/>
                <w:color w:val="auto"/>
                <w:sz w:val="21"/>
                <w:szCs w:val="21"/>
              </w:rPr>
            </w:pPr>
          </w:p>
        </w:tc>
        <w:tc>
          <w:tcPr>
            <w:tcW w:w="1270" w:type="pct"/>
            <w:vMerge w:val="continue"/>
            <w:vAlign w:val="center"/>
          </w:tcPr>
          <w:p>
            <w:pPr>
              <w:spacing w:line="300" w:lineRule="exact"/>
              <w:jc w:val="center"/>
              <w:rPr>
                <w:rFonts w:hint="eastAsia" w:ascii="宋体" w:hAnsi="宋体" w:eastAsia="宋体"/>
                <w:color w:val="auto"/>
                <w:sz w:val="21"/>
                <w:szCs w:val="21"/>
              </w:rPr>
            </w:pPr>
          </w:p>
        </w:tc>
        <w:tc>
          <w:tcPr>
            <w:tcW w:w="1766"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spacing w:line="300" w:lineRule="exact"/>
              <w:jc w:val="center"/>
              <w:rPr>
                <w:rFonts w:hint="eastAsia" w:ascii="宋体" w:hAnsi="宋体" w:eastAsia="宋体"/>
                <w:color w:val="auto"/>
                <w:sz w:val="21"/>
                <w:szCs w:val="21"/>
              </w:rPr>
            </w:pPr>
          </w:p>
        </w:tc>
        <w:tc>
          <w:tcPr>
            <w:tcW w:w="1270" w:type="pct"/>
            <w:vMerge w:val="restart"/>
            <w:vAlign w:val="center"/>
          </w:tcPr>
          <w:p>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766"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spacing w:line="300" w:lineRule="exact"/>
              <w:jc w:val="center"/>
              <w:rPr>
                <w:rFonts w:hint="eastAsia" w:ascii="宋体" w:hAnsi="宋体" w:eastAsia="宋体"/>
                <w:color w:val="auto"/>
                <w:sz w:val="21"/>
                <w:szCs w:val="21"/>
              </w:rPr>
            </w:pPr>
          </w:p>
        </w:tc>
        <w:tc>
          <w:tcPr>
            <w:tcW w:w="1270" w:type="pct"/>
            <w:vMerge w:val="continue"/>
            <w:vAlign w:val="center"/>
          </w:tcPr>
          <w:p>
            <w:pPr>
              <w:spacing w:line="300" w:lineRule="exact"/>
              <w:jc w:val="center"/>
              <w:rPr>
                <w:rFonts w:hint="eastAsia" w:ascii="宋体" w:hAnsi="宋体" w:eastAsia="宋体"/>
                <w:color w:val="auto"/>
                <w:sz w:val="21"/>
                <w:szCs w:val="21"/>
              </w:rPr>
            </w:pPr>
          </w:p>
        </w:tc>
        <w:tc>
          <w:tcPr>
            <w:tcW w:w="1766"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270" w:type="pct"/>
            <w:vAlign w:val="center"/>
          </w:tcPr>
          <w:p>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数量</w:t>
            </w: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建设(改造、修缮)工程量</w:t>
            </w:r>
          </w:p>
        </w:tc>
        <w:tc>
          <w:tcPr>
            <w:tcW w:w="950"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270" w:type="pct"/>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成本</w:t>
            </w:r>
          </w:p>
        </w:tc>
        <w:tc>
          <w:tcPr>
            <w:tcW w:w="1766"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超概算项目比例</w:t>
            </w:r>
          </w:p>
        </w:tc>
        <w:tc>
          <w:tcPr>
            <w:tcW w:w="950"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270" w:type="pct"/>
            <w:vAlign w:val="center"/>
          </w:tcPr>
          <w:p>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项目效益</w:t>
            </w:r>
          </w:p>
        </w:tc>
        <w:tc>
          <w:tcPr>
            <w:tcW w:w="1766"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950"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049" w:type="pct"/>
            <w:gridSpan w:val="3"/>
            <w:vAlign w:val="center"/>
          </w:tcPr>
          <w:p>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950" w:type="pct"/>
            <w:vAlign w:val="center"/>
          </w:tcPr>
          <w:p>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r>
    </w:tbl>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3.评价方法</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本次部门评价采用比较法，将项目实施情况与绩效目标情况进行比较。</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4.评价标准</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本次部门评价以年初的目标、计划、预算、定额等作为评价标准</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（三）绩效评价工作过程</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评价小组对评价资料进行认真梳理，测算分析各项指标，汇总评分并形成评价报告。</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1.对《项目支出绩效评价管理办法》（财预〔2020〕10号）进行研读，对部门评价有基本的把握和了解，归纳出进一步评价所需的信息。</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2.集中对各个评价指标逐一进行分析。</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3.评价小组汇总分析评价过程中发现的问题并对存在问题进行讨论，分别计算各评价指标所得分数，形成评价结果。</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4.根据评价结果，撰写评价报告。</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三、综合评价情况及评价结论</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绩效评价工作小组从项目决策、过程管理、产出等方面分别对该项目进行评价，项目目标设定、决策过程、资金管理、组织实施、项目效果等方面落实情况较好，评价得分99分，评价等次为优，达到了预期设定的项目绩效目标。</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4"/>
        <w:gridCol w:w="2575"/>
        <w:gridCol w:w="1386"/>
        <w:gridCol w:w="1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866"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088"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511"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813"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c>
          <w:tcPr>
            <w:tcW w:w="720" w:type="pct"/>
            <w:vAlign w:val="center"/>
          </w:tcPr>
          <w:p>
            <w:pPr>
              <w:autoSpaceDN w:val="0"/>
              <w:spacing w:line="300" w:lineRule="exact"/>
              <w:jc w:val="center"/>
              <w:textAlignment w:val="center"/>
              <w:rPr>
                <w:rFonts w:hint="eastAsia" w:ascii="宋体" w:hAnsi="宋体" w:eastAsia="宋体"/>
                <w:b/>
                <w:bCs w:val="0"/>
                <w:color w:val="auto"/>
                <w:sz w:val="21"/>
                <w:szCs w:val="21"/>
                <w:lang w:val="en-US" w:eastAsia="zh-CN"/>
              </w:rPr>
            </w:pPr>
            <w:r>
              <w:rPr>
                <w:rFonts w:hint="eastAsia" w:ascii="宋体" w:hAnsi="宋体" w:eastAsia="宋体"/>
                <w:b/>
                <w:bCs w:val="0"/>
                <w:color w:val="auto"/>
                <w:sz w:val="21"/>
                <w:szCs w:val="21"/>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088"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511"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813"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813"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511"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511"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813"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spacing w:line="300" w:lineRule="exact"/>
              <w:jc w:val="center"/>
              <w:rPr>
                <w:rFonts w:hint="eastAsia" w:ascii="宋体" w:hAnsi="宋体" w:eastAsia="宋体"/>
                <w:color w:val="auto"/>
                <w:sz w:val="21"/>
                <w:szCs w:val="21"/>
              </w:rPr>
            </w:pPr>
          </w:p>
        </w:tc>
        <w:tc>
          <w:tcPr>
            <w:tcW w:w="1088" w:type="pct"/>
            <w:vMerge w:val="continue"/>
            <w:vAlign w:val="center"/>
          </w:tcPr>
          <w:p>
            <w:pPr>
              <w:spacing w:line="300" w:lineRule="exact"/>
              <w:jc w:val="center"/>
              <w:rPr>
                <w:rFonts w:hint="eastAsia" w:ascii="宋体" w:hAnsi="宋体" w:eastAsia="宋体"/>
                <w:color w:val="auto"/>
                <w:sz w:val="21"/>
                <w:szCs w:val="21"/>
              </w:rPr>
            </w:pPr>
          </w:p>
        </w:tc>
        <w:tc>
          <w:tcPr>
            <w:tcW w:w="1511"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088"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511"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813" w:type="pc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c>
          <w:tcPr>
            <w:tcW w:w="720" w:type="pc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spacing w:line="300" w:lineRule="exact"/>
              <w:jc w:val="center"/>
              <w:rPr>
                <w:rFonts w:hint="eastAsia" w:ascii="宋体" w:hAnsi="宋体" w:eastAsia="宋体"/>
                <w:color w:val="auto"/>
                <w:sz w:val="21"/>
                <w:szCs w:val="21"/>
              </w:rPr>
            </w:pPr>
          </w:p>
        </w:tc>
        <w:tc>
          <w:tcPr>
            <w:tcW w:w="1088" w:type="pct"/>
            <w:vMerge w:val="continue"/>
            <w:vAlign w:val="center"/>
          </w:tcPr>
          <w:p>
            <w:pPr>
              <w:spacing w:line="300" w:lineRule="exact"/>
              <w:jc w:val="center"/>
              <w:rPr>
                <w:rFonts w:hint="eastAsia" w:ascii="宋体" w:hAnsi="宋体" w:eastAsia="宋体"/>
                <w:color w:val="auto"/>
                <w:sz w:val="21"/>
                <w:szCs w:val="21"/>
              </w:rPr>
            </w:pPr>
          </w:p>
        </w:tc>
        <w:tc>
          <w:tcPr>
            <w:tcW w:w="1511"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813"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c>
          <w:tcPr>
            <w:tcW w:w="72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spacing w:line="300" w:lineRule="exact"/>
              <w:jc w:val="center"/>
              <w:rPr>
                <w:rFonts w:hint="eastAsia" w:ascii="宋体" w:hAnsi="宋体" w:eastAsia="宋体"/>
                <w:color w:val="auto"/>
                <w:sz w:val="21"/>
                <w:szCs w:val="21"/>
              </w:rPr>
            </w:pPr>
          </w:p>
        </w:tc>
        <w:tc>
          <w:tcPr>
            <w:tcW w:w="1088" w:type="pct"/>
            <w:vMerge w:val="continue"/>
            <w:vAlign w:val="center"/>
          </w:tcPr>
          <w:p>
            <w:pPr>
              <w:spacing w:line="300" w:lineRule="exact"/>
              <w:jc w:val="center"/>
              <w:rPr>
                <w:rFonts w:hint="eastAsia" w:ascii="宋体" w:hAnsi="宋体" w:eastAsia="宋体"/>
                <w:color w:val="auto"/>
                <w:sz w:val="21"/>
                <w:szCs w:val="21"/>
              </w:rPr>
            </w:pPr>
          </w:p>
        </w:tc>
        <w:tc>
          <w:tcPr>
            <w:tcW w:w="1511"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spacing w:line="300" w:lineRule="exact"/>
              <w:jc w:val="center"/>
              <w:rPr>
                <w:rFonts w:hint="eastAsia" w:ascii="宋体" w:hAnsi="宋体" w:eastAsia="宋体"/>
                <w:color w:val="auto"/>
                <w:sz w:val="21"/>
                <w:szCs w:val="21"/>
              </w:rPr>
            </w:pPr>
          </w:p>
        </w:tc>
        <w:tc>
          <w:tcPr>
            <w:tcW w:w="1088" w:type="pct"/>
            <w:vMerge w:val="restart"/>
            <w:vAlign w:val="center"/>
          </w:tcPr>
          <w:p>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511"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spacing w:line="300" w:lineRule="exact"/>
              <w:jc w:val="center"/>
              <w:rPr>
                <w:rFonts w:hint="eastAsia" w:ascii="宋体" w:hAnsi="宋体" w:eastAsia="宋体"/>
                <w:color w:val="auto"/>
                <w:sz w:val="21"/>
                <w:szCs w:val="21"/>
              </w:rPr>
            </w:pPr>
          </w:p>
        </w:tc>
        <w:tc>
          <w:tcPr>
            <w:tcW w:w="1088" w:type="pct"/>
            <w:vMerge w:val="continue"/>
            <w:vAlign w:val="center"/>
          </w:tcPr>
          <w:p>
            <w:pPr>
              <w:spacing w:line="300" w:lineRule="exact"/>
              <w:jc w:val="center"/>
              <w:rPr>
                <w:rFonts w:hint="eastAsia" w:ascii="宋体" w:hAnsi="宋体" w:eastAsia="宋体"/>
                <w:color w:val="auto"/>
                <w:sz w:val="21"/>
                <w:szCs w:val="21"/>
              </w:rPr>
            </w:pPr>
          </w:p>
        </w:tc>
        <w:tc>
          <w:tcPr>
            <w:tcW w:w="1511"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088" w:type="pct"/>
            <w:vAlign w:val="center"/>
          </w:tcPr>
          <w:p>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数量</w:t>
            </w:r>
          </w:p>
        </w:tc>
        <w:tc>
          <w:tcPr>
            <w:tcW w:w="1511"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建设(改造、修缮)工程量</w:t>
            </w:r>
          </w:p>
        </w:tc>
        <w:tc>
          <w:tcPr>
            <w:tcW w:w="813"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c>
          <w:tcPr>
            <w:tcW w:w="720"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088" w:type="pct"/>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成本</w:t>
            </w:r>
          </w:p>
        </w:tc>
        <w:tc>
          <w:tcPr>
            <w:tcW w:w="1511"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超概算项目比例</w:t>
            </w:r>
          </w:p>
        </w:tc>
        <w:tc>
          <w:tcPr>
            <w:tcW w:w="813"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720" w:type="pct"/>
            <w:vAlign w:val="center"/>
          </w:tcPr>
          <w:p>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088" w:type="pct"/>
            <w:vAlign w:val="center"/>
          </w:tcPr>
          <w:p>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项目效益</w:t>
            </w:r>
          </w:p>
        </w:tc>
        <w:tc>
          <w:tcPr>
            <w:tcW w:w="1511"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813"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720" w:type="pct"/>
            <w:vAlign w:val="center"/>
          </w:tcPr>
          <w:p>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813" w:type="pct"/>
            <w:vAlign w:val="center"/>
          </w:tcPr>
          <w:p>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c>
          <w:tcPr>
            <w:tcW w:w="720" w:type="pct"/>
            <w:vAlign w:val="center"/>
          </w:tcPr>
          <w:p>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rPr>
              <w:t>评价等次</w:t>
            </w:r>
          </w:p>
        </w:tc>
        <w:tc>
          <w:tcPr>
            <w:tcW w:w="813" w:type="pct"/>
            <w:vAlign w:val="center"/>
          </w:tcPr>
          <w:p>
            <w:pPr>
              <w:autoSpaceDN w:val="0"/>
              <w:spacing w:line="300" w:lineRule="exact"/>
              <w:jc w:val="center"/>
              <w:textAlignment w:val="center"/>
              <w:rPr>
                <w:rFonts w:hint="eastAsia" w:ascii="宋体" w:hAnsi="宋体" w:eastAsia="宋体"/>
                <w:b/>
                <w:bCs/>
                <w:color w:val="auto"/>
                <w:sz w:val="21"/>
                <w:szCs w:val="21"/>
                <w:lang w:val="en-US" w:eastAsia="zh-CN"/>
              </w:rPr>
            </w:pPr>
          </w:p>
        </w:tc>
        <w:tc>
          <w:tcPr>
            <w:tcW w:w="720" w:type="pct"/>
            <w:vAlign w:val="center"/>
          </w:tcPr>
          <w:p>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优</w:t>
            </w:r>
          </w:p>
        </w:tc>
      </w:tr>
    </w:tbl>
    <w:p>
      <w:pPr>
        <w:keepNext w:val="0"/>
        <w:keepLines w:val="0"/>
        <w:pageBreakBefore w:val="0"/>
        <w:kinsoku/>
        <w:wordWrap/>
        <w:overflowPunct/>
        <w:topLinePunct w:val="0"/>
        <w:autoSpaceDE/>
        <w:bidi w:val="0"/>
        <w:adjustRightInd/>
        <w:snapToGrid/>
        <w:spacing w:line="560" w:lineRule="exact"/>
        <w:ind w:firstLine="640" w:firstLineChars="200"/>
        <w:rPr>
          <w:rFonts w:hint="eastAsia" w:ascii="黑体" w:hAnsi="黑体" w:eastAsia="黑体" w:cs="黑体"/>
          <w:sz w:val="32"/>
          <w:szCs w:val="32"/>
          <w:highlight w:val="none"/>
        </w:rPr>
      </w:pP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四、绩效评价指标分析</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（一）项目决策情况</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ascii="仿宋_GB2312" w:hAnsi="Calibri" w:eastAsia="仿宋_GB2312" w:cs="仿宋_GB2312"/>
          <w:kern w:val="0"/>
          <w:sz w:val="32"/>
          <w:szCs w:val="32"/>
          <w:highlight w:val="none"/>
          <w:lang w:bidi="ar"/>
        </w:rPr>
        <w:t>根据《海口市江东新区地下综合管廊专项规划》，本项目为江东新区综合管廊</w:t>
      </w:r>
      <w:r>
        <w:rPr>
          <w:rFonts w:hint="eastAsia" w:ascii="仿宋_GB2312" w:hAnsi="Calibri" w:eastAsia="仿宋_GB2312" w:cs="仿宋_GB2312"/>
          <w:kern w:val="0"/>
          <w:sz w:val="32"/>
          <w:szCs w:val="32"/>
          <w:highlight w:val="none"/>
          <w:lang w:eastAsia="zh-CN" w:bidi="ar"/>
        </w:rPr>
        <w:t>“</w:t>
      </w:r>
      <w:r>
        <w:rPr>
          <w:rFonts w:ascii="仿宋_GB2312" w:hAnsi="Calibri" w:eastAsia="仿宋_GB2312" w:cs="仿宋_GB2312"/>
          <w:kern w:val="0"/>
          <w:sz w:val="32"/>
          <w:szCs w:val="32"/>
          <w:highlight w:val="none"/>
          <w:lang w:bidi="ar"/>
        </w:rPr>
        <w:t>一环多支</w:t>
      </w:r>
      <w:r>
        <w:rPr>
          <w:rFonts w:hint="eastAsia" w:ascii="仿宋_GB2312" w:hAnsi="Calibri" w:eastAsia="仿宋_GB2312" w:cs="仿宋_GB2312"/>
          <w:kern w:val="0"/>
          <w:sz w:val="32"/>
          <w:szCs w:val="32"/>
          <w:highlight w:val="none"/>
          <w:lang w:eastAsia="zh-CN" w:bidi="ar"/>
        </w:rPr>
        <w:t>”</w:t>
      </w:r>
      <w:r>
        <w:rPr>
          <w:rFonts w:ascii="仿宋_GB2312" w:hAnsi="Calibri" w:eastAsia="仿宋_GB2312" w:cs="仿宋_GB2312"/>
          <w:kern w:val="0"/>
          <w:sz w:val="32"/>
          <w:szCs w:val="32"/>
          <w:highlight w:val="none"/>
          <w:lang w:bidi="ar"/>
        </w:rPr>
        <w:t>主干系统，同为江东新区主要能源输送通道的重要组成部分，是现状江东变电站(220kV)、规划潭连变(220kV)、龙泉变(220kV)、空港变(110kV)之间的高压电力通道，也是临空片区重要的市政管线主通道</w:t>
      </w:r>
      <w:r>
        <w:rPr>
          <w:rFonts w:hint="eastAsia" w:ascii="仿宋_GB2312" w:hAnsi="仿宋_GB2312" w:eastAsia="仿宋_GB2312" w:cs="仿宋_GB2312"/>
          <w:sz w:val="32"/>
          <w:szCs w:val="32"/>
          <w:highlight w:val="none"/>
        </w:rPr>
        <w:t>。该项目列入海口市政府投资项目计划。项目设定了绩效目标，绩效目标与实际工作内容具有相关性。项目预算编制科学合理，预算资金分配依据充分。</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（二）项目过程情况</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2020年我局制定并印发了《政府投资项目管理办法（试行）》，建立了有效的项目管理制度，保证了项目安全有效运行，确保了项目顺利实施，取得明显成效。项目资金支付严格履行审批程序，使用规范，会计核算结果真实、准确。此次绩效评价过程中未发现挤占或挪用项目资金的情况。</w:t>
      </w:r>
    </w:p>
    <w:p>
      <w:pPr>
        <w:keepNext w:val="0"/>
        <w:keepLines w:val="0"/>
        <w:pageBreakBefore w:val="0"/>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2023</w:t>
      </w:r>
      <w:r>
        <w:rPr>
          <w:rFonts w:hint="eastAsia" w:ascii="仿宋_GB2312" w:hAnsi="仿宋_GB2312" w:eastAsia="仿宋_GB2312" w:cs="仿宋_GB2312"/>
          <w:sz w:val="32"/>
          <w:szCs w:val="32"/>
          <w:highlight w:val="none"/>
        </w:rPr>
        <w:t>年共到位资金</w:t>
      </w:r>
      <w:r>
        <w:rPr>
          <w:rFonts w:hint="eastAsia" w:ascii="仿宋_GB2312" w:hAnsi="Times New Roman" w:eastAsia="仿宋_GB2312" w:cs="仿宋_GB2312"/>
          <w:sz w:val="32"/>
          <w:szCs w:val="32"/>
          <w:highlight w:val="none"/>
          <w:lang w:val="en-US" w:eastAsia="zh-CN" w:bidi="ar"/>
        </w:rPr>
        <w:t>5600</w:t>
      </w:r>
      <w:r>
        <w:rPr>
          <w:rFonts w:hint="eastAsia" w:ascii="仿宋_GB2312" w:hAnsi="仿宋_GB2312" w:eastAsia="仿宋_GB2312" w:cs="仿宋_GB2312"/>
          <w:sz w:val="32"/>
          <w:szCs w:val="32"/>
          <w:highlight w:val="none"/>
        </w:rPr>
        <w:t>万元</w:t>
      </w:r>
      <w:r>
        <w:rPr>
          <w:rFonts w:hint="eastAsia" w:ascii="仿宋_GB2312" w:hAnsi="Times New Roman" w:eastAsia="仿宋_GB2312" w:cs="仿宋_GB2312"/>
          <w:sz w:val="32"/>
          <w:szCs w:val="32"/>
          <w:highlight w:val="none"/>
          <w:lang w:bidi="ar"/>
        </w:rPr>
        <w:t>，</w:t>
      </w:r>
      <w:r>
        <w:rPr>
          <w:rFonts w:hint="eastAsia" w:ascii="仿宋_GB2312" w:hAnsi="Times New Roman" w:eastAsia="仿宋_GB2312" w:cs="仿宋_GB2312"/>
          <w:sz w:val="32"/>
          <w:szCs w:val="32"/>
          <w:highlight w:val="none"/>
          <w:lang w:val="en-US" w:eastAsia="zh-CN" w:bidi="ar"/>
        </w:rPr>
        <w:t>截至2023.12.31</w:t>
      </w:r>
      <w:r>
        <w:rPr>
          <w:rFonts w:hint="eastAsia" w:ascii="仿宋_GB2312" w:hAnsi="Times New Roman" w:eastAsia="仿宋_GB2312" w:cs="仿宋_GB2312"/>
          <w:sz w:val="32"/>
          <w:szCs w:val="32"/>
          <w:highlight w:val="none"/>
          <w:lang w:bidi="ar"/>
        </w:rPr>
        <w:t>支出</w:t>
      </w:r>
      <w:r>
        <w:rPr>
          <w:rFonts w:hint="eastAsia" w:ascii="仿宋_GB2312" w:hAnsi="Times New Roman" w:eastAsia="仿宋_GB2312" w:cs="仿宋_GB2312"/>
          <w:sz w:val="32"/>
          <w:szCs w:val="32"/>
          <w:highlight w:val="none"/>
          <w:lang w:val="en-US" w:eastAsia="zh-CN" w:bidi="ar"/>
        </w:rPr>
        <w:t>100</w:t>
      </w:r>
      <w:r>
        <w:rPr>
          <w:rFonts w:hint="eastAsia" w:ascii="仿宋_GB2312" w:hAnsi="Times New Roman" w:eastAsia="仿宋_GB2312" w:cs="仿宋_GB2312"/>
          <w:sz w:val="32"/>
          <w:szCs w:val="32"/>
          <w:highlight w:val="none"/>
          <w:lang w:bidi="ar"/>
        </w:rPr>
        <w:t>%</w:t>
      </w:r>
      <w:r>
        <w:rPr>
          <w:rFonts w:hint="eastAsia" w:ascii="仿宋_GB2312" w:hAnsi="Times New Roman" w:eastAsia="仿宋_GB2312" w:cs="仿宋_GB2312"/>
          <w:sz w:val="32"/>
          <w:szCs w:val="32"/>
          <w:highlight w:val="none"/>
          <w:lang w:eastAsia="zh-CN" w:bidi="ar"/>
        </w:rPr>
        <w:t>。</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（三）项目产出情况</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该项目资金到位及时，项目顺利实施，</w:t>
      </w:r>
      <w:r>
        <w:rPr>
          <w:rFonts w:hint="eastAsia" w:ascii="仿宋_GB2312" w:hAnsi="仿宋_GB2312" w:eastAsia="仿宋_GB2312" w:cs="仿宋_GB2312"/>
          <w:sz w:val="32"/>
          <w:szCs w:val="32"/>
          <w:highlight w:val="none"/>
          <w:lang w:val="en-US" w:eastAsia="zh-CN"/>
        </w:rPr>
        <w:t>2023年年底</w:t>
      </w:r>
      <w:r>
        <w:rPr>
          <w:rFonts w:hint="eastAsia" w:ascii="仿宋_GB2312" w:hAnsi="仿宋_GB2312" w:eastAsia="仿宋_GB2312" w:cs="仿宋_GB2312"/>
          <w:sz w:val="32"/>
          <w:szCs w:val="32"/>
          <w:highlight w:val="none"/>
        </w:rPr>
        <w:t>已完成项目总体</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lang w:eastAsia="zh-CN"/>
        </w:rPr>
        <w:t>0%</w:t>
      </w:r>
      <w:r>
        <w:rPr>
          <w:rFonts w:hint="eastAsia" w:ascii="仿宋_GB2312" w:hAnsi="仿宋_GB2312" w:eastAsia="仿宋_GB2312" w:cs="仿宋_GB2312"/>
          <w:sz w:val="32"/>
          <w:szCs w:val="32"/>
          <w:highlight w:val="none"/>
        </w:rPr>
        <w:t>的形象进度。项目完成程度较好，实现了预定预算目标。</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（四）项目效益情况</w:t>
      </w:r>
    </w:p>
    <w:p>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1、为响应海南省、海口市有关江东新区地下综合管廊建设的要求，坚持高标准高水平推进江东新区建设，充分发挥综合管廊集约化市政管线的效益，提升新区精细化管理水平，本工程的实施具有必要性。 </w:t>
      </w:r>
    </w:p>
    <w:p>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本次综合管廊建设工程以新区城市总规和地下综合管廊专项规划为基础，结合新区实际条件，综合各类市政专项规划，统筹协调各建设计划，研究综合管廊建设方案，以达到满足新区近期建设发展对于市政管线类服务的需求，避免后期反复建设，节省总投资及降低工程施工对社会生产生活的影响。</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五、主要经验及做法、存在的问题及原因分析</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六、有关建议</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七、其他需要说明的问题</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pPr>
                      <w:pStyle w:val="4"/>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iYzkyMzRiM2UzM2VhZTBkNzAzYmRlODMyNzQ0ZTMifQ=="/>
  </w:docVars>
  <w:rsids>
    <w:rsidRoot w:val="435E1F18"/>
    <w:rsid w:val="003B3E31"/>
    <w:rsid w:val="006D65BE"/>
    <w:rsid w:val="00BE4EB8"/>
    <w:rsid w:val="00D4065E"/>
    <w:rsid w:val="00D57EB4"/>
    <w:rsid w:val="019D220A"/>
    <w:rsid w:val="02233DF4"/>
    <w:rsid w:val="023A5912"/>
    <w:rsid w:val="02CB6390"/>
    <w:rsid w:val="040B460D"/>
    <w:rsid w:val="04621786"/>
    <w:rsid w:val="05787E8E"/>
    <w:rsid w:val="0626600A"/>
    <w:rsid w:val="06F95DEE"/>
    <w:rsid w:val="08093106"/>
    <w:rsid w:val="08AF5C9C"/>
    <w:rsid w:val="0A092149"/>
    <w:rsid w:val="0A787E3B"/>
    <w:rsid w:val="0AC273C6"/>
    <w:rsid w:val="0AC94BD1"/>
    <w:rsid w:val="0BD17C84"/>
    <w:rsid w:val="0BDE5F87"/>
    <w:rsid w:val="0DBB40F2"/>
    <w:rsid w:val="0DE47EA0"/>
    <w:rsid w:val="0E9A79D6"/>
    <w:rsid w:val="111C1707"/>
    <w:rsid w:val="11FB7553"/>
    <w:rsid w:val="126332E8"/>
    <w:rsid w:val="12AB34F1"/>
    <w:rsid w:val="135734FF"/>
    <w:rsid w:val="14B51D19"/>
    <w:rsid w:val="14FA1115"/>
    <w:rsid w:val="15441956"/>
    <w:rsid w:val="154455E1"/>
    <w:rsid w:val="15481788"/>
    <w:rsid w:val="1652225F"/>
    <w:rsid w:val="16630DA5"/>
    <w:rsid w:val="1682257B"/>
    <w:rsid w:val="1783214D"/>
    <w:rsid w:val="180C39B2"/>
    <w:rsid w:val="190A44B1"/>
    <w:rsid w:val="19263C3A"/>
    <w:rsid w:val="19316574"/>
    <w:rsid w:val="19795372"/>
    <w:rsid w:val="19AA72EE"/>
    <w:rsid w:val="1AC1553C"/>
    <w:rsid w:val="1B007691"/>
    <w:rsid w:val="1CB1400C"/>
    <w:rsid w:val="1DBB2B25"/>
    <w:rsid w:val="1E122B23"/>
    <w:rsid w:val="1E312225"/>
    <w:rsid w:val="1E5510E3"/>
    <w:rsid w:val="1F25228A"/>
    <w:rsid w:val="20281024"/>
    <w:rsid w:val="20B5758E"/>
    <w:rsid w:val="21C01A99"/>
    <w:rsid w:val="21C602B7"/>
    <w:rsid w:val="23335B9D"/>
    <w:rsid w:val="23EF1B0E"/>
    <w:rsid w:val="247A1B51"/>
    <w:rsid w:val="25900E53"/>
    <w:rsid w:val="27223590"/>
    <w:rsid w:val="27D60B28"/>
    <w:rsid w:val="27E81586"/>
    <w:rsid w:val="28B735AC"/>
    <w:rsid w:val="29B57C78"/>
    <w:rsid w:val="2AB57C33"/>
    <w:rsid w:val="2AE457DA"/>
    <w:rsid w:val="2B336677"/>
    <w:rsid w:val="2C192B4A"/>
    <w:rsid w:val="2C8221BC"/>
    <w:rsid w:val="2D7160E8"/>
    <w:rsid w:val="2D9F1EA3"/>
    <w:rsid w:val="2DA417DD"/>
    <w:rsid w:val="2E9826F7"/>
    <w:rsid w:val="30483FA0"/>
    <w:rsid w:val="30BB4EA6"/>
    <w:rsid w:val="31437427"/>
    <w:rsid w:val="326C58E4"/>
    <w:rsid w:val="340F7934"/>
    <w:rsid w:val="34A122FA"/>
    <w:rsid w:val="34C8661B"/>
    <w:rsid w:val="35F728BC"/>
    <w:rsid w:val="3714005C"/>
    <w:rsid w:val="37372992"/>
    <w:rsid w:val="37C51992"/>
    <w:rsid w:val="38042CB3"/>
    <w:rsid w:val="38B37090"/>
    <w:rsid w:val="390C1A27"/>
    <w:rsid w:val="3ABA6910"/>
    <w:rsid w:val="3B0A2EB0"/>
    <w:rsid w:val="3B500164"/>
    <w:rsid w:val="3B59178B"/>
    <w:rsid w:val="3B5F0FB4"/>
    <w:rsid w:val="3C444B0B"/>
    <w:rsid w:val="3E1D65C5"/>
    <w:rsid w:val="3E4B066F"/>
    <w:rsid w:val="3FBB4BCB"/>
    <w:rsid w:val="405D14CB"/>
    <w:rsid w:val="41253788"/>
    <w:rsid w:val="418D0587"/>
    <w:rsid w:val="41B37671"/>
    <w:rsid w:val="435E1F18"/>
    <w:rsid w:val="437C46E2"/>
    <w:rsid w:val="44273DE2"/>
    <w:rsid w:val="44960F11"/>
    <w:rsid w:val="449F4DAD"/>
    <w:rsid w:val="44A43601"/>
    <w:rsid w:val="44B278BB"/>
    <w:rsid w:val="44B939E4"/>
    <w:rsid w:val="461E0D18"/>
    <w:rsid w:val="464F2DD5"/>
    <w:rsid w:val="467C5C77"/>
    <w:rsid w:val="47C55320"/>
    <w:rsid w:val="49B72F9D"/>
    <w:rsid w:val="49C0331C"/>
    <w:rsid w:val="4A0175A8"/>
    <w:rsid w:val="4AA6125F"/>
    <w:rsid w:val="4B5A13DB"/>
    <w:rsid w:val="4B820499"/>
    <w:rsid w:val="4C0730C3"/>
    <w:rsid w:val="4C1448F5"/>
    <w:rsid w:val="4C625BDA"/>
    <w:rsid w:val="4D2F07A0"/>
    <w:rsid w:val="4D650FE4"/>
    <w:rsid w:val="4DF033CB"/>
    <w:rsid w:val="4DFF0279"/>
    <w:rsid w:val="4E414DDC"/>
    <w:rsid w:val="4E583744"/>
    <w:rsid w:val="4FB54242"/>
    <w:rsid w:val="51AE1360"/>
    <w:rsid w:val="52C426C7"/>
    <w:rsid w:val="540D3089"/>
    <w:rsid w:val="54D85B6D"/>
    <w:rsid w:val="54E47B8F"/>
    <w:rsid w:val="54FE4F3A"/>
    <w:rsid w:val="554B768E"/>
    <w:rsid w:val="556F1C9B"/>
    <w:rsid w:val="55A57892"/>
    <w:rsid w:val="578A390E"/>
    <w:rsid w:val="57D636C9"/>
    <w:rsid w:val="59D74C62"/>
    <w:rsid w:val="59E1651D"/>
    <w:rsid w:val="5A3B0856"/>
    <w:rsid w:val="5A4B6F13"/>
    <w:rsid w:val="5A6A79F7"/>
    <w:rsid w:val="5BF510A0"/>
    <w:rsid w:val="5C10060D"/>
    <w:rsid w:val="5E0C218E"/>
    <w:rsid w:val="5E6B48A5"/>
    <w:rsid w:val="5F367622"/>
    <w:rsid w:val="5F3F3404"/>
    <w:rsid w:val="5F8465A2"/>
    <w:rsid w:val="5F905550"/>
    <w:rsid w:val="61394EFD"/>
    <w:rsid w:val="617F6B7B"/>
    <w:rsid w:val="61AB5485"/>
    <w:rsid w:val="62806640"/>
    <w:rsid w:val="63636628"/>
    <w:rsid w:val="65411CA7"/>
    <w:rsid w:val="65694914"/>
    <w:rsid w:val="66154648"/>
    <w:rsid w:val="67B21E4C"/>
    <w:rsid w:val="68024B96"/>
    <w:rsid w:val="68351AE6"/>
    <w:rsid w:val="68903265"/>
    <w:rsid w:val="69C9180A"/>
    <w:rsid w:val="6A893A8D"/>
    <w:rsid w:val="6B657B2B"/>
    <w:rsid w:val="6C02565A"/>
    <w:rsid w:val="6C8B5B44"/>
    <w:rsid w:val="6E6E68A0"/>
    <w:rsid w:val="6EB377AA"/>
    <w:rsid w:val="6FB6700B"/>
    <w:rsid w:val="701D3C49"/>
    <w:rsid w:val="710022AC"/>
    <w:rsid w:val="725E09BE"/>
    <w:rsid w:val="727437E0"/>
    <w:rsid w:val="74C3652D"/>
    <w:rsid w:val="757C5E3D"/>
    <w:rsid w:val="757F5777"/>
    <w:rsid w:val="764C182F"/>
    <w:rsid w:val="7654409C"/>
    <w:rsid w:val="7704672F"/>
    <w:rsid w:val="77175582"/>
    <w:rsid w:val="791F742A"/>
    <w:rsid w:val="7B2F66D1"/>
    <w:rsid w:val="7B76655D"/>
    <w:rsid w:val="7BBF5BC9"/>
    <w:rsid w:val="7CE205E6"/>
    <w:rsid w:val="7D1D1C9F"/>
    <w:rsid w:val="7EDF397E"/>
    <w:rsid w:val="7FAF3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964"/>
    </w:pPr>
  </w:style>
  <w:style w:type="paragraph" w:styleId="3">
    <w:name w:val="annotation text"/>
    <w:basedOn w:val="1"/>
    <w:qFormat/>
    <w:uiPriority w:val="0"/>
    <w:pPr>
      <w:jc w:val="left"/>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Title"/>
    <w:basedOn w:val="1"/>
    <w:next w:val="1"/>
    <w:autoRedefine/>
    <w:qFormat/>
    <w:uiPriority w:val="0"/>
    <w:pPr>
      <w:spacing w:before="240" w:after="60"/>
      <w:jc w:val="center"/>
    </w:pPr>
    <w:rPr>
      <w:rFonts w:asciiTheme="majorHAnsi" w:hAnsiTheme="majorHAnsi" w:eastAsiaTheme="majorEastAsia" w:cstheme="majorBidi"/>
      <w:b/>
      <w:bCs/>
      <w:szCs w:val="32"/>
    </w:rPr>
  </w:style>
  <w:style w:type="character" w:styleId="9">
    <w:name w:val="annotation reference"/>
    <w:basedOn w:val="8"/>
    <w:autoRedefine/>
    <w:qFormat/>
    <w:uiPriority w:val="0"/>
    <w:rPr>
      <w:sz w:val="21"/>
      <w:szCs w:val="21"/>
    </w:rPr>
  </w:style>
  <w:style w:type="character" w:customStyle="1" w:styleId="10">
    <w:name w:val="页眉 字符"/>
    <w:basedOn w:val="8"/>
    <w:link w:val="5"/>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2270</Words>
  <Characters>2438</Characters>
  <Lines>1</Lines>
  <Paragraphs>1</Paragraphs>
  <TotalTime>0</TotalTime>
  <ScaleCrop>false</ScaleCrop>
  <LinksUpToDate>false</LinksUpToDate>
  <CharactersWithSpaces>2439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2021-09-30T09:36:00Z</dcterms:created>
  <dc:creator>恋</dc:creator>
  <cp:lastModifiedBy>清风拂柳</cp:lastModifiedBy>
  <dcterms:modified xsi:type="dcterms:W3CDTF">2024-05-08T15:14:09Z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DA840B2C23034322B6053D33DAD7F0F2</vt:lpwstr>
  </property>
</Properties>
</file>