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bidi w:val="0"/>
        <w:adjustRightInd/>
        <w:snapToGrid/>
        <w:spacing w:line="560" w:lineRule="exact"/>
        <w:jc w:val="center"/>
        <w:rPr>
          <w:rFonts w:ascii="宋体" w:hAnsi="宋体" w:eastAsia="宋体" w:cs="宋体"/>
          <w:b/>
          <w:bCs/>
          <w:sz w:val="44"/>
          <w:szCs w:val="44"/>
          <w:highlight w:val="none"/>
        </w:rPr>
      </w:pPr>
      <w:bookmarkStart w:id="0" w:name="_GoBack"/>
      <w:bookmarkEnd w:id="0"/>
      <w:r>
        <w:rPr>
          <w:rFonts w:hint="eastAsia" w:ascii="宋体" w:hAnsi="宋体" w:eastAsia="宋体" w:cs="宋体"/>
          <w:b/>
          <w:bCs/>
          <w:sz w:val="44"/>
          <w:szCs w:val="44"/>
          <w:highlight w:val="none"/>
        </w:rPr>
        <w:t>海口江东新区管理局</w:t>
      </w:r>
    </w:p>
    <w:p>
      <w:pPr>
        <w:pStyle w:val="6"/>
        <w:keepNext w:val="0"/>
        <w:keepLines w:val="0"/>
        <w:pageBreakBefore w:val="0"/>
        <w:kinsoku/>
        <w:wordWrap/>
        <w:overflowPunct/>
        <w:topLinePunct w:val="0"/>
        <w:autoSpaceDE/>
        <w:bidi w:val="0"/>
        <w:adjustRightInd/>
        <w:snapToGrid/>
        <w:spacing w:line="560" w:lineRule="exact"/>
        <w:rPr>
          <w:rFonts w:ascii="方正小标宋简体" w:eastAsia="方正小标宋简体"/>
          <w:sz w:val="40"/>
          <w:szCs w:val="40"/>
          <w:highlight w:val="none"/>
        </w:rPr>
      </w:pPr>
      <w:r>
        <w:rPr>
          <w:rFonts w:hint="eastAsia" w:ascii="宋体" w:hAnsi="宋体" w:eastAsia="宋体" w:cs="宋体"/>
          <w:sz w:val="44"/>
          <w:szCs w:val="44"/>
          <w:highlight w:val="none"/>
          <w:lang w:eastAsia="zh-CN"/>
        </w:rPr>
        <w:t>2023</w:t>
      </w:r>
      <w:r>
        <w:rPr>
          <w:rFonts w:hint="eastAsia" w:ascii="宋体" w:hAnsi="宋体" w:eastAsia="宋体" w:cs="宋体"/>
          <w:sz w:val="44"/>
          <w:szCs w:val="44"/>
          <w:highlight w:val="none"/>
        </w:rPr>
        <w:t>年</w:t>
      </w:r>
      <w:r>
        <w:rPr>
          <w:rFonts w:hint="eastAsia" w:ascii="宋体" w:hAnsi="宋体" w:eastAsia="宋体" w:cs="宋体"/>
          <w:sz w:val="44"/>
          <w:szCs w:val="44"/>
          <w:highlight w:val="none"/>
          <w:lang w:val="en-US" w:eastAsia="zh-CN"/>
        </w:rPr>
        <w:t>椰青园安置社区配套学校</w:t>
      </w:r>
      <w:r>
        <w:rPr>
          <w:rFonts w:hint="eastAsia" w:ascii="宋体" w:hAnsi="宋体" w:eastAsia="宋体" w:cs="宋体"/>
          <w:sz w:val="44"/>
          <w:szCs w:val="44"/>
          <w:highlight w:val="none"/>
        </w:rPr>
        <w:t>项目</w:t>
      </w:r>
    </w:p>
    <w:p>
      <w:pPr>
        <w:keepNext w:val="0"/>
        <w:keepLines w:val="0"/>
        <w:pageBreakBefore w:val="0"/>
        <w:kinsoku/>
        <w:wordWrap/>
        <w:overflowPunct/>
        <w:topLinePunct w:val="0"/>
        <w:autoSpaceDE/>
        <w:bidi w:val="0"/>
        <w:adjustRightInd/>
        <w:snapToGrid/>
        <w:spacing w:line="560" w:lineRule="exact"/>
        <w:jc w:val="center"/>
        <w:rPr>
          <w:b/>
          <w:bCs/>
          <w:sz w:val="44"/>
          <w:szCs w:val="44"/>
          <w:highlight w:val="none"/>
        </w:rPr>
      </w:pPr>
      <w:r>
        <w:rPr>
          <w:rFonts w:hint="eastAsia" w:ascii="宋体" w:hAnsi="宋体" w:eastAsia="宋体" w:cs="宋体"/>
          <w:b/>
          <w:bCs/>
          <w:sz w:val="44"/>
          <w:szCs w:val="44"/>
          <w:highlight w:val="none"/>
        </w:rPr>
        <w:t>支出绩效评价报告</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一、基本情况</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（一）项目概况</w:t>
      </w:r>
    </w:p>
    <w:p>
      <w:pPr>
        <w:keepNext w:val="0"/>
        <w:keepLines w:val="0"/>
        <w:pageBreakBefore w:val="0"/>
        <w:widowControl/>
        <w:kinsoku/>
        <w:wordWrap/>
        <w:overflowPunct/>
        <w:topLinePunct w:val="0"/>
        <w:autoSpaceDE/>
        <w:bidi w:val="0"/>
        <w:adjustRightInd/>
        <w:snapToGrid/>
        <w:spacing w:line="560" w:lineRule="exact"/>
        <w:ind w:firstLine="640" w:firstLineChars="200"/>
        <w:jc w:val="both"/>
        <w:rPr>
          <w:rFonts w:hint="eastAsia" w:ascii="仿宋_GB2312" w:hAnsi="Times New Roman" w:eastAsia="仿宋_GB2312" w:cs="仿宋_GB2312"/>
          <w:sz w:val="32"/>
          <w:szCs w:val="32"/>
          <w:highlight w:val="none"/>
          <w:lang w:bidi="ar"/>
        </w:rPr>
      </w:pPr>
      <w:r>
        <w:rPr>
          <w:rFonts w:hint="eastAsia" w:ascii="仿宋_GB2312" w:hAnsi="Times New Roman" w:eastAsia="仿宋_GB2312" w:cs="仿宋_GB2312"/>
          <w:sz w:val="32"/>
          <w:szCs w:val="32"/>
          <w:highlight w:val="none"/>
          <w:lang w:val="en-US" w:eastAsia="zh-CN" w:bidi="ar"/>
        </w:rPr>
        <w:t>椰青园安置社区配套学校</w:t>
      </w:r>
      <w:r>
        <w:rPr>
          <w:rFonts w:hint="eastAsia" w:ascii="仿宋_GB2312" w:hAnsi="Times New Roman" w:eastAsia="仿宋_GB2312" w:cs="仿宋_GB2312"/>
          <w:sz w:val="32"/>
          <w:szCs w:val="32"/>
          <w:highlight w:val="none"/>
          <w:lang w:bidi="ar"/>
        </w:rPr>
        <w:t>项目业主为海口市恒慧基础建设有限公司（变更前名称：海口江东新区基础建设有限公司），项目位于海口市江东新区国际文化交往组团JDWH-03-A05地块，紧邻椰青园安置社区，西侧邻靠琼山大道，其他三侧邻靠规划市政路。项目用地面积55987.39㎡，总建筑面积66239.36㎡，其中地上建筑面积59163.38㎡，地下建筑面积7075.98㎡。建设内容包括中小学教学楼、综合楼、宿舍楼、体育中心、幼儿园，配套建设给排水、消防、电气、通风及空调等公用工程和室外水电、体育运动场、道路及广场、绿化、围墙等附属工程。项目总投资84016.74 万元，其中工程费用 30487.12 万元，工程建设其它费用 51515.69 万元（其中土地房屋征收补偿费 49375.80 万元，该费用以市政府批复为准，资金使用以市财政局意见为准），预备费 1631.35 万元，建设单位管理费 382.58 万元。该项目</w:t>
      </w:r>
      <w:r>
        <w:rPr>
          <w:rFonts w:hint="eastAsia" w:ascii="仿宋_GB2312" w:hAnsi="Times New Roman" w:eastAsia="仿宋_GB2312" w:cs="仿宋_GB2312"/>
          <w:sz w:val="32"/>
          <w:szCs w:val="32"/>
          <w:highlight w:val="none"/>
          <w:lang w:val="en-US" w:eastAsia="zh-CN" w:bidi="ar"/>
        </w:rPr>
        <w:t>2023年</w:t>
      </w:r>
      <w:r>
        <w:rPr>
          <w:rFonts w:hint="eastAsia" w:ascii="仿宋_GB2312" w:hAnsi="Times New Roman" w:eastAsia="仿宋_GB2312" w:cs="仿宋_GB2312"/>
          <w:sz w:val="32"/>
          <w:szCs w:val="32"/>
          <w:highlight w:val="none"/>
          <w:lang w:bidi="ar"/>
        </w:rPr>
        <w:t>共计获得资金3000万元，其中2023年地债资金3000万元</w:t>
      </w:r>
      <w:r>
        <w:rPr>
          <w:rFonts w:hint="eastAsia" w:ascii="仿宋_GB2312" w:hAnsi="Times New Roman" w:eastAsia="仿宋_GB2312" w:cs="仿宋_GB2312"/>
          <w:sz w:val="32"/>
          <w:szCs w:val="32"/>
          <w:highlight w:val="none"/>
          <w:lang w:eastAsia="zh-CN" w:bidi="ar"/>
        </w:rPr>
        <w:t>。</w:t>
      </w:r>
      <w:r>
        <w:rPr>
          <w:rFonts w:hint="eastAsia" w:ascii="仿宋_GB2312" w:hAnsi="Times New Roman" w:eastAsia="仿宋_GB2312" w:cs="仿宋_GB2312"/>
          <w:sz w:val="32"/>
          <w:szCs w:val="32"/>
          <w:highlight w:val="none"/>
          <w:lang w:val="en-US" w:eastAsia="zh-CN" w:bidi="ar"/>
        </w:rPr>
        <w:t>截至目前，均已支出完毕</w:t>
      </w:r>
      <w:r>
        <w:rPr>
          <w:rFonts w:hint="eastAsia" w:ascii="仿宋_GB2312" w:hAnsi="Times New Roman" w:eastAsia="仿宋_GB2312" w:cs="仿宋_GB2312"/>
          <w:sz w:val="32"/>
          <w:szCs w:val="32"/>
          <w:highlight w:val="none"/>
          <w:lang w:bidi="ar"/>
        </w:rPr>
        <w:t>。</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（二）项目绩效目标</w:t>
      </w:r>
    </w:p>
    <w:p>
      <w:pPr>
        <w:ind w:firstLine="640" w:firstLineChars="20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该项目总体目标:按计划推进本项目建设，完成80%主体结构施工、50%二次结构施工。年度绩效目标如下：</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18"/>
        <w:gridCol w:w="4483"/>
        <w:gridCol w:w="20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restar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指标类型</w:t>
            </w:r>
          </w:p>
        </w:tc>
        <w:tc>
          <w:tcPr>
            <w:tcW w:w="2630" w:type="pct"/>
            <w:vMerge w:val="restar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指标名称</w:t>
            </w:r>
          </w:p>
        </w:tc>
        <w:tc>
          <w:tcPr>
            <w:tcW w:w="1184" w:type="pct"/>
            <w:vMerge w:val="restar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r>
              <w:rPr>
                <w:rFonts w:hint="eastAsia" w:ascii="宋体" w:hAnsi="宋体" w:eastAsia="宋体"/>
                <w:b/>
                <w:sz w:val="24"/>
                <w:highlight w:val="none"/>
              </w:rPr>
              <w:t>绩效目标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Merge w:val="continue"/>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2630" w:type="pct"/>
            <w:vMerge w:val="continue"/>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c>
          <w:tcPr>
            <w:tcW w:w="1184" w:type="pct"/>
            <w:vMerge w:val="continue"/>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b/>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产出指标</w:t>
            </w:r>
          </w:p>
        </w:tc>
        <w:tc>
          <w:tcPr>
            <w:tcW w:w="2630"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项目设计变更率</w:t>
            </w:r>
          </w:p>
        </w:tc>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default" w:ascii="宋体" w:hAnsi="宋体" w:eastAsiaTheme="minorEastAsia"/>
                <w:sz w:val="24"/>
                <w:highlight w:val="none"/>
                <w:lang w:val="en-US" w:eastAsia="zh-CN"/>
              </w:rPr>
            </w:pPr>
            <w:r>
              <w:rPr>
                <w:rFonts w:hint="default" w:ascii="宋体" w:hAnsi="宋体" w:eastAsiaTheme="minorEastAsia"/>
                <w:sz w:val="24"/>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效益指标</w:t>
            </w:r>
          </w:p>
        </w:tc>
        <w:tc>
          <w:tcPr>
            <w:tcW w:w="2630"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宋体"/>
                <w:sz w:val="24"/>
                <w:highlight w:val="none"/>
              </w:rPr>
            </w:pPr>
            <w:r>
              <w:rPr>
                <w:rFonts w:hint="eastAsia" w:ascii="宋体" w:hAnsi="宋体" w:eastAsia="宋体"/>
                <w:sz w:val="24"/>
                <w:highlight w:val="none"/>
              </w:rPr>
              <w:t>项目受益人数</w:t>
            </w:r>
          </w:p>
        </w:tc>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hint="eastAsia" w:ascii="宋体" w:hAnsi="宋体" w:eastAsiaTheme="minorEastAsia"/>
                <w:sz w:val="24"/>
                <w:highlight w:val="none"/>
                <w:lang w:val="en-US" w:eastAsia="zh-CN"/>
              </w:rPr>
            </w:pPr>
            <w:r>
              <w:rPr>
                <w:rFonts w:hint="eastAsia" w:ascii="宋体" w:hAnsi="宋体"/>
                <w:sz w:val="24"/>
                <w:highlight w:val="none"/>
              </w:rPr>
              <w:t>≥</w:t>
            </w:r>
            <w:r>
              <w:rPr>
                <w:rFonts w:hint="eastAsia" w:ascii="宋体" w:hAnsi="宋体"/>
                <w:sz w:val="24"/>
                <w:highlight w:val="none"/>
                <w:lang w:val="en-US" w:eastAsia="zh-CN"/>
              </w:rPr>
              <w:t>15000</w:t>
            </w:r>
            <w:r>
              <w:rPr>
                <w:rFonts w:hint="eastAsia" w:ascii="宋体" w:hAnsi="宋体"/>
                <w:sz w:val="24"/>
                <w:highlight w:val="none"/>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效益指标</w:t>
            </w:r>
          </w:p>
        </w:tc>
        <w:tc>
          <w:tcPr>
            <w:tcW w:w="2630"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安全事故发生数</w:t>
            </w:r>
          </w:p>
        </w:tc>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=0起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184" w:type="pct"/>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成本指标</w:t>
            </w:r>
          </w:p>
        </w:tc>
        <w:tc>
          <w:tcPr>
            <w:tcW w:w="2630"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highlight w:val="none"/>
              </w:rPr>
            </w:pPr>
            <w:r>
              <w:rPr>
                <w:rFonts w:hint="eastAsia" w:ascii="宋体" w:hAnsi="宋体" w:eastAsia="宋体"/>
                <w:sz w:val="24"/>
                <w:highlight w:val="none"/>
              </w:rPr>
              <w:t>超概算比例</w:t>
            </w:r>
          </w:p>
        </w:tc>
        <w:tc>
          <w:tcPr>
            <w:tcW w:w="1184" w:type="pct"/>
            <w:vAlign w:val="center"/>
          </w:tcPr>
          <w:p>
            <w:pPr>
              <w:keepNext w:val="0"/>
              <w:keepLines w:val="0"/>
              <w:pageBreakBefore w:val="0"/>
              <w:tabs>
                <w:tab w:val="left" w:pos="720"/>
                <w:tab w:val="left" w:pos="3600"/>
              </w:tabs>
              <w:kinsoku/>
              <w:wordWrap/>
              <w:overflowPunct/>
              <w:topLinePunct w:val="0"/>
              <w:autoSpaceDE/>
              <w:bidi w:val="0"/>
              <w:adjustRightInd/>
              <w:snapToGrid/>
              <w:spacing w:line="560" w:lineRule="exact"/>
              <w:jc w:val="center"/>
              <w:rPr>
                <w:rFonts w:ascii="宋体" w:hAnsi="宋体" w:eastAsia="宋体"/>
                <w:sz w:val="24"/>
                <w:szCs w:val="22"/>
                <w:highlight w:val="none"/>
              </w:rPr>
            </w:pPr>
            <w:r>
              <w:rPr>
                <w:rFonts w:hint="eastAsia" w:ascii="宋体" w:hAnsi="宋体"/>
                <w:sz w:val="24"/>
                <w:highlight w:val="none"/>
              </w:rPr>
              <w:t>≤5%</w:t>
            </w:r>
          </w:p>
        </w:tc>
      </w:tr>
    </w:tbl>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二、绩效评价工作开展情况</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（一）绩效评价目的、对象、范围</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对</w:t>
      </w:r>
      <w:r>
        <w:rPr>
          <w:rFonts w:hint="eastAsia" w:ascii="仿宋_GB2312" w:hAnsi="Times New Roman" w:eastAsia="仿宋_GB2312" w:cs="仿宋_GB2312"/>
          <w:sz w:val="32"/>
          <w:szCs w:val="32"/>
          <w:highlight w:val="none"/>
          <w:lang w:val="en-US" w:eastAsia="zh-CN" w:bidi="ar"/>
        </w:rPr>
        <w:t>椰青园安置社区配套学校</w:t>
      </w:r>
      <w:r>
        <w:rPr>
          <w:rFonts w:hint="eastAsia" w:ascii="仿宋_GB2312" w:hAnsi="Times New Roman" w:eastAsia="仿宋_GB2312" w:cs="仿宋_GB2312"/>
          <w:sz w:val="32"/>
          <w:szCs w:val="32"/>
          <w:highlight w:val="none"/>
          <w:lang w:bidi="ar"/>
        </w:rPr>
        <w:t>项目项目</w:t>
      </w:r>
      <w:r>
        <w:rPr>
          <w:rFonts w:hint="eastAsia" w:ascii="仿宋_GB2312" w:hAnsi="仿宋_GB2312" w:eastAsia="仿宋_GB2312" w:cs="仿宋_GB2312"/>
          <w:sz w:val="32"/>
          <w:szCs w:val="32"/>
          <w:highlight w:val="none"/>
        </w:rPr>
        <w:t>开展部门评价，促进部门提升预算绩效管理工作水平，强化部门支出责任，规范资金管理行为，提高财政资金使用效益。</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（二）绩效评价原则、评价指标体系、评价方法、评价标准</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1.绩效评价原则</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本次部门评价坚持运用科学合理的方法，按照规范的程序，对项目绩效进行客观、公正的反映。</w:t>
      </w:r>
    </w:p>
    <w:p>
      <w:pPr>
        <w:keepNext w:val="0"/>
        <w:keepLines w:val="0"/>
        <w:pageBreakBefore w:val="0"/>
        <w:numPr>
          <w:ilvl w:val="0"/>
          <w:numId w:val="1"/>
        </w:numPr>
        <w:kinsoku/>
        <w:wordWrap/>
        <w:overflowPunct/>
        <w:topLinePunct w:val="0"/>
        <w:autoSpaceDE/>
        <w:bidi w:val="0"/>
        <w:adjustRightInd/>
        <w:snapToGrid/>
        <w:spacing w:line="560" w:lineRule="exact"/>
        <w:ind w:firstLine="640" w:firstLineChars="200"/>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评价指标体系</w:t>
      </w:r>
    </w:p>
    <w:p>
      <w:pPr>
        <w:keepNext w:val="0"/>
        <w:keepLines w:val="0"/>
        <w:widowControl w:val="0"/>
        <w:suppressLineNumbers w:val="0"/>
        <w:autoSpaceDE/>
        <w:autoSpaceDN w:val="0"/>
        <w:spacing w:before="0" w:beforeAutospacing="0" w:after="0" w:afterAutospacing="0" w:line="560" w:lineRule="exact"/>
        <w:ind w:left="0" w:right="0" w:firstLine="640" w:firstLineChars="200"/>
        <w:jc w:val="both"/>
        <w:rPr>
          <w:rFonts w:hint="eastAsia" w:ascii="仿宋_GB2312" w:eastAsia="仿宋_GB2312" w:cs="仿宋_GB2312"/>
          <w:b/>
          <w:bCs/>
          <w:kern w:val="2"/>
          <w:sz w:val="32"/>
          <w:szCs w:val="32"/>
        </w:rPr>
      </w:pPr>
      <w:r>
        <w:rPr>
          <w:rFonts w:hint="eastAsia" w:ascii="仿宋_GB2312" w:hAnsi="Calibri" w:eastAsia="仿宋_GB2312" w:cs="仿宋_GB2312"/>
          <w:kern w:val="2"/>
          <w:sz w:val="32"/>
          <w:szCs w:val="32"/>
          <w:lang w:val="en-US" w:eastAsia="zh-CN" w:bidi="ar"/>
        </w:rPr>
        <w:t>从项目决策、过程、产出等指标开展部门评价。</w:t>
      </w:r>
    </w:p>
    <w:tbl>
      <w:tblPr>
        <w:tblStyle w:val="7"/>
        <w:tblW w:w="42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2"/>
        <w:gridCol w:w="2577"/>
        <w:gridCol w:w="13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1012"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270"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766"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950"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270"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270"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270"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950" w:type="pc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950"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restart"/>
            <w:vAlign w:val="center"/>
          </w:tcPr>
          <w:p>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spacing w:line="300" w:lineRule="exact"/>
              <w:jc w:val="center"/>
              <w:rPr>
                <w:rFonts w:hint="eastAsia" w:ascii="宋体" w:hAnsi="宋体" w:eastAsia="宋体"/>
                <w:color w:val="auto"/>
                <w:sz w:val="21"/>
                <w:szCs w:val="21"/>
              </w:rPr>
            </w:pPr>
          </w:p>
        </w:tc>
        <w:tc>
          <w:tcPr>
            <w:tcW w:w="1270" w:type="pct"/>
            <w:vMerge w:val="continue"/>
            <w:vAlign w:val="center"/>
          </w:tcPr>
          <w:p>
            <w:pPr>
              <w:spacing w:line="300" w:lineRule="exact"/>
              <w:jc w:val="center"/>
              <w:rPr>
                <w:rFonts w:hint="eastAsia" w:ascii="宋体" w:hAnsi="宋体" w:eastAsia="宋体"/>
                <w:color w:val="auto"/>
                <w:sz w:val="21"/>
                <w:szCs w:val="21"/>
              </w:rPr>
            </w:pPr>
          </w:p>
        </w:tc>
        <w:tc>
          <w:tcPr>
            <w:tcW w:w="1766"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95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restar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270"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766"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试桩工程量</w:t>
            </w:r>
          </w:p>
        </w:tc>
        <w:tc>
          <w:tcPr>
            <w:tcW w:w="95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270" w:type="pct"/>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1766"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征拆工程量</w:t>
            </w:r>
          </w:p>
        </w:tc>
        <w:tc>
          <w:tcPr>
            <w:tcW w:w="95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Merge w:val="continue"/>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270" w:type="pc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766"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95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12" w:type="pct"/>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270"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766"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950"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4049" w:type="pct"/>
            <w:gridSpan w:val="3"/>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950" w:type="pct"/>
            <w:vAlign w:val="center"/>
          </w:tcPr>
          <w:p>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r>
    </w:tbl>
    <w:p>
      <w:pPr>
        <w:pStyle w:val="2"/>
        <w:numPr>
          <w:ilvl w:val="0"/>
          <w:numId w:val="0"/>
        </w:numPr>
        <w:rPr>
          <w:b w:val="0"/>
          <w:bCs w:val="0"/>
        </w:rPr>
      </w:pP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3.评价方法</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本次部门评价采用比较法，将项目实施情况与绩效目标情况进行比较。</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4.评价标准</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b w:val="0"/>
          <w:bCs w:val="0"/>
          <w:sz w:val="32"/>
          <w:szCs w:val="32"/>
          <w:highlight w:val="none"/>
        </w:rPr>
        <w:t>本次部门评价以年初的目标、计划、预算、定额等作</w:t>
      </w:r>
      <w:r>
        <w:rPr>
          <w:rFonts w:hint="eastAsia" w:ascii="仿宋_GB2312" w:hAnsi="仿宋_GB2312" w:eastAsia="仿宋_GB2312" w:cs="仿宋_GB2312"/>
          <w:sz w:val="32"/>
          <w:szCs w:val="32"/>
          <w:highlight w:val="none"/>
        </w:rPr>
        <w:t>为评价标准</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楷体_GB2312" w:hAnsi="楷体_GB2312" w:eastAsia="楷体_GB2312" w:cs="楷体_GB2312"/>
          <w:sz w:val="32"/>
          <w:szCs w:val="32"/>
          <w:highlight w:val="none"/>
        </w:rPr>
        <w:t>（三）绩效评价工作过程</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评价小组对评价资料进行认真梳理，测算分析各项指标，汇总评分并形成评价报告。</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1.对《项目支出绩效评价管理办法》（财预〔2020〕10号）进行研读，对部门评价有基本的把握和了解，归纳出进一步评价所需的信息。</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2.集中对各个评价指标逐一进行分析。</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3.评价小组汇总分析评价过程中发现的问题并对存在问题进行讨论，分别计算各评价指标所得分数，形成评价结果。</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4.根据评价结果，撰写评价报告。</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三、综合评价情况及评价结论</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项目绩效评价工作小组从项目决策、过程管理、产出等方面分别对该项目进行评价，项目目标设定、决策过程、资金管理、组织实施、项目效果等方面落实情况较好，评价得分99分，评价等次为优，达到了预期设定的项目绩效目标。</w:t>
      </w:r>
    </w:p>
    <w:tbl>
      <w:tblPr>
        <w:tblStyle w:val="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6"/>
        <w:gridCol w:w="1854"/>
        <w:gridCol w:w="2575"/>
        <w:gridCol w:w="1386"/>
        <w:gridCol w:w="1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exact"/>
          <w:jc w:val="center"/>
        </w:trPr>
        <w:tc>
          <w:tcPr>
            <w:tcW w:w="866"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一级指标</w:t>
            </w:r>
          </w:p>
        </w:tc>
        <w:tc>
          <w:tcPr>
            <w:tcW w:w="1088"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二级指标</w:t>
            </w:r>
          </w:p>
        </w:tc>
        <w:tc>
          <w:tcPr>
            <w:tcW w:w="1511"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三级指标</w:t>
            </w:r>
          </w:p>
        </w:tc>
        <w:tc>
          <w:tcPr>
            <w:tcW w:w="813" w:type="pct"/>
            <w:vAlign w:val="center"/>
          </w:tcPr>
          <w:p>
            <w:pPr>
              <w:autoSpaceDN w:val="0"/>
              <w:spacing w:line="300" w:lineRule="exact"/>
              <w:jc w:val="center"/>
              <w:textAlignment w:val="center"/>
              <w:rPr>
                <w:rFonts w:hint="eastAsia" w:ascii="宋体" w:hAnsi="宋体" w:eastAsia="宋体"/>
                <w:b/>
                <w:bCs w:val="0"/>
                <w:color w:val="auto"/>
                <w:sz w:val="21"/>
                <w:szCs w:val="21"/>
              </w:rPr>
            </w:pPr>
            <w:r>
              <w:rPr>
                <w:rFonts w:hint="eastAsia" w:ascii="宋体" w:hAnsi="宋体" w:eastAsia="宋体"/>
                <w:b/>
                <w:bCs w:val="0"/>
                <w:color w:val="auto"/>
                <w:sz w:val="21"/>
                <w:szCs w:val="21"/>
              </w:rPr>
              <w:t>分值</w:t>
            </w:r>
          </w:p>
        </w:tc>
        <w:tc>
          <w:tcPr>
            <w:tcW w:w="720" w:type="pct"/>
            <w:vAlign w:val="center"/>
          </w:tcPr>
          <w:p>
            <w:pPr>
              <w:autoSpaceDN w:val="0"/>
              <w:spacing w:line="300" w:lineRule="exact"/>
              <w:jc w:val="center"/>
              <w:textAlignment w:val="center"/>
              <w:rPr>
                <w:rFonts w:hint="eastAsia" w:ascii="宋体" w:hAnsi="宋体" w:eastAsia="宋体"/>
                <w:b/>
                <w:bCs w:val="0"/>
                <w:color w:val="auto"/>
                <w:sz w:val="21"/>
                <w:szCs w:val="21"/>
                <w:lang w:val="en-US" w:eastAsia="zh-CN"/>
              </w:rPr>
            </w:pPr>
            <w:r>
              <w:rPr>
                <w:rFonts w:hint="eastAsia" w:ascii="宋体" w:hAnsi="宋体" w:eastAsia="宋体"/>
                <w:b/>
                <w:bCs w:val="0"/>
                <w:color w:val="auto"/>
                <w:sz w:val="21"/>
                <w:szCs w:val="21"/>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rPr>
              <w:t>决策</w:t>
            </w:r>
          </w:p>
        </w:tc>
        <w:tc>
          <w:tcPr>
            <w:tcW w:w="1088"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项目立项</w:t>
            </w: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立项依据充分性</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pPr>
              <w:autoSpaceDN w:val="0"/>
              <w:spacing w:line="300" w:lineRule="exact"/>
              <w:jc w:val="left"/>
              <w:textAlignment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立项程序规范性</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绩效目标</w:t>
            </w: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绩效目标合理性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绩效目标明确性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2</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autoSpaceDN w:val="0"/>
              <w:spacing w:line="300" w:lineRule="exact"/>
              <w:jc w:val="center"/>
              <w:textAlignment w:val="center"/>
              <w:rPr>
                <w:rFonts w:hint="eastAsia" w:ascii="宋体" w:hAnsi="宋体" w:eastAsia="宋体"/>
                <w:color w:val="auto"/>
                <w:sz w:val="21"/>
                <w:szCs w:val="21"/>
                <w:lang w:val="en-US" w:eastAsia="zh-CN"/>
              </w:rPr>
            </w:pPr>
          </w:p>
        </w:tc>
        <w:tc>
          <w:tcPr>
            <w:tcW w:w="1088"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资金投入</w:t>
            </w: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预算编制科学性</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资金分配合理性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3</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过程</w:t>
            </w:r>
          </w:p>
        </w:tc>
        <w:tc>
          <w:tcPr>
            <w:tcW w:w="1088" w:type="pct"/>
            <w:vMerge w:val="restar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资金管理</w:t>
            </w: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预算执行率</w:t>
            </w:r>
          </w:p>
        </w:tc>
        <w:tc>
          <w:tcPr>
            <w:tcW w:w="813" w:type="pc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c>
          <w:tcPr>
            <w:tcW w:w="720" w:type="pct"/>
            <w:vAlign w:val="center"/>
          </w:tcPr>
          <w:p>
            <w:pPr>
              <w:autoSpaceDN w:val="0"/>
              <w:spacing w:line="300" w:lineRule="exact"/>
              <w:jc w:val="center"/>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资金到位率</w:t>
            </w:r>
          </w:p>
        </w:tc>
        <w:tc>
          <w:tcPr>
            <w:tcW w:w="813" w:type="pct"/>
            <w:vAlign w:val="center"/>
          </w:tcPr>
          <w:p>
            <w:pPr>
              <w:autoSpaceDN w:val="0"/>
              <w:spacing w:line="300" w:lineRule="exact"/>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c>
          <w:tcPr>
            <w:tcW w:w="720"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theme="minorBidi"/>
                <w:color w:val="auto"/>
                <w:kern w:val="2"/>
                <w:sz w:val="21"/>
                <w:szCs w:val="21"/>
                <w:lang w:val="en-US" w:eastAsia="zh-CN" w:bidi="ar-SA"/>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资金使用合规性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5</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restart"/>
            <w:vAlign w:val="center"/>
          </w:tcPr>
          <w:p>
            <w:pPr>
              <w:spacing w:line="300" w:lineRule="exact"/>
              <w:jc w:val="center"/>
              <w:rPr>
                <w:rFonts w:hint="eastAsia" w:ascii="宋体" w:hAnsi="宋体" w:eastAsia="宋体"/>
                <w:color w:val="auto"/>
                <w:sz w:val="21"/>
                <w:szCs w:val="21"/>
              </w:rPr>
            </w:pPr>
            <w:r>
              <w:rPr>
                <w:rFonts w:hint="eastAsia" w:ascii="宋体" w:hAnsi="宋体" w:eastAsia="宋体"/>
                <w:color w:val="auto"/>
                <w:sz w:val="21"/>
                <w:szCs w:val="21"/>
                <w:lang w:val="en-US" w:eastAsia="zh-CN"/>
              </w:rPr>
              <w:t>组织实施</w:t>
            </w: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管理制度健全性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4</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spacing w:line="300" w:lineRule="exact"/>
              <w:jc w:val="center"/>
              <w:rPr>
                <w:rFonts w:hint="eastAsia" w:ascii="宋体" w:hAnsi="宋体" w:eastAsia="宋体"/>
                <w:color w:val="auto"/>
                <w:sz w:val="21"/>
                <w:szCs w:val="21"/>
              </w:rPr>
            </w:pPr>
          </w:p>
        </w:tc>
        <w:tc>
          <w:tcPr>
            <w:tcW w:w="1088" w:type="pct"/>
            <w:vMerge w:val="continue"/>
            <w:vAlign w:val="center"/>
          </w:tcPr>
          <w:p>
            <w:pPr>
              <w:spacing w:line="300" w:lineRule="exact"/>
              <w:jc w:val="center"/>
              <w:rPr>
                <w:rFonts w:hint="eastAsia" w:ascii="宋体" w:hAnsi="宋体" w:eastAsia="宋体"/>
                <w:color w:val="auto"/>
                <w:sz w:val="21"/>
                <w:szCs w:val="21"/>
              </w:rPr>
            </w:pPr>
          </w:p>
        </w:tc>
        <w:tc>
          <w:tcPr>
            <w:tcW w:w="1511" w:type="pct"/>
            <w:vAlign w:val="center"/>
          </w:tcPr>
          <w:p>
            <w:pPr>
              <w:autoSpaceDN w:val="0"/>
              <w:spacing w:line="300" w:lineRule="exact"/>
              <w:jc w:val="left"/>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制度执行有效性</w:t>
            </w:r>
          </w:p>
        </w:tc>
        <w:tc>
          <w:tcPr>
            <w:tcW w:w="813" w:type="pct"/>
            <w:vAlign w:val="center"/>
          </w:tcPr>
          <w:p>
            <w:pPr>
              <w:autoSpaceDN w:val="0"/>
              <w:spacing w:line="300" w:lineRule="exact"/>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olor w:val="auto"/>
                <w:sz w:val="21"/>
                <w:szCs w:val="21"/>
                <w:lang w:val="en-US" w:eastAsia="zh-CN"/>
              </w:rPr>
              <w:t>6</w:t>
            </w:r>
          </w:p>
        </w:tc>
        <w:tc>
          <w:tcPr>
            <w:tcW w:w="720" w:type="pct"/>
            <w:vAlign w:val="center"/>
          </w:tcPr>
          <w:p>
            <w:pPr>
              <w:autoSpaceDN w:val="0"/>
              <w:spacing w:line="300" w:lineRule="exact"/>
              <w:jc w:val="center"/>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restar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产出</w:t>
            </w:r>
          </w:p>
        </w:tc>
        <w:tc>
          <w:tcPr>
            <w:tcW w:w="1088"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2575" w:type="dxa"/>
            <w:vAlign w:val="center"/>
          </w:tcPr>
          <w:p>
            <w:pPr>
              <w:autoSpaceDN w:val="0"/>
              <w:spacing w:line="300" w:lineRule="exact"/>
              <w:jc w:val="left"/>
              <w:textAlignment w:val="center"/>
              <w:rPr>
                <w:rFonts w:hint="default" w:ascii="宋体" w:hAnsi="宋体" w:eastAsia="宋体"/>
                <w:color w:val="auto"/>
                <w:sz w:val="21"/>
                <w:szCs w:val="21"/>
                <w:lang w:val="en-US" w:eastAsia="zh-CN"/>
              </w:rPr>
            </w:pPr>
            <w:r>
              <w:rPr>
                <w:rFonts w:hint="eastAsia" w:ascii="宋体" w:hAnsi="宋体" w:eastAsia="宋体"/>
                <w:color w:val="auto"/>
                <w:sz w:val="21"/>
                <w:szCs w:val="21"/>
                <w:lang w:val="en-US" w:eastAsia="zh-CN"/>
              </w:rPr>
              <w:t>试桩工程量</w:t>
            </w:r>
          </w:p>
        </w:tc>
        <w:tc>
          <w:tcPr>
            <w:tcW w:w="813"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15</w:t>
            </w:r>
          </w:p>
        </w:tc>
        <w:tc>
          <w:tcPr>
            <w:tcW w:w="1228" w:type="dxa"/>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854" w:type="dxa"/>
            <w:vAlign w:val="center"/>
          </w:tcPr>
          <w:p>
            <w:pPr>
              <w:keepNext w:val="0"/>
              <w:keepLines w:val="0"/>
              <w:widowControl/>
              <w:suppressLineNumbers w:val="0"/>
              <w:jc w:val="center"/>
              <w:textAlignment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数量</w:t>
            </w:r>
          </w:p>
        </w:tc>
        <w:tc>
          <w:tcPr>
            <w:tcW w:w="2575" w:type="dxa"/>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征拆工程量</w:t>
            </w:r>
          </w:p>
        </w:tc>
        <w:tc>
          <w:tcPr>
            <w:tcW w:w="813"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15</w:t>
            </w:r>
          </w:p>
        </w:tc>
        <w:tc>
          <w:tcPr>
            <w:tcW w:w="1228" w:type="dxa"/>
            <w:vAlign w:val="center"/>
          </w:tcPr>
          <w:p>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Merge w:val="continue"/>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p>
        </w:tc>
        <w:tc>
          <w:tcPr>
            <w:tcW w:w="1088" w:type="pct"/>
            <w:vAlign w:val="center"/>
          </w:tcPr>
          <w:p>
            <w:pPr>
              <w:keepNext w:val="0"/>
              <w:keepLines w:val="0"/>
              <w:widowControl/>
              <w:suppressLineNumbers w:val="0"/>
              <w:jc w:val="center"/>
              <w:textAlignment w:val="center"/>
              <w:rPr>
                <w:rFonts w:hint="eastAsia" w:ascii="宋体" w:hAnsi="宋体" w:eastAsia="宋体" w:cstheme="minorBidi"/>
                <w:color w:val="auto"/>
                <w:kern w:val="2"/>
                <w:sz w:val="21"/>
                <w:szCs w:val="21"/>
                <w:lang w:val="en-US" w:eastAsia="zh-CN" w:bidi="ar-SA"/>
              </w:rPr>
            </w:pPr>
            <w:r>
              <w:rPr>
                <w:rFonts w:hint="eastAsia" w:ascii="宋体" w:hAnsi="宋体" w:eastAsia="宋体" w:cs="宋体"/>
                <w:color w:val="000000"/>
                <w:kern w:val="0"/>
                <w:sz w:val="20"/>
                <w:szCs w:val="20"/>
              </w:rPr>
              <w:t>产出</w:t>
            </w:r>
            <w:r>
              <w:rPr>
                <w:rFonts w:hint="eastAsia" w:ascii="宋体" w:hAnsi="宋体" w:eastAsia="宋体" w:cs="宋体"/>
                <w:color w:val="000000"/>
                <w:kern w:val="0"/>
                <w:sz w:val="20"/>
                <w:szCs w:val="20"/>
                <w:lang w:val="en-US" w:eastAsia="zh-CN"/>
              </w:rPr>
              <w:t>成本</w:t>
            </w:r>
          </w:p>
        </w:tc>
        <w:tc>
          <w:tcPr>
            <w:tcW w:w="1511"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超概算项目比例</w:t>
            </w:r>
          </w:p>
        </w:tc>
        <w:tc>
          <w:tcPr>
            <w:tcW w:w="813"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66" w:type="pct"/>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效益</w:t>
            </w:r>
          </w:p>
        </w:tc>
        <w:tc>
          <w:tcPr>
            <w:tcW w:w="1088" w:type="pct"/>
            <w:vAlign w:val="center"/>
          </w:tcPr>
          <w:p>
            <w:pPr>
              <w:keepNext w:val="0"/>
              <w:keepLines w:val="0"/>
              <w:widowControl/>
              <w:suppressLineNumbers w:val="0"/>
              <w:jc w:val="center"/>
              <w:textAlignment w:val="center"/>
              <w:rPr>
                <w:rFonts w:hint="default" w:ascii="宋体" w:hAnsi="宋体" w:eastAsia="宋体" w:cstheme="minorBidi"/>
                <w:color w:val="auto"/>
                <w:kern w:val="2"/>
                <w:sz w:val="21"/>
                <w:szCs w:val="21"/>
                <w:lang w:val="en-US" w:eastAsia="zh-CN" w:bidi="ar-SA"/>
              </w:rPr>
            </w:pPr>
            <w:r>
              <w:rPr>
                <w:rFonts w:hint="eastAsia" w:ascii="宋体" w:hAnsi="宋体" w:eastAsia="宋体" w:cs="宋体"/>
                <w:i w:val="0"/>
                <w:iCs w:val="0"/>
                <w:color w:val="auto"/>
                <w:kern w:val="0"/>
                <w:sz w:val="21"/>
                <w:szCs w:val="21"/>
                <w:u w:val="none"/>
                <w:lang w:val="en-US" w:eastAsia="zh-CN" w:bidi="ar"/>
              </w:rPr>
              <w:t>项目效益</w:t>
            </w:r>
          </w:p>
        </w:tc>
        <w:tc>
          <w:tcPr>
            <w:tcW w:w="1511" w:type="pct"/>
            <w:vAlign w:val="center"/>
          </w:tcPr>
          <w:p>
            <w:pPr>
              <w:autoSpaceDN w:val="0"/>
              <w:spacing w:line="300" w:lineRule="exact"/>
              <w:jc w:val="left"/>
              <w:textAlignment w:val="center"/>
              <w:rPr>
                <w:rFonts w:hint="eastAsia" w:ascii="宋体" w:hAnsi="宋体" w:eastAsia="宋体"/>
                <w:color w:val="auto"/>
                <w:sz w:val="21"/>
                <w:szCs w:val="21"/>
                <w:lang w:val="en-US" w:eastAsia="zh-CN"/>
              </w:rPr>
            </w:pPr>
            <w:r>
              <w:rPr>
                <w:rFonts w:hint="eastAsia" w:ascii="宋体" w:hAnsi="宋体" w:eastAsia="宋体"/>
                <w:color w:val="auto"/>
                <w:sz w:val="21"/>
                <w:szCs w:val="21"/>
                <w:lang w:val="en-US" w:eastAsia="zh-CN"/>
              </w:rPr>
              <w:t>项目受益人数</w:t>
            </w:r>
          </w:p>
        </w:tc>
        <w:tc>
          <w:tcPr>
            <w:tcW w:w="813" w:type="pct"/>
            <w:vAlign w:val="center"/>
          </w:tcPr>
          <w:p>
            <w:pPr>
              <w:keepNext w:val="0"/>
              <w:keepLines w:val="0"/>
              <w:widowControl/>
              <w:suppressLineNumbers w:val="0"/>
              <w:jc w:val="center"/>
              <w:textAlignment w:val="center"/>
              <w:rPr>
                <w:rFonts w:hint="default"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c>
          <w:tcPr>
            <w:tcW w:w="720" w:type="pct"/>
            <w:vAlign w:val="center"/>
          </w:tcPr>
          <w:p>
            <w:pPr>
              <w:keepNext w:val="0"/>
              <w:keepLines w:val="0"/>
              <w:widowControl/>
              <w:suppressLineNumbers w:val="0"/>
              <w:jc w:val="center"/>
              <w:textAlignment w:val="center"/>
              <w:rPr>
                <w:rFonts w:hint="eastAsia" w:ascii="宋体" w:hAnsi="宋体" w:eastAsia="宋体" w:cstheme="minorBidi"/>
                <w:b w:val="0"/>
                <w:bCs w:val="0"/>
                <w:color w:val="auto"/>
                <w:kern w:val="2"/>
                <w:sz w:val="21"/>
                <w:szCs w:val="21"/>
                <w:lang w:val="en-US" w:eastAsia="zh-CN" w:bidi="ar-SA"/>
              </w:rPr>
            </w:pPr>
            <w:r>
              <w:rPr>
                <w:rFonts w:hint="eastAsia" w:ascii="宋体" w:hAnsi="宋体" w:eastAsia="宋体" w:cstheme="minorBidi"/>
                <w:b w:val="0"/>
                <w:bCs w:val="0"/>
                <w:color w:val="auto"/>
                <w:kern w:val="2"/>
                <w:sz w:val="21"/>
                <w:szCs w:val="21"/>
                <w:lang w:val="en-US" w:eastAsia="zh-CN" w:bidi="ar-SA"/>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总分</w:t>
            </w:r>
          </w:p>
        </w:tc>
        <w:tc>
          <w:tcPr>
            <w:tcW w:w="813" w:type="pct"/>
            <w:vAlign w:val="center"/>
          </w:tcPr>
          <w:p>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100</w:t>
            </w:r>
          </w:p>
        </w:tc>
        <w:tc>
          <w:tcPr>
            <w:tcW w:w="720" w:type="pct"/>
            <w:vAlign w:val="center"/>
          </w:tcPr>
          <w:p>
            <w:pPr>
              <w:autoSpaceDN w:val="0"/>
              <w:spacing w:line="300" w:lineRule="exact"/>
              <w:jc w:val="center"/>
              <w:textAlignment w:val="center"/>
              <w:rPr>
                <w:rFonts w:hint="default"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465" w:type="pct"/>
            <w:gridSpan w:val="3"/>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rPr>
              <w:t>评价等次</w:t>
            </w:r>
          </w:p>
        </w:tc>
        <w:tc>
          <w:tcPr>
            <w:tcW w:w="813" w:type="pct"/>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p>
        </w:tc>
        <w:tc>
          <w:tcPr>
            <w:tcW w:w="720" w:type="pct"/>
            <w:vAlign w:val="center"/>
          </w:tcPr>
          <w:p>
            <w:pPr>
              <w:autoSpaceDN w:val="0"/>
              <w:spacing w:line="300" w:lineRule="exact"/>
              <w:jc w:val="center"/>
              <w:textAlignment w:val="center"/>
              <w:rPr>
                <w:rFonts w:hint="eastAsia" w:ascii="宋体" w:hAnsi="宋体" w:eastAsia="宋体"/>
                <w:b/>
                <w:bCs/>
                <w:color w:val="auto"/>
                <w:sz w:val="21"/>
                <w:szCs w:val="21"/>
                <w:lang w:val="en-US" w:eastAsia="zh-CN"/>
              </w:rPr>
            </w:pPr>
            <w:r>
              <w:rPr>
                <w:rFonts w:hint="eastAsia" w:ascii="宋体" w:hAnsi="宋体" w:eastAsia="宋体"/>
                <w:b/>
                <w:bCs/>
                <w:color w:val="auto"/>
                <w:sz w:val="21"/>
                <w:szCs w:val="21"/>
                <w:lang w:val="en-US" w:eastAsia="zh-CN"/>
              </w:rPr>
              <w:t>优</w:t>
            </w:r>
          </w:p>
        </w:tc>
      </w:tr>
    </w:tbl>
    <w:p>
      <w:pPr>
        <w:keepNext w:val="0"/>
        <w:keepLines w:val="0"/>
        <w:pageBreakBefore w:val="0"/>
        <w:kinsoku/>
        <w:wordWrap/>
        <w:overflowPunct/>
        <w:topLinePunct w:val="0"/>
        <w:autoSpaceDE/>
        <w:bidi w:val="0"/>
        <w:adjustRightInd/>
        <w:snapToGrid/>
        <w:spacing w:line="560" w:lineRule="exact"/>
        <w:ind w:firstLine="640" w:firstLineChars="200"/>
        <w:rPr>
          <w:rFonts w:hint="eastAsia" w:ascii="黑体" w:hAnsi="黑体" w:eastAsia="黑体" w:cs="黑体"/>
          <w:sz w:val="32"/>
          <w:szCs w:val="32"/>
          <w:highlight w:val="none"/>
        </w:rPr>
      </w:pP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四、绩效评价指标分析</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（一）项目决策情况</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Calibri" w:eastAsia="仿宋_GB2312" w:cs="仿宋_GB2312"/>
          <w:kern w:val="0"/>
          <w:sz w:val="32"/>
          <w:szCs w:val="32"/>
          <w:highlight w:val="none"/>
          <w:lang w:bidi="ar"/>
        </w:rPr>
        <w:t>为了解决江东新区椰青园安置户和当地的子女上学问题，按照子女就近入学的原则，拟建设江东新区椰青园安置社区配套学校项目</w:t>
      </w:r>
      <w:r>
        <w:rPr>
          <w:rFonts w:hint="eastAsia" w:ascii="仿宋_GB2312" w:hAnsi="Calibri" w:eastAsia="仿宋_GB2312" w:cs="仿宋_GB2312"/>
          <w:kern w:val="0"/>
          <w:sz w:val="32"/>
          <w:szCs w:val="32"/>
          <w:highlight w:val="none"/>
          <w:lang w:eastAsia="zh-CN" w:bidi="ar"/>
        </w:rPr>
        <w:t>，</w:t>
      </w:r>
      <w:r>
        <w:rPr>
          <w:rFonts w:hint="eastAsia" w:ascii="仿宋_GB2312" w:hAnsi="Calibri" w:eastAsia="仿宋_GB2312" w:cs="仿宋_GB2312"/>
          <w:kern w:val="0"/>
          <w:sz w:val="32"/>
          <w:szCs w:val="32"/>
          <w:highlight w:val="none"/>
          <w:lang w:bidi="ar"/>
        </w:rPr>
        <w:t>满足椰青园安置户子女近入学的需求，为附近片区的顺利开发提供公共服务基础设施保障。项目的实施将合理配置区域教育资源，改善江东新区的教育条件，从而提高海口市江东新区的教育整体综合实力，解决海口市优质教育资源缺乏的现状及进一步缓解公办学校的教学压力</w:t>
      </w:r>
      <w:r>
        <w:rPr>
          <w:rFonts w:hint="eastAsia" w:ascii="仿宋_GB2312" w:hAnsi="仿宋_GB2312" w:eastAsia="仿宋_GB2312" w:cs="仿宋_GB2312"/>
          <w:sz w:val="32"/>
          <w:szCs w:val="32"/>
          <w:highlight w:val="none"/>
        </w:rPr>
        <w:t>。该项目列入海口市政府投资项目计划。项目设定了绩效目标，绩效目标与实际工作内容具有相关性。项目预算编制科学合理，预算资金分配依据充分。</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（二）项目过程情况</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2020年我局制定并印发了《政府投资项目管理办法（试行）》，建立了有效的项目管理制度，保证了项目安全有效运行，确保了项目顺利实施，取得明显成效。项目资金支付严格履行审批程序，使用规范，会计核算结果真实、准确。此次绩效评价过程中未发现挤占或挪用项目资金的情况。</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2023</w:t>
      </w:r>
      <w:r>
        <w:rPr>
          <w:rFonts w:hint="eastAsia" w:ascii="仿宋_GB2312" w:hAnsi="仿宋_GB2312" w:eastAsia="仿宋_GB2312" w:cs="仿宋_GB2312"/>
          <w:sz w:val="32"/>
          <w:szCs w:val="32"/>
          <w:highlight w:val="none"/>
        </w:rPr>
        <w:t>年共到位资金3000万元，其中2023年地债资金3000万元</w:t>
      </w:r>
      <w:r>
        <w:rPr>
          <w:rFonts w:hint="eastAsia" w:ascii="仿宋_GB2312" w:hAnsi="Times New Roman" w:eastAsia="仿宋_GB2312" w:cs="仿宋_GB2312"/>
          <w:sz w:val="32"/>
          <w:szCs w:val="32"/>
          <w:highlight w:val="none"/>
          <w:lang w:bidi="ar"/>
        </w:rPr>
        <w:t>，支出</w:t>
      </w:r>
      <w:r>
        <w:rPr>
          <w:rFonts w:hint="eastAsia" w:ascii="仿宋_GB2312" w:hAnsi="Times New Roman" w:eastAsia="仿宋_GB2312" w:cs="仿宋_GB2312"/>
          <w:sz w:val="32"/>
          <w:szCs w:val="32"/>
          <w:highlight w:val="none"/>
          <w:lang w:val="en-US" w:eastAsia="zh-CN" w:bidi="ar"/>
        </w:rPr>
        <w:t>100</w:t>
      </w:r>
      <w:r>
        <w:rPr>
          <w:rFonts w:hint="eastAsia" w:ascii="仿宋_GB2312" w:hAnsi="Times New Roman" w:eastAsia="仿宋_GB2312" w:cs="仿宋_GB2312"/>
          <w:sz w:val="32"/>
          <w:szCs w:val="32"/>
          <w:highlight w:val="none"/>
          <w:lang w:bidi="ar"/>
        </w:rPr>
        <w:t>%</w:t>
      </w:r>
      <w:r>
        <w:rPr>
          <w:rFonts w:hint="eastAsia" w:ascii="仿宋_GB2312" w:hAnsi="Times New Roman" w:eastAsia="仿宋_GB2312" w:cs="仿宋_GB2312"/>
          <w:sz w:val="32"/>
          <w:szCs w:val="32"/>
          <w:highlight w:val="none"/>
          <w:lang w:val="en-US" w:eastAsia="zh-CN" w:bidi="ar"/>
        </w:rPr>
        <w:t>。</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（三）项目产出情况</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该项目资金到位及时，项目顺利实施，</w:t>
      </w:r>
      <w:r>
        <w:rPr>
          <w:rFonts w:hint="eastAsia" w:ascii="仿宋_GB2312" w:hAnsi="仿宋_GB2312" w:eastAsia="仿宋_GB2312" w:cs="仿宋_GB2312"/>
          <w:sz w:val="32"/>
          <w:szCs w:val="32"/>
          <w:highlight w:val="none"/>
          <w:lang w:val="en-US" w:eastAsia="zh-CN"/>
        </w:rPr>
        <w:t>2023年年底</w:t>
      </w:r>
      <w:r>
        <w:rPr>
          <w:rFonts w:hint="eastAsia" w:ascii="仿宋_GB2312" w:hAnsi="仿宋_GB2312" w:eastAsia="仿宋_GB2312" w:cs="仿宋_GB2312"/>
          <w:sz w:val="32"/>
          <w:szCs w:val="32"/>
          <w:highlight w:val="none"/>
        </w:rPr>
        <w:t>已完成项目总体</w:t>
      </w:r>
      <w:r>
        <w:rPr>
          <w:rFonts w:hint="eastAsia" w:ascii="仿宋_GB2312" w:hAnsi="仿宋_GB2312" w:eastAsia="仿宋_GB2312" w:cs="仿宋_GB2312"/>
          <w:sz w:val="32"/>
          <w:szCs w:val="32"/>
          <w:highlight w:val="none"/>
          <w:lang w:val="en-US" w:eastAsia="zh-CN"/>
        </w:rPr>
        <w:t>63</w:t>
      </w:r>
      <w:r>
        <w:rPr>
          <w:rFonts w:hint="eastAsia" w:ascii="仿宋_GB2312" w:hAnsi="仿宋_GB2312" w:eastAsia="仿宋_GB2312" w:cs="仿宋_GB2312"/>
          <w:sz w:val="32"/>
          <w:szCs w:val="32"/>
          <w:highlight w:val="none"/>
        </w:rPr>
        <w:t>%的形象进度。项目完成程度较好，实现了预定预算目标。</w:t>
      </w:r>
    </w:p>
    <w:p>
      <w:pPr>
        <w:keepNext w:val="0"/>
        <w:keepLines w:val="0"/>
        <w:pageBreakBefore w:val="0"/>
        <w:kinsoku/>
        <w:wordWrap/>
        <w:overflowPunct/>
        <w:topLinePunct w:val="0"/>
        <w:autoSpaceDE/>
        <w:bidi w:val="0"/>
        <w:adjustRightInd/>
        <w:snapToGrid/>
        <w:spacing w:line="560" w:lineRule="exact"/>
        <w:ind w:firstLine="640" w:firstLineChars="200"/>
        <w:rPr>
          <w:rFonts w:ascii="楷体_GB2312" w:hAnsi="楷体_GB2312" w:eastAsia="楷体_GB2312" w:cs="楷体_GB2312"/>
          <w:sz w:val="32"/>
          <w:szCs w:val="32"/>
          <w:highlight w:val="none"/>
        </w:rPr>
      </w:pPr>
      <w:r>
        <w:rPr>
          <w:rFonts w:hint="eastAsia" w:ascii="楷体_GB2312" w:hAnsi="楷体_GB2312" w:eastAsia="楷体_GB2312" w:cs="楷体_GB2312"/>
          <w:sz w:val="32"/>
          <w:szCs w:val="32"/>
          <w:highlight w:val="none"/>
        </w:rPr>
        <w:t>（四）项目效益情况</w:t>
      </w:r>
    </w:p>
    <w:p>
      <w:pPr>
        <w:keepNext w:val="0"/>
        <w:keepLines w:val="0"/>
        <w:pageBreakBefore w:val="0"/>
        <w:widowControl/>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Calibri" w:eastAsia="仿宋_GB2312" w:cs="仿宋_GB2312"/>
          <w:kern w:val="0"/>
          <w:sz w:val="32"/>
          <w:szCs w:val="32"/>
          <w:highlight w:val="none"/>
          <w:lang w:bidi="ar"/>
        </w:rPr>
        <w:t>项目社会效益良好。项目的建设有效解决江东新区椰青园安置户的子女上学问题，满足江东新区椰青园安置户子女近入学的需求，是保障江东新区椰青园安置户子女能顺利就近入学的重要举措；将有效缓解海口市基础教育阶段优质资源不足、整体质量不高的状况</w:t>
      </w:r>
      <w:r>
        <w:rPr>
          <w:rFonts w:hint="eastAsia" w:ascii="仿宋_GB2312" w:hAnsi="Calibri" w:eastAsia="仿宋_GB2312" w:cs="仿宋_GB2312"/>
          <w:kern w:val="0"/>
          <w:sz w:val="32"/>
          <w:szCs w:val="32"/>
          <w:highlight w:val="none"/>
          <w:lang w:eastAsia="zh-CN" w:bidi="ar"/>
        </w:rPr>
        <w:t>，</w:t>
      </w:r>
      <w:r>
        <w:rPr>
          <w:rFonts w:hint="eastAsia" w:ascii="仿宋_GB2312" w:hAnsi="Calibri" w:eastAsia="仿宋_GB2312" w:cs="仿宋_GB2312"/>
          <w:kern w:val="0"/>
          <w:sz w:val="32"/>
          <w:szCs w:val="32"/>
          <w:highlight w:val="none"/>
          <w:lang w:bidi="ar"/>
        </w:rPr>
        <w:t>具有显著的社会效益效益</w:t>
      </w:r>
      <w:r>
        <w:rPr>
          <w:rFonts w:hint="eastAsia" w:ascii="仿宋_GB2312" w:hAnsi="仿宋_GB2312" w:eastAsia="仿宋_GB2312" w:cs="仿宋_GB2312"/>
          <w:sz w:val="32"/>
          <w:szCs w:val="32"/>
          <w:highlight w:val="none"/>
        </w:rPr>
        <w:t>。项目现阶段正在进行</w:t>
      </w:r>
      <w:r>
        <w:rPr>
          <w:rFonts w:hint="eastAsia" w:ascii="仿宋_GB2312" w:hAnsi="仿宋_GB2312" w:eastAsia="仿宋_GB2312" w:cs="仿宋_GB2312"/>
          <w:sz w:val="32"/>
          <w:szCs w:val="32"/>
          <w:highlight w:val="none"/>
          <w:lang w:val="en-US" w:eastAsia="zh-CN"/>
        </w:rPr>
        <w:t>土方、桩基础、</w:t>
      </w:r>
      <w:r>
        <w:rPr>
          <w:rFonts w:hint="eastAsia" w:ascii="仿宋_GB2312" w:hAnsi="仿宋_GB2312" w:eastAsia="仿宋_GB2312" w:cs="仿宋_GB2312"/>
          <w:sz w:val="32"/>
          <w:szCs w:val="32"/>
          <w:highlight w:val="none"/>
        </w:rPr>
        <w:t>主体</w:t>
      </w:r>
      <w:r>
        <w:rPr>
          <w:rFonts w:hint="eastAsia" w:ascii="仿宋_GB2312" w:hAnsi="仿宋_GB2312" w:eastAsia="仿宋_GB2312" w:cs="仿宋_GB2312"/>
          <w:sz w:val="32"/>
          <w:szCs w:val="32"/>
          <w:highlight w:val="none"/>
          <w:lang w:val="en-US" w:eastAsia="zh-CN"/>
        </w:rPr>
        <w:t>结构</w:t>
      </w:r>
      <w:r>
        <w:rPr>
          <w:rFonts w:hint="eastAsia" w:ascii="仿宋_GB2312" w:hAnsi="仿宋_GB2312" w:eastAsia="仿宋_GB2312" w:cs="仿宋_GB2312"/>
          <w:sz w:val="32"/>
          <w:szCs w:val="32"/>
          <w:highlight w:val="none"/>
        </w:rPr>
        <w:t>施工。</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五、主要经验及做法、存在的问题及原因分析</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六、有关建议</w:t>
      </w:r>
    </w:p>
    <w:p>
      <w:pPr>
        <w:keepNext w:val="0"/>
        <w:keepLines w:val="0"/>
        <w:pageBreakBefore w:val="0"/>
        <w:kinsoku/>
        <w:wordWrap/>
        <w:overflowPunct/>
        <w:topLinePunct w:val="0"/>
        <w:autoSpaceDE/>
        <w:bidi w:val="0"/>
        <w:adjustRightInd/>
        <w:snapToGrid/>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无。</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黑体" w:hAnsi="黑体" w:eastAsia="黑体" w:cs="黑体"/>
          <w:sz w:val="32"/>
          <w:szCs w:val="32"/>
          <w:highlight w:val="none"/>
        </w:rPr>
        <w:t>七、其他需要说明的问题</w:t>
      </w:r>
    </w:p>
    <w:p>
      <w:pPr>
        <w:keepNext w:val="0"/>
        <w:keepLines w:val="0"/>
        <w:pageBreakBefore w:val="0"/>
        <w:kinsoku/>
        <w:wordWrap/>
        <w:overflowPunct/>
        <w:topLinePunct w:val="0"/>
        <w:autoSpaceDE/>
        <w:bidi w:val="0"/>
        <w:adjustRightInd/>
        <w:snapToGrid/>
        <w:spacing w:line="560" w:lineRule="exact"/>
        <w:ind w:firstLine="640" w:firstLineChars="200"/>
        <w:rPr>
          <w:rFonts w:ascii="黑体" w:hAnsi="黑体" w:eastAsia="黑体" w:cs="黑体"/>
          <w:sz w:val="32"/>
          <w:szCs w:val="32"/>
          <w:highlight w:val="none"/>
        </w:rPr>
      </w:pPr>
      <w:r>
        <w:rPr>
          <w:rFonts w:hint="eastAsia" w:ascii="仿宋_GB2312" w:hAnsi="仿宋_GB2312" w:eastAsia="仿宋_GB2312" w:cs="仿宋_GB2312"/>
          <w:sz w:val="32"/>
          <w:szCs w:val="32"/>
          <w:highlight w:val="none"/>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pPr>
                      <w:pStyle w:val="4"/>
                      <w:rPr>
                        <w:rFonts w:ascii="宋体" w:hAnsi="宋体" w:eastAsia="宋体" w:cs="宋体"/>
                        <w:sz w:val="24"/>
                      </w:rPr>
                    </w:pPr>
                    <w:r>
                      <w:rPr>
                        <w:rFonts w:hint="eastAsia" w:ascii="宋体" w:hAnsi="宋体" w:eastAsia="宋体" w:cs="宋体"/>
                        <w:sz w:val="24"/>
                      </w:rPr>
                      <w:fldChar w:fldCharType="begin"/>
                    </w:r>
                    <w:r>
                      <w:rPr>
                        <w:rFonts w:hint="eastAsia" w:ascii="宋体" w:hAnsi="宋体" w:eastAsia="宋体" w:cs="宋体"/>
                        <w:sz w:val="24"/>
                      </w:rPr>
                      <w:instrText xml:space="preserve"> PAGE  \* MERGEFORMAT </w:instrText>
                    </w:r>
                    <w:r>
                      <w:rPr>
                        <w:rFonts w:hint="eastAsia" w:ascii="宋体" w:hAnsi="宋体" w:eastAsia="宋体" w:cs="宋体"/>
                        <w:sz w:val="24"/>
                      </w:rPr>
                      <w:fldChar w:fldCharType="separate"/>
                    </w:r>
                    <w:r>
                      <w:rPr>
                        <w:rFonts w:hint="eastAsia" w:ascii="宋体" w:hAnsi="宋体" w:eastAsia="宋体" w:cs="宋体"/>
                        <w:sz w:val="24"/>
                      </w:rPr>
                      <w:t>1</w:t>
                    </w:r>
                    <w:r>
                      <w:rPr>
                        <w:rFonts w:hint="eastAsia" w:ascii="宋体" w:hAnsi="宋体" w:eastAsia="宋体" w:cs="宋体"/>
                        <w:sz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299EA3"/>
    <w:multiLevelType w:val="singleLevel"/>
    <w:tmpl w:val="72299EA3"/>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hiYzkyMzRiM2UzM2VhZTBkNzAzYmRlODMyNzQ0ZTMifQ=="/>
  </w:docVars>
  <w:rsids>
    <w:rsidRoot w:val="435E1F18"/>
    <w:rsid w:val="003B3E31"/>
    <w:rsid w:val="006D65BE"/>
    <w:rsid w:val="00885B23"/>
    <w:rsid w:val="00BE4EB8"/>
    <w:rsid w:val="00D4065E"/>
    <w:rsid w:val="00D57EB4"/>
    <w:rsid w:val="02233DF4"/>
    <w:rsid w:val="023A5912"/>
    <w:rsid w:val="02CB6390"/>
    <w:rsid w:val="02E334E5"/>
    <w:rsid w:val="03082F4B"/>
    <w:rsid w:val="03594357"/>
    <w:rsid w:val="03795BF7"/>
    <w:rsid w:val="040B460D"/>
    <w:rsid w:val="04621786"/>
    <w:rsid w:val="05787E8E"/>
    <w:rsid w:val="0626600A"/>
    <w:rsid w:val="06F95DEE"/>
    <w:rsid w:val="08093106"/>
    <w:rsid w:val="08AF5C9C"/>
    <w:rsid w:val="0A092149"/>
    <w:rsid w:val="0A787E3B"/>
    <w:rsid w:val="0AC273C6"/>
    <w:rsid w:val="0AC94BD1"/>
    <w:rsid w:val="0BD17C84"/>
    <w:rsid w:val="0BDE5F87"/>
    <w:rsid w:val="0C381E6F"/>
    <w:rsid w:val="0D447C1B"/>
    <w:rsid w:val="0D600D14"/>
    <w:rsid w:val="0DBB40F2"/>
    <w:rsid w:val="0DE47EA0"/>
    <w:rsid w:val="0E9A79D6"/>
    <w:rsid w:val="0ED27D6D"/>
    <w:rsid w:val="0FA57232"/>
    <w:rsid w:val="111C1707"/>
    <w:rsid w:val="11A01C32"/>
    <w:rsid w:val="11FB7553"/>
    <w:rsid w:val="126332E8"/>
    <w:rsid w:val="12AB34F1"/>
    <w:rsid w:val="12CF75E2"/>
    <w:rsid w:val="135734FF"/>
    <w:rsid w:val="14B51D19"/>
    <w:rsid w:val="14FA1115"/>
    <w:rsid w:val="154455E1"/>
    <w:rsid w:val="15481788"/>
    <w:rsid w:val="1652225F"/>
    <w:rsid w:val="16630DA5"/>
    <w:rsid w:val="1682257B"/>
    <w:rsid w:val="180C39B2"/>
    <w:rsid w:val="18E831AB"/>
    <w:rsid w:val="190A44B1"/>
    <w:rsid w:val="19263C3A"/>
    <w:rsid w:val="19316574"/>
    <w:rsid w:val="19795372"/>
    <w:rsid w:val="19AA72EE"/>
    <w:rsid w:val="1AC1553C"/>
    <w:rsid w:val="1B007691"/>
    <w:rsid w:val="1CB1400C"/>
    <w:rsid w:val="1DBB2B25"/>
    <w:rsid w:val="1E122B23"/>
    <w:rsid w:val="1E312225"/>
    <w:rsid w:val="1E5510E3"/>
    <w:rsid w:val="1F25228A"/>
    <w:rsid w:val="20281024"/>
    <w:rsid w:val="20B5758E"/>
    <w:rsid w:val="227D2BB6"/>
    <w:rsid w:val="22A2261D"/>
    <w:rsid w:val="23335B9D"/>
    <w:rsid w:val="23EF1B0E"/>
    <w:rsid w:val="241A2687"/>
    <w:rsid w:val="247865F8"/>
    <w:rsid w:val="247A1B51"/>
    <w:rsid w:val="25227A45"/>
    <w:rsid w:val="25900E53"/>
    <w:rsid w:val="27E81586"/>
    <w:rsid w:val="28B735AC"/>
    <w:rsid w:val="29B57C78"/>
    <w:rsid w:val="2AB57C33"/>
    <w:rsid w:val="2AE457DA"/>
    <w:rsid w:val="2B336677"/>
    <w:rsid w:val="2BC5737C"/>
    <w:rsid w:val="2C192B4A"/>
    <w:rsid w:val="2C8221BC"/>
    <w:rsid w:val="2D7160E8"/>
    <w:rsid w:val="2D9F1EA3"/>
    <w:rsid w:val="2DA417DD"/>
    <w:rsid w:val="2E9826F7"/>
    <w:rsid w:val="303B5E5F"/>
    <w:rsid w:val="30483FA0"/>
    <w:rsid w:val="30BB4EA6"/>
    <w:rsid w:val="31437427"/>
    <w:rsid w:val="31F84007"/>
    <w:rsid w:val="326C58E4"/>
    <w:rsid w:val="340F7934"/>
    <w:rsid w:val="34C8661B"/>
    <w:rsid w:val="35F728BC"/>
    <w:rsid w:val="3714005C"/>
    <w:rsid w:val="37372992"/>
    <w:rsid w:val="37C51992"/>
    <w:rsid w:val="38042CB3"/>
    <w:rsid w:val="38B37090"/>
    <w:rsid w:val="390C1A27"/>
    <w:rsid w:val="393D1881"/>
    <w:rsid w:val="3ABA6910"/>
    <w:rsid w:val="3B0A2EB0"/>
    <w:rsid w:val="3B500164"/>
    <w:rsid w:val="3B59178B"/>
    <w:rsid w:val="3C444B0B"/>
    <w:rsid w:val="3D69400B"/>
    <w:rsid w:val="3DC76F84"/>
    <w:rsid w:val="3E4B066F"/>
    <w:rsid w:val="3FBB4BCB"/>
    <w:rsid w:val="3FD00372"/>
    <w:rsid w:val="40011221"/>
    <w:rsid w:val="405D14CB"/>
    <w:rsid w:val="41253788"/>
    <w:rsid w:val="418D0587"/>
    <w:rsid w:val="41B37671"/>
    <w:rsid w:val="42F50087"/>
    <w:rsid w:val="435E1F18"/>
    <w:rsid w:val="437C46E2"/>
    <w:rsid w:val="44273DE2"/>
    <w:rsid w:val="449F4DAD"/>
    <w:rsid w:val="44B278BB"/>
    <w:rsid w:val="44B939E4"/>
    <w:rsid w:val="461E0D18"/>
    <w:rsid w:val="464F2DD5"/>
    <w:rsid w:val="467C5C77"/>
    <w:rsid w:val="47C55320"/>
    <w:rsid w:val="49B72F9D"/>
    <w:rsid w:val="49C0331C"/>
    <w:rsid w:val="4AA6125F"/>
    <w:rsid w:val="4B5A13DB"/>
    <w:rsid w:val="4B820499"/>
    <w:rsid w:val="4C1448F5"/>
    <w:rsid w:val="4C625BDA"/>
    <w:rsid w:val="4CBF59F6"/>
    <w:rsid w:val="4D2F07A0"/>
    <w:rsid w:val="4D650FE4"/>
    <w:rsid w:val="4D69388C"/>
    <w:rsid w:val="4DF033CB"/>
    <w:rsid w:val="4DFF0279"/>
    <w:rsid w:val="4E414DDC"/>
    <w:rsid w:val="4E583744"/>
    <w:rsid w:val="4FB54242"/>
    <w:rsid w:val="52C426C7"/>
    <w:rsid w:val="54D85B6D"/>
    <w:rsid w:val="54E47B8F"/>
    <w:rsid w:val="54FE4F3A"/>
    <w:rsid w:val="553E5926"/>
    <w:rsid w:val="55A57892"/>
    <w:rsid w:val="578A390E"/>
    <w:rsid w:val="57D636C9"/>
    <w:rsid w:val="59D74C62"/>
    <w:rsid w:val="59E1651D"/>
    <w:rsid w:val="5A3B0856"/>
    <w:rsid w:val="5A4B6F13"/>
    <w:rsid w:val="5A6A79F7"/>
    <w:rsid w:val="5BF510A0"/>
    <w:rsid w:val="5E0A0A9B"/>
    <w:rsid w:val="5F367622"/>
    <w:rsid w:val="5F3F3404"/>
    <w:rsid w:val="5F905550"/>
    <w:rsid w:val="61394EFD"/>
    <w:rsid w:val="617F6B7B"/>
    <w:rsid w:val="61AB5485"/>
    <w:rsid w:val="62806640"/>
    <w:rsid w:val="63636628"/>
    <w:rsid w:val="65411CA7"/>
    <w:rsid w:val="65515201"/>
    <w:rsid w:val="65694914"/>
    <w:rsid w:val="668533B4"/>
    <w:rsid w:val="677376B1"/>
    <w:rsid w:val="67B21E4C"/>
    <w:rsid w:val="68024B96"/>
    <w:rsid w:val="68903265"/>
    <w:rsid w:val="6A835E5D"/>
    <w:rsid w:val="6A893A8D"/>
    <w:rsid w:val="6B657B2B"/>
    <w:rsid w:val="6C02565A"/>
    <w:rsid w:val="6C8B5B44"/>
    <w:rsid w:val="6E677844"/>
    <w:rsid w:val="6E6E68A0"/>
    <w:rsid w:val="6EB377AA"/>
    <w:rsid w:val="6EF931D9"/>
    <w:rsid w:val="6EFE1F56"/>
    <w:rsid w:val="6F563B40"/>
    <w:rsid w:val="6FAD572A"/>
    <w:rsid w:val="6FB6700B"/>
    <w:rsid w:val="701D3C49"/>
    <w:rsid w:val="710022AC"/>
    <w:rsid w:val="725E09BE"/>
    <w:rsid w:val="727437E0"/>
    <w:rsid w:val="7423420D"/>
    <w:rsid w:val="7451613A"/>
    <w:rsid w:val="7457558C"/>
    <w:rsid w:val="74AB4266"/>
    <w:rsid w:val="74C3652D"/>
    <w:rsid w:val="757F5777"/>
    <w:rsid w:val="764C182F"/>
    <w:rsid w:val="7654409C"/>
    <w:rsid w:val="7704672F"/>
    <w:rsid w:val="77175582"/>
    <w:rsid w:val="77972F48"/>
    <w:rsid w:val="791F742A"/>
    <w:rsid w:val="7B2F66D1"/>
    <w:rsid w:val="7B76655D"/>
    <w:rsid w:val="7BBF5BC9"/>
    <w:rsid w:val="7CE205E6"/>
    <w:rsid w:val="7D1D1C9F"/>
    <w:rsid w:val="7E543940"/>
    <w:rsid w:val="7EDF397E"/>
    <w:rsid w:val="7FAF3E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autoRedefine/>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964"/>
    </w:pPr>
  </w:style>
  <w:style w:type="paragraph" w:styleId="3">
    <w:name w:val="annotation text"/>
    <w:basedOn w:val="1"/>
    <w:autoRedefine/>
    <w:qFormat/>
    <w:uiPriority w:val="0"/>
    <w:pPr>
      <w:jc w:val="left"/>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Title"/>
    <w:basedOn w:val="1"/>
    <w:next w:val="1"/>
    <w:autoRedefine/>
    <w:qFormat/>
    <w:uiPriority w:val="0"/>
    <w:pPr>
      <w:spacing w:before="240" w:after="60"/>
      <w:jc w:val="center"/>
    </w:pPr>
    <w:rPr>
      <w:rFonts w:asciiTheme="majorHAnsi" w:hAnsiTheme="majorHAnsi" w:eastAsiaTheme="majorEastAsia" w:cstheme="majorBidi"/>
      <w:b/>
      <w:bCs/>
      <w:szCs w:val="32"/>
    </w:rPr>
  </w:style>
  <w:style w:type="character" w:styleId="9">
    <w:name w:val="annotation reference"/>
    <w:basedOn w:val="8"/>
    <w:qFormat/>
    <w:uiPriority w:val="0"/>
    <w:rPr>
      <w:sz w:val="21"/>
      <w:szCs w:val="21"/>
    </w:rPr>
  </w:style>
  <w:style w:type="character" w:customStyle="1" w:styleId="10">
    <w:name w:val="页眉 字符"/>
    <w:basedOn w:val="8"/>
    <w:link w:val="5"/>
    <w:autoRedefine/>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2097</Words>
  <Characters>2254</Characters>
  <Lines>1</Lines>
  <Paragraphs>1</Paragraphs>
  <TotalTime>4</TotalTime>
  <ScaleCrop>false</ScaleCrop>
  <LinksUpToDate>false</LinksUpToDate>
  <CharactersWithSpaces>2254</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2021-09-30T09:36:00Z</dcterms:created>
  <dc:creator>恋</dc:creator>
  <cp:lastModifiedBy>清风拂柳</cp:lastModifiedBy>
  <dcterms:modified xsi:type="dcterms:W3CDTF">2024-05-08T15:13:53Z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C147FB169E6C40C09B9470F034F11044</vt:lpwstr>
  </property>
</Properties>
</file>