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rPr>
          <w:rFonts w:ascii="宋体" w:hAnsi="宋体" w:eastAsia="宋体" w:cs="宋体"/>
          <w:b/>
          <w:bCs/>
          <w:sz w:val="44"/>
          <w:szCs w:val="44"/>
          <w:highlight w:val="none"/>
        </w:rPr>
      </w:pPr>
      <w:bookmarkStart w:id="0" w:name="_GoBack"/>
      <w:bookmarkEnd w:id="0"/>
      <w:r>
        <w:rPr>
          <w:rFonts w:hint="eastAsia" w:ascii="宋体" w:hAnsi="宋体" w:eastAsia="宋体" w:cs="宋体"/>
          <w:b/>
          <w:bCs/>
          <w:sz w:val="44"/>
          <w:szCs w:val="44"/>
          <w:highlight w:val="none"/>
        </w:rPr>
        <w:t>海口江东新区管理局</w:t>
      </w:r>
    </w:p>
    <w:p>
      <w:pPr>
        <w:pStyle w:val="8"/>
        <w:keepNext w:val="0"/>
        <w:keepLines w:val="0"/>
        <w:pageBreakBefore w:val="0"/>
        <w:kinsoku/>
        <w:wordWrap/>
        <w:overflowPunct/>
        <w:topLinePunct w:val="0"/>
        <w:autoSpaceDE/>
        <w:bidi w:val="0"/>
        <w:adjustRightInd/>
        <w:snapToGrid/>
        <w:spacing w:line="560" w:lineRule="exact"/>
        <w:rPr>
          <w:rFonts w:ascii="方正小标宋简体" w:eastAsia="方正小标宋简体"/>
          <w:sz w:val="40"/>
          <w:szCs w:val="40"/>
          <w:highlight w:val="none"/>
        </w:rPr>
      </w:pPr>
      <w:r>
        <w:rPr>
          <w:rFonts w:hint="eastAsia" w:ascii="宋体" w:hAnsi="宋体" w:eastAsia="宋体" w:cs="宋体"/>
          <w:sz w:val="44"/>
          <w:szCs w:val="44"/>
          <w:highlight w:val="none"/>
          <w:lang w:eastAsia="zh-CN"/>
        </w:rPr>
        <w:t>2023</w:t>
      </w:r>
      <w:r>
        <w:rPr>
          <w:rFonts w:hint="eastAsia" w:ascii="宋体" w:hAnsi="宋体" w:eastAsia="宋体" w:cs="宋体"/>
          <w:sz w:val="44"/>
          <w:szCs w:val="44"/>
          <w:highlight w:val="none"/>
        </w:rPr>
        <w:t>年海口江东新区高教科研区（知行片区）配套基础设施项目</w:t>
      </w:r>
    </w:p>
    <w:p>
      <w:pPr>
        <w:keepNext w:val="0"/>
        <w:keepLines w:val="0"/>
        <w:pageBreakBefore w:val="0"/>
        <w:kinsoku/>
        <w:wordWrap/>
        <w:overflowPunct/>
        <w:topLinePunct w:val="0"/>
        <w:autoSpaceDE/>
        <w:bidi w:val="0"/>
        <w:adjustRightInd/>
        <w:snapToGrid/>
        <w:spacing w:line="560" w:lineRule="exact"/>
        <w:jc w:val="center"/>
        <w:rPr>
          <w:b/>
          <w:bCs/>
          <w:sz w:val="44"/>
          <w:szCs w:val="44"/>
          <w:highlight w:val="none"/>
        </w:rPr>
      </w:pPr>
      <w:r>
        <w:rPr>
          <w:rFonts w:hint="eastAsia" w:ascii="宋体" w:hAnsi="宋体" w:eastAsia="宋体" w:cs="宋体"/>
          <w:b/>
          <w:bCs/>
          <w:sz w:val="44"/>
          <w:szCs w:val="44"/>
          <w:highlight w:val="none"/>
        </w:rPr>
        <w:t>支出绩效评价报告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仿宋_GB2312" w:eastAsia="仿宋_GB2312" w:cs="仿宋_GB2312"/>
          <w:sz w:val="32"/>
          <w:szCs w:val="32"/>
          <w:highlight w:val="none"/>
          <w:lang w:eastAsia="zh-CN"/>
        </w:rPr>
      </w:pPr>
      <w:r>
        <w:rPr>
          <w:rFonts w:hint="eastAsia" w:ascii="仿宋_GB2312" w:hAnsi="Times New Roman" w:eastAsia="仿宋_GB2312" w:cs="仿宋_GB2312"/>
          <w:spacing w:val="0"/>
          <w:kern w:val="2"/>
          <w:sz w:val="32"/>
          <w:szCs w:val="32"/>
          <w:highlight w:val="none"/>
          <w:shd w:val="clear"/>
          <w:lang w:val="en-US" w:eastAsia="zh-CN" w:bidi="ar"/>
        </w:rPr>
        <w:t>海口江东新区高教科研区（知行片区）配套基础设施项目（变更前名称：知行路项目）业主为海口市恒慧基础建设有限公司（变更前名称：海口江东新区基础建设有限公司），</w:t>
      </w:r>
      <w:r>
        <w:rPr>
          <w:rFonts w:hint="eastAsia" w:ascii="仿宋_GB2312" w:hAnsi="Times New Roman" w:eastAsia="仿宋_GB2312" w:cs="仿宋_GB2312"/>
          <w:sz w:val="32"/>
          <w:szCs w:val="32"/>
          <w:highlight w:val="none"/>
          <w:lang w:bidi="ar"/>
        </w:rPr>
        <w:t>项目位于海口市江东新区，西起桂高二横路，终点东至东寨港大道，设计路线总长约 3.765km，红线宽度</w:t>
      </w:r>
      <w:r>
        <w:rPr>
          <w:rFonts w:hint="eastAsia" w:ascii="仿宋_GB2312" w:hAnsi="Times New Roman" w:eastAsia="仿宋_GB2312" w:cs="仿宋_GB2312"/>
          <w:sz w:val="32"/>
          <w:szCs w:val="32"/>
          <w:highlight w:val="none"/>
          <w:lang w:val="en-US" w:eastAsia="zh-CN" w:bidi="ar"/>
        </w:rPr>
        <w:t>24-</w:t>
      </w:r>
      <w:r>
        <w:rPr>
          <w:rFonts w:hint="eastAsia" w:ascii="仿宋_GB2312" w:hAnsi="Times New Roman" w:eastAsia="仿宋_GB2312" w:cs="仿宋_GB2312"/>
          <w:sz w:val="32"/>
          <w:szCs w:val="32"/>
          <w:highlight w:val="none"/>
          <w:lang w:bidi="ar"/>
        </w:rPr>
        <w:t>30m。主要建设内容包括：道路、交通、桥涵、给水、排水（雨水、污水）、电气（照明、电力）、缆线型管廊及绿化等工程，通信及燃气仅预留管位等。项目总投资59127.81 万元，其中工程费用 30266.43 万元，工程建设其它费用 26818.41 万元（其中土地房屋征收补偿费 23977.89 万元，该费用以辖区政府批复为准，资金使用以市财政局意见为准），预备费 1655.35 万元，建设单位管理费 387.62 万元。该项目</w:t>
      </w:r>
      <w:r>
        <w:rPr>
          <w:rFonts w:hint="eastAsia" w:ascii="仿宋_GB2312" w:hAnsi="Times New Roman" w:eastAsia="仿宋_GB2312" w:cs="仿宋_GB2312"/>
          <w:sz w:val="32"/>
          <w:szCs w:val="32"/>
          <w:highlight w:val="none"/>
          <w:lang w:val="en-US" w:eastAsia="zh-CN" w:bidi="ar"/>
        </w:rPr>
        <w:t>2023年</w:t>
      </w:r>
      <w:r>
        <w:rPr>
          <w:rFonts w:hint="eastAsia" w:ascii="仿宋_GB2312" w:hAnsi="Times New Roman" w:eastAsia="仿宋_GB2312" w:cs="仿宋_GB2312"/>
          <w:sz w:val="32"/>
          <w:szCs w:val="32"/>
          <w:highlight w:val="none"/>
          <w:lang w:bidi="ar"/>
        </w:rPr>
        <w:t>共计获得资金7291.62万元，其中2023年地债资金7100万元，财政部门预算资金191.62万元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该项目总体目标:按工期计划推进项目建设，提交并完成施工工作面1700米。年度绩效目标如下：</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完成施工工作面</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eastAsia="宋体"/>
                <w:sz w:val="24"/>
                <w:highlight w:val="none"/>
              </w:rPr>
              <w:t>1700米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sz w:val="24"/>
                <w:highlight w:val="none"/>
              </w:rPr>
              <w:t>≥</w:t>
            </w:r>
            <w:r>
              <w:rPr>
                <w:rFonts w:hint="eastAsia" w:ascii="宋体" w:hAnsi="宋体"/>
                <w:sz w:val="24"/>
                <w:highlight w:val="none"/>
                <w:lang w:val="en-US" w:eastAsia="zh-CN"/>
              </w:rPr>
              <w:t>1500</w:t>
            </w:r>
            <w:r>
              <w:rPr>
                <w:rFonts w:hint="eastAsia" w:ascii="宋体" w:hAnsi="宋体"/>
                <w:sz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安全事故发生数</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sz w:val="24"/>
                <w:highlight w:val="none"/>
              </w:rPr>
            </w:pPr>
            <w:r>
              <w:rPr>
                <w:rFonts w:hint="eastAsia" w:ascii="宋体" w:hAnsi="宋体" w:eastAsia="宋体"/>
                <w:sz w:val="24"/>
                <w:highlight w:val="none"/>
                <w:lang w:val="en-US" w:eastAsia="zh-CN"/>
              </w:rPr>
              <w:t>=</w:t>
            </w:r>
            <w:r>
              <w:rPr>
                <w:rFonts w:hint="eastAsia" w:ascii="宋体" w:hAnsi="宋体" w:eastAsia="宋体"/>
                <w:sz w:val="24"/>
                <w:highlight w:val="none"/>
              </w:rPr>
              <w:t>0起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w:t>
            </w:r>
            <w:r>
              <w:rPr>
                <w:rFonts w:hint="eastAsia" w:ascii="宋体" w:hAnsi="宋体"/>
                <w:sz w:val="24"/>
                <w:highlight w:val="none"/>
                <w:lang w:val="en-US" w:eastAsia="zh-CN"/>
              </w:rPr>
              <w:t>5</w:t>
            </w:r>
            <w:r>
              <w:rPr>
                <w:rFonts w:hint="eastAsia" w:ascii="宋体" w:hAnsi="宋体"/>
                <w:sz w:val="24"/>
                <w:highlight w:val="none"/>
              </w:rPr>
              <w:t>%</w:t>
            </w:r>
          </w:p>
        </w:tc>
      </w:tr>
    </w:tbl>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sz w:val="32"/>
          <w:szCs w:val="32"/>
          <w:highlight w:val="none"/>
          <w:lang w:val="en-US" w:eastAsia="zh-CN" w:bidi="ar"/>
        </w:rPr>
        <w:t>知行路</w:t>
      </w:r>
      <w:r>
        <w:rPr>
          <w:rFonts w:hint="eastAsia" w:ascii="仿宋_GB2312" w:hAnsi="Times New Roman" w:eastAsia="仿宋_GB2312" w:cs="仿宋_GB2312"/>
          <w:sz w:val="32"/>
          <w:szCs w:val="32"/>
          <w:highlight w:val="none"/>
          <w:lang w:bidi="ar"/>
        </w:rPr>
        <w:t>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本次部门评价坚持运用科学合理的方法，按照规范的程序，对项目绩效进行客观、公正的反映。</w:t>
      </w:r>
    </w:p>
    <w:p>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9"/>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default" w:ascii="宋体" w:hAnsi="宋体" w:eastAsia="宋体"/>
                <w:color w:val="auto"/>
                <w:sz w:val="21"/>
                <w:szCs w:val="21"/>
                <w:lang w:val="en-US" w:eastAsia="zh-CN"/>
              </w:rPr>
              <w:t>固投产值</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99分，评价等次为优，达到了预期设定的项目绩效目标。</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default" w:ascii="宋体" w:hAnsi="宋体" w:eastAsia="宋体"/>
                <w:color w:val="auto"/>
                <w:sz w:val="21"/>
                <w:szCs w:val="21"/>
                <w:lang w:val="en-US" w:eastAsia="zh-CN"/>
              </w:rPr>
              <w:t>固投产值</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c>
          <w:tcPr>
            <w:tcW w:w="72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default" w:ascii="仿宋_GB2312" w:hAnsi="Calibri" w:eastAsia="仿宋_GB2312" w:cs="仿宋_GB2312"/>
          <w:kern w:val="0"/>
          <w:sz w:val="32"/>
          <w:szCs w:val="32"/>
          <w:highlight w:val="none"/>
          <w:lang w:val="en-US" w:eastAsia="zh-CN" w:bidi="ar"/>
        </w:rPr>
        <w:t>项目的实施不仅能完善海口市江东新区的基础设施，改善周边片区当地居民及游客的出行条件，提高片区交通出行效率。同时便捷的交通运输网络和周边景观的营造也将带动片区土地的开发利用，进而促进区域协调发展，对于加快建设</w:t>
      </w:r>
      <w:r>
        <w:rPr>
          <w:rFonts w:hint="eastAsia" w:ascii="仿宋_GB2312" w:hAnsi="Calibri" w:eastAsia="仿宋_GB2312" w:cs="仿宋_GB2312"/>
          <w:kern w:val="0"/>
          <w:sz w:val="32"/>
          <w:szCs w:val="32"/>
          <w:highlight w:val="none"/>
          <w:lang w:val="en-US" w:eastAsia="zh-CN" w:bidi="ar"/>
        </w:rPr>
        <w:t>海南自贸港</w:t>
      </w:r>
      <w:r>
        <w:rPr>
          <w:rFonts w:hint="default" w:ascii="仿宋_GB2312" w:hAnsi="Calibri" w:eastAsia="仿宋_GB2312" w:cs="仿宋_GB2312"/>
          <w:kern w:val="0"/>
          <w:sz w:val="32"/>
          <w:szCs w:val="32"/>
          <w:highlight w:val="none"/>
          <w:lang w:bidi="ar"/>
        </w:rPr>
        <w:t>起到了重要的推动作用</w:t>
      </w:r>
      <w:r>
        <w:rPr>
          <w:rFonts w:hint="eastAsia" w:ascii="仿宋_GB2312" w:hAnsi="Calibri" w:eastAsia="仿宋_GB2312" w:cs="仿宋_GB2312"/>
          <w:kern w:val="0"/>
          <w:sz w:val="32"/>
          <w:szCs w:val="32"/>
          <w:highlight w:val="none"/>
          <w:lang w:eastAsia="zh-CN" w:bidi="ar"/>
        </w:rPr>
        <w:t>。</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pPr>
        <w:keepNext w:val="0"/>
        <w:keepLines w:val="0"/>
        <w:pageBreakBefore w:val="0"/>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年共到位资金7291.62万元，其中2023年地债资金7100万元，财政部门预算资金191.62万元</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截至2023.12.31</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eastAsia="zh-CN"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2023年年底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31</w:t>
      </w:r>
      <w:r>
        <w:rPr>
          <w:rFonts w:hint="eastAsia" w:ascii="仿宋_GB2312" w:hAnsi="仿宋_GB2312" w:eastAsia="仿宋_GB2312" w:cs="仿宋_GB2312"/>
          <w:sz w:val="32"/>
          <w:szCs w:val="32"/>
          <w:highlight w:val="none"/>
        </w:rPr>
        <w:t>%的形象进度。项目完成程度较好，实现了预定预算目标。</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pPr>
        <w:adjustRightInd w:val="0"/>
        <w:snapToGrid w:val="0"/>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知行路的建设是离岸创新创业组团和高教科研组团横向联系的需要，并通过海文南路快速的联系综合服务组团。该区域东西向交通干路较少，仅有一条在建海涛大道，东西方向进行打通，向西连接桂林洋互通，海文南路，进而连接主城区；向东连接东寨港大道，并通过县道X104快速连接海文高速、美兰机场，并且很方便地通往海南环岛高速。项目现阶段正在进行</w:t>
      </w:r>
      <w:r>
        <w:rPr>
          <w:rFonts w:hint="eastAsia" w:ascii="仿宋_GB2312" w:hAnsi="仿宋_GB2312" w:eastAsia="仿宋_GB2312" w:cs="仿宋_GB2312"/>
          <w:sz w:val="32"/>
          <w:szCs w:val="32"/>
          <w:highlight w:val="none"/>
          <w:lang w:val="en-US" w:eastAsia="zh-CN"/>
        </w:rPr>
        <w:t>地下工程</w:t>
      </w:r>
      <w:r>
        <w:rPr>
          <w:rFonts w:hint="eastAsia" w:ascii="仿宋_GB2312" w:hAnsi="仿宋_GB2312" w:eastAsia="仿宋_GB2312" w:cs="仿宋_GB2312"/>
          <w:sz w:val="32"/>
          <w:szCs w:val="32"/>
          <w:highlight w:val="none"/>
        </w:rPr>
        <w:t>施工。</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2CF575"/>
    <w:multiLevelType w:val="singleLevel"/>
    <w:tmpl w:val="E02CF575"/>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1872342"/>
    <w:rsid w:val="02233DF4"/>
    <w:rsid w:val="023A5912"/>
    <w:rsid w:val="02CB6390"/>
    <w:rsid w:val="040B460D"/>
    <w:rsid w:val="04621786"/>
    <w:rsid w:val="05787E8E"/>
    <w:rsid w:val="0626600A"/>
    <w:rsid w:val="06F95DEE"/>
    <w:rsid w:val="08093106"/>
    <w:rsid w:val="08AF5C9C"/>
    <w:rsid w:val="095D2016"/>
    <w:rsid w:val="0A092149"/>
    <w:rsid w:val="0A787E3B"/>
    <w:rsid w:val="0AC273C6"/>
    <w:rsid w:val="0AC94BD1"/>
    <w:rsid w:val="0BD17C84"/>
    <w:rsid w:val="0BDE5F87"/>
    <w:rsid w:val="0DBB40F2"/>
    <w:rsid w:val="0DE47EA0"/>
    <w:rsid w:val="0E9A79D6"/>
    <w:rsid w:val="108E646B"/>
    <w:rsid w:val="111C1707"/>
    <w:rsid w:val="11FB7553"/>
    <w:rsid w:val="126332E8"/>
    <w:rsid w:val="12AB34F1"/>
    <w:rsid w:val="135734FF"/>
    <w:rsid w:val="14B51D19"/>
    <w:rsid w:val="14FA1115"/>
    <w:rsid w:val="154455E1"/>
    <w:rsid w:val="15481788"/>
    <w:rsid w:val="1652225F"/>
    <w:rsid w:val="16630DA5"/>
    <w:rsid w:val="1682257B"/>
    <w:rsid w:val="180C39B2"/>
    <w:rsid w:val="181C40B3"/>
    <w:rsid w:val="190A44B1"/>
    <w:rsid w:val="19263C3A"/>
    <w:rsid w:val="19316574"/>
    <w:rsid w:val="19795372"/>
    <w:rsid w:val="19AA72EE"/>
    <w:rsid w:val="1A67521D"/>
    <w:rsid w:val="1AC1553C"/>
    <w:rsid w:val="1B007691"/>
    <w:rsid w:val="1CB1400C"/>
    <w:rsid w:val="1DBB2B25"/>
    <w:rsid w:val="1E122B23"/>
    <w:rsid w:val="1E312225"/>
    <w:rsid w:val="1E5510E3"/>
    <w:rsid w:val="1F25228A"/>
    <w:rsid w:val="20281024"/>
    <w:rsid w:val="20B5758E"/>
    <w:rsid w:val="23335B9D"/>
    <w:rsid w:val="23EF1B0E"/>
    <w:rsid w:val="247A1B51"/>
    <w:rsid w:val="25317973"/>
    <w:rsid w:val="25900E53"/>
    <w:rsid w:val="27697E47"/>
    <w:rsid w:val="27E81586"/>
    <w:rsid w:val="28B735AC"/>
    <w:rsid w:val="28D81F72"/>
    <w:rsid w:val="292419EF"/>
    <w:rsid w:val="29B57C78"/>
    <w:rsid w:val="2AB57C33"/>
    <w:rsid w:val="2AE457DA"/>
    <w:rsid w:val="2B336677"/>
    <w:rsid w:val="2C192B4A"/>
    <w:rsid w:val="2C8221BC"/>
    <w:rsid w:val="2D7160E8"/>
    <w:rsid w:val="2D9F1EA3"/>
    <w:rsid w:val="2DA417DD"/>
    <w:rsid w:val="2E9826F7"/>
    <w:rsid w:val="30483FA0"/>
    <w:rsid w:val="30BB4EA6"/>
    <w:rsid w:val="3107714D"/>
    <w:rsid w:val="31437427"/>
    <w:rsid w:val="326C58E4"/>
    <w:rsid w:val="340F7934"/>
    <w:rsid w:val="34C8661B"/>
    <w:rsid w:val="350F5FCB"/>
    <w:rsid w:val="35A71FF3"/>
    <w:rsid w:val="35F728BC"/>
    <w:rsid w:val="3714005C"/>
    <w:rsid w:val="37372992"/>
    <w:rsid w:val="37C51992"/>
    <w:rsid w:val="38042CB3"/>
    <w:rsid w:val="38B37090"/>
    <w:rsid w:val="390C1A27"/>
    <w:rsid w:val="3ABA6910"/>
    <w:rsid w:val="3B0A2EB0"/>
    <w:rsid w:val="3B500164"/>
    <w:rsid w:val="3B59178B"/>
    <w:rsid w:val="3BDC45C3"/>
    <w:rsid w:val="3C444B0B"/>
    <w:rsid w:val="3E4B066F"/>
    <w:rsid w:val="3FBB4BCB"/>
    <w:rsid w:val="405D14CB"/>
    <w:rsid w:val="41253788"/>
    <w:rsid w:val="418D0587"/>
    <w:rsid w:val="41B37671"/>
    <w:rsid w:val="41E20923"/>
    <w:rsid w:val="433B06E6"/>
    <w:rsid w:val="435E1F18"/>
    <w:rsid w:val="437C46E2"/>
    <w:rsid w:val="44273DE2"/>
    <w:rsid w:val="449F4DAD"/>
    <w:rsid w:val="44B278BB"/>
    <w:rsid w:val="44B939E4"/>
    <w:rsid w:val="461E0D18"/>
    <w:rsid w:val="464F2DD5"/>
    <w:rsid w:val="467C5C77"/>
    <w:rsid w:val="47C55320"/>
    <w:rsid w:val="49B72F9D"/>
    <w:rsid w:val="49C0331C"/>
    <w:rsid w:val="4AA6125F"/>
    <w:rsid w:val="4B5A13DB"/>
    <w:rsid w:val="4B820499"/>
    <w:rsid w:val="4C1448F5"/>
    <w:rsid w:val="4C625BDA"/>
    <w:rsid w:val="4D2F07A0"/>
    <w:rsid w:val="4D650FE4"/>
    <w:rsid w:val="4DF033CB"/>
    <w:rsid w:val="4DFF0279"/>
    <w:rsid w:val="4E414DDC"/>
    <w:rsid w:val="4E583744"/>
    <w:rsid w:val="4FB54242"/>
    <w:rsid w:val="5150372D"/>
    <w:rsid w:val="52C426C7"/>
    <w:rsid w:val="54A649AE"/>
    <w:rsid w:val="54D85B6D"/>
    <w:rsid w:val="54E47B8F"/>
    <w:rsid w:val="54FE4F3A"/>
    <w:rsid w:val="55A57892"/>
    <w:rsid w:val="578A390E"/>
    <w:rsid w:val="57D636C9"/>
    <w:rsid w:val="59D74C62"/>
    <w:rsid w:val="59E1651D"/>
    <w:rsid w:val="5A3B0856"/>
    <w:rsid w:val="5A4B6F13"/>
    <w:rsid w:val="5A6A79F7"/>
    <w:rsid w:val="5BF510A0"/>
    <w:rsid w:val="5F367622"/>
    <w:rsid w:val="5F3F3404"/>
    <w:rsid w:val="5F905550"/>
    <w:rsid w:val="61394EFD"/>
    <w:rsid w:val="617F6B7B"/>
    <w:rsid w:val="61AB5485"/>
    <w:rsid w:val="62806640"/>
    <w:rsid w:val="63636628"/>
    <w:rsid w:val="63921F13"/>
    <w:rsid w:val="65411CA7"/>
    <w:rsid w:val="65694914"/>
    <w:rsid w:val="67B21E4C"/>
    <w:rsid w:val="68024B96"/>
    <w:rsid w:val="68903265"/>
    <w:rsid w:val="6A893A8D"/>
    <w:rsid w:val="6B657B2B"/>
    <w:rsid w:val="6C02565A"/>
    <w:rsid w:val="6C8B5B44"/>
    <w:rsid w:val="6E6E68A0"/>
    <w:rsid w:val="6EB377AA"/>
    <w:rsid w:val="6F7E6B79"/>
    <w:rsid w:val="6FB6700B"/>
    <w:rsid w:val="701D3C49"/>
    <w:rsid w:val="710022AC"/>
    <w:rsid w:val="725E09BE"/>
    <w:rsid w:val="727437E0"/>
    <w:rsid w:val="74C3652D"/>
    <w:rsid w:val="757F5777"/>
    <w:rsid w:val="764C182F"/>
    <w:rsid w:val="7654409C"/>
    <w:rsid w:val="76A31925"/>
    <w:rsid w:val="7704672F"/>
    <w:rsid w:val="77175582"/>
    <w:rsid w:val="78E4358A"/>
    <w:rsid w:val="791F742A"/>
    <w:rsid w:val="7B2F66D1"/>
    <w:rsid w:val="7B76655D"/>
    <w:rsid w:val="7BBF5BC9"/>
    <w:rsid w:val="7CE205E6"/>
    <w:rsid w:val="7D1D1C9F"/>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unhideWhenUsed/>
    <w:qFormat/>
    <w:uiPriority w:val="99"/>
    <w:pPr>
      <w:ind w:firstLine="420" w:firstLineChars="200"/>
    </w:pPr>
  </w:style>
  <w:style w:type="paragraph" w:styleId="3">
    <w:name w:val="Body Text Indent"/>
    <w:basedOn w:val="1"/>
    <w:autoRedefine/>
    <w:unhideWhenUsed/>
    <w:qFormat/>
    <w:uiPriority w:val="99"/>
    <w:pPr>
      <w:spacing w:after="120"/>
      <w:ind w:left="420" w:leftChars="200"/>
    </w:pPr>
  </w:style>
  <w:style w:type="paragraph" w:styleId="4">
    <w:name w:val="Normal Indent"/>
    <w:basedOn w:val="1"/>
    <w:autoRedefine/>
    <w:qFormat/>
    <w:uiPriority w:val="0"/>
    <w:pPr>
      <w:ind w:firstLine="964"/>
    </w:pPr>
  </w:style>
  <w:style w:type="paragraph" w:styleId="5">
    <w:name w:val="annotation text"/>
    <w:basedOn w:val="1"/>
    <w:autoRedefine/>
    <w:qFormat/>
    <w:uiPriority w:val="0"/>
    <w:pPr>
      <w:jc w:val="left"/>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11">
    <w:name w:val="annotation reference"/>
    <w:basedOn w:val="10"/>
    <w:autoRedefine/>
    <w:qFormat/>
    <w:uiPriority w:val="0"/>
    <w:rPr>
      <w:sz w:val="21"/>
      <w:szCs w:val="21"/>
    </w:rPr>
  </w:style>
  <w:style w:type="character" w:customStyle="1" w:styleId="12">
    <w:name w:val="页眉 字符"/>
    <w:basedOn w:val="10"/>
    <w:link w:val="7"/>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1909</Words>
  <Characters>2030</Characters>
  <Lines>1</Lines>
  <Paragraphs>1</Paragraphs>
  <TotalTime>1</TotalTime>
  <ScaleCrop>false</ScaleCrop>
  <LinksUpToDate>false</LinksUpToDate>
  <CharactersWithSpaces>2031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清风拂柳</cp:lastModifiedBy>
  <dcterms:modified xsi:type="dcterms:W3CDTF">2024-05-08T15:14:19Z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AD93727BFAB14FC7831A489EB4202833</vt:lpwstr>
  </property>
</Properties>
</file>