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225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3"/>
          <w:szCs w:val="43"/>
          <w:highlight w:val="none"/>
        </w:rPr>
      </w:pPr>
      <w:r>
        <w:rPr>
          <w:rStyle w:val="16"/>
          <w:rFonts w:hint="eastAsia" w:ascii="宋体" w:hAnsi="宋体" w:eastAsia="宋体" w:cs="宋体"/>
          <w:b/>
          <w:bCs w:val="0"/>
          <w:color w:val="auto"/>
          <w:sz w:val="43"/>
          <w:szCs w:val="43"/>
          <w:highlight w:val="none"/>
        </w:rPr>
        <w:t>海口江东新区管理局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225"/>
        <w:jc w:val="center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Style w:val="16"/>
          <w:rFonts w:hint="eastAsia" w:ascii="宋体" w:hAnsi="宋体" w:eastAsia="宋体" w:cs="宋体"/>
          <w:b/>
          <w:bCs w:val="0"/>
          <w:color w:val="auto"/>
          <w:sz w:val="43"/>
          <w:szCs w:val="43"/>
          <w:highlight w:val="none"/>
        </w:rPr>
        <w:t>项目支出绩效自评报告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555"/>
        <w:textAlignment w:val="auto"/>
        <w:rPr>
          <w:rFonts w:hint="eastAsia" w:ascii="仿宋_GB2312" w:hAnsi="宋体" w:eastAsia="仿宋_GB2312" w:cs="仿宋_GB2312"/>
          <w:color w:val="auto"/>
          <w:kern w:val="0"/>
          <w:sz w:val="31"/>
          <w:szCs w:val="31"/>
          <w:highlight w:val="none"/>
          <w:lang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20" w:firstLineChars="200"/>
        <w:jc w:val="both"/>
        <w:textAlignment w:val="auto"/>
        <w:rPr>
          <w:rFonts w:hint="eastAsia" w:ascii="宋体" w:hAnsi="宋体" w:eastAsia="黑体" w:cs="宋体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黑体" w:hAnsi="宋体" w:eastAsia="黑体" w:cs="黑体"/>
          <w:color w:val="auto"/>
          <w:kern w:val="0"/>
          <w:sz w:val="31"/>
          <w:szCs w:val="31"/>
          <w:highlight w:val="none"/>
        </w:rPr>
        <w:t>一、项目概况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（一）项目基本情况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default" w:ascii="宋体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</w:rPr>
        <w:t>该项目为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综合事务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</w:rPr>
        <w:t>，属于海口江东新区管理局（以下简称“江东管理局”）的部门项目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项目资金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主要用于单位日常运转的保障性综合事务支出，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包括人员经费、办公费、水电费、物业管理费、宣传费、租赁费等。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default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</w:rPr>
        <w:t>在项目实施过程，经市财政局批准，江东管理局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对预算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和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</w:rPr>
        <w:t>政府支出经济分类进行调整，共调整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1525.74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</w:rPr>
        <w:t>万元政府支出经济分类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</w:rPr>
        <w:t>用于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政府投资项目。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宋体" w:hAnsi="宋体" w:eastAsia="楷体_GB2312" w:cs="宋体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（二）项目年度预算绩效目标和绩效指标设定情况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该项目2023年年度目标是保障江东管理局正常运转，各项工作有序开展。截至2023年底，项目顺利实现预期目标。详见《项目支出绩效自评表》。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黑体" w:hAnsi="宋体" w:eastAsia="黑体" w:cs="黑体"/>
          <w:color w:val="auto"/>
          <w:kern w:val="0"/>
          <w:sz w:val="31"/>
          <w:szCs w:val="31"/>
          <w:highlight w:val="none"/>
        </w:rPr>
        <w:t>二、项目决策及资金使用管理情况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（一）项目决策情况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该项目已经江东管理局2022年第18次局党委会审批同意实施。</w:t>
      </w:r>
    </w:p>
    <w:p>
      <w:pPr>
        <w:pStyle w:val="1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6"/>
        <w:jc w:val="both"/>
        <w:textAlignment w:val="auto"/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（二）项目资金安排落实、总投入等情况</w:t>
      </w:r>
    </w:p>
    <w:p>
      <w:pPr>
        <w:pStyle w:val="1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6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该项目2023年年初预算数为8855.24万元，市财政局收回指标5万元，江东管理局调出1525.74万元到政府投资项目，调整后项目全年预算数为7324.5万元，当年实际到位7324.5万元，资金到位率100%。项目资金为财政拨款资金。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（三）项目资金实际使用情况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截至2023年底，该项目使用资金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7323.77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万元，剩余0.73万元，执行率接近100%。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（四）项目资金管理情况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default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2023年，江东管理局对《财务管理办法（试行）》进行修订并予以印发，进一步加强财务管理和监督，确保项目顺利实施，取得明显成效。项目资金支付严格履行审批程序，使用规范，会计核算结果真实、准确。此次绩效评价过程中未发现挤占或挪用项目资金的情况。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黑体" w:hAnsi="宋体" w:eastAsia="黑体" w:cs="黑体"/>
          <w:color w:val="auto"/>
          <w:kern w:val="0"/>
          <w:sz w:val="31"/>
          <w:szCs w:val="31"/>
          <w:highlight w:val="none"/>
        </w:rPr>
        <w:t>三、项目组织实施情况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（一）项目组织情况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该项目属于经常性项目，由江东管理局自行组织实施。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（二）项目管理情况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项目结合江东管理局日常运转实际需要实施。财务部门定期跟踪项目预算执行情况，及时反馈给局属其他部门，督促用好各项支出预算安排。根据国家和省市相关规定，加强财务规范化管理，不以任何理由虚列，也不超标准开支，资金支出严格按照财务规定执行。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黑体" w:hAnsi="宋体" w:eastAsia="黑体" w:cs="黑体"/>
          <w:color w:val="auto"/>
          <w:kern w:val="0"/>
          <w:sz w:val="31"/>
          <w:szCs w:val="31"/>
          <w:highlight w:val="none"/>
        </w:rPr>
        <w:t>四、项目绩效情况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（一）项目绩效目标完成情况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</w:rPr>
        <w:t>1.项目的经济性分析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（1）项目成本（预算）控制情况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该项目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预算金额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7324.5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万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元，当年支出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7323.77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项目实施过程中严格按照项目预算科目及有关政策规定进行支付，项目总体未超支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（2）项目成本（预算）节约情况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outlineLvl w:val="0"/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项目预算严格按照标准执行，无超标准情况。执行过程严格控制成本，项目支出成效明显。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outlineLvl w:val="0"/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</w:rPr>
        <w:t>2.项目的效率性分析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（1）项目的实施进度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江东管理局实施严格的项目管理。该项目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预算金额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7324.5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万元，当年累计支出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7323.77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万元，结余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0.73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万元，项目支出进度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接近100%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（2）项目完成质量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outlineLvl w:val="0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江东管理局项目控制管理机制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完善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，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有效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规避了项目风险，项目完成质量较好。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outlineLvl w:val="0"/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</w:rPr>
        <w:t>3.项目的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</w:rPr>
        <w:t>有效性分析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outlineLvl w:val="0"/>
        <w:rPr>
          <w:rFonts w:hint="default" w:ascii="仿宋_GB2312" w:eastAsia="仿宋_GB2312" w:cs="仿宋_GB2312"/>
          <w:color w:val="auto"/>
          <w:kern w:val="0"/>
          <w:sz w:val="32"/>
          <w:szCs w:val="32"/>
          <w:highlight w:val="none"/>
          <w:lang w:val="en-US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该项目保障了单位工作人员薪酬、办公经费等资金的拨付，为本单位工作职能的顺利完成提供了后勤保证。组织7场招商推介会，加大江东新区宣传力度，地区税收收入和人口规模完成年度目标。总体来看，项目产出与成效目标完成度较好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outlineLvl w:val="0"/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</w:rPr>
        <w:t>4.项目的可持续性分析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outlineLvl w:val="0"/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该项目为经常性项目，随着园区发展建设的推进，需要加大项目资金投入和日常管理力度。项目经费列入年度财政预算，严格项目管理和支出，确保财政资金效益的最大化，实现项目的可持续性发展。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黑体" w:hAnsi="宋体" w:eastAsia="黑体" w:cs="黑体"/>
          <w:color w:val="auto"/>
          <w:kern w:val="0"/>
          <w:sz w:val="31"/>
          <w:szCs w:val="31"/>
          <w:highlight w:val="none"/>
        </w:rPr>
        <w:t>五、其他需要说明的问题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（一）后续工作计划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outlineLvl w:val="0"/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持续深化预算管理，及时跟踪预算执行情况，采取有效措施提高资金支出效率。</w:t>
      </w:r>
    </w:p>
    <w:p>
      <w:pPr>
        <w:pStyle w:val="1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576" w:lineRule="exact"/>
        <w:ind w:left="0" w:firstLine="645"/>
        <w:jc w:val="both"/>
        <w:textAlignment w:val="auto"/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（二）其他需说明的问题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N/>
        <w:bidi w:val="0"/>
        <w:adjustRightInd/>
        <w:snapToGrid/>
        <w:spacing w:beforeAutospacing="0" w:afterAutospacing="0" w:line="576" w:lineRule="exact"/>
        <w:ind w:left="0" w:firstLine="640" w:firstLineChars="200"/>
        <w:jc w:val="both"/>
        <w:textAlignment w:val="auto"/>
        <w:outlineLvl w:val="0"/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无。</w:t>
      </w:r>
      <w:bookmarkStart w:id="0" w:name="_GoBack"/>
      <w:bookmarkEnd w:id="0"/>
    </w:p>
    <w:sectPr>
      <w:footerReference r:id="rId4" w:type="default"/>
      <w:pgSz w:w="11906" w:h="16839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widowControl/>
      <w:suppressLineNumbers w:val="0"/>
      <w:rPr>
        <w:rFonts w:hint="eastAsia" w:ascii="宋体" w:hAnsi="宋体" w:eastAsia="宋体" w:cs="宋体"/>
        <w:kern w:val="0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7"/>
  <w:displayHorizontalDrawingGridEvery w:val="0"/>
  <w:displayVerticalDrawingGridEvery w:val="2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3YzMyNzYzMjVjMWJmOGE2MDgxZTQ4ZDk2NzAxNzYifQ=="/>
  </w:docVars>
  <w:rsids>
    <w:rsidRoot w:val="00000000"/>
    <w:rsid w:val="016D4991"/>
    <w:rsid w:val="07750484"/>
    <w:rsid w:val="0A652FF1"/>
    <w:rsid w:val="0C2E3F99"/>
    <w:rsid w:val="0D50069F"/>
    <w:rsid w:val="0FFC7994"/>
    <w:rsid w:val="105251AB"/>
    <w:rsid w:val="144B2C98"/>
    <w:rsid w:val="14C94C68"/>
    <w:rsid w:val="1B7E181D"/>
    <w:rsid w:val="1F955387"/>
    <w:rsid w:val="1FEB7675"/>
    <w:rsid w:val="212164B6"/>
    <w:rsid w:val="21AB672A"/>
    <w:rsid w:val="224D5866"/>
    <w:rsid w:val="225B4E09"/>
    <w:rsid w:val="22F43BF4"/>
    <w:rsid w:val="234275D4"/>
    <w:rsid w:val="24445966"/>
    <w:rsid w:val="27E8534C"/>
    <w:rsid w:val="2B077A81"/>
    <w:rsid w:val="2B3202B6"/>
    <w:rsid w:val="2CD27351"/>
    <w:rsid w:val="2CD535EF"/>
    <w:rsid w:val="2D44727B"/>
    <w:rsid w:val="2DB65776"/>
    <w:rsid w:val="2E98722B"/>
    <w:rsid w:val="33B91B34"/>
    <w:rsid w:val="33ED2991"/>
    <w:rsid w:val="3CF8135F"/>
    <w:rsid w:val="3F67024B"/>
    <w:rsid w:val="4054605B"/>
    <w:rsid w:val="40A74AC3"/>
    <w:rsid w:val="42471B37"/>
    <w:rsid w:val="48176F3C"/>
    <w:rsid w:val="48806059"/>
    <w:rsid w:val="48A712BD"/>
    <w:rsid w:val="4BF24AD1"/>
    <w:rsid w:val="4C076A44"/>
    <w:rsid w:val="54DE0FA3"/>
    <w:rsid w:val="56525250"/>
    <w:rsid w:val="56E11927"/>
    <w:rsid w:val="58195E4E"/>
    <w:rsid w:val="5BA46B1A"/>
    <w:rsid w:val="632E4AA8"/>
    <w:rsid w:val="644A6A0A"/>
    <w:rsid w:val="68CD2DF1"/>
    <w:rsid w:val="69EA4DEB"/>
    <w:rsid w:val="6B803DC2"/>
    <w:rsid w:val="6C465394"/>
    <w:rsid w:val="70F253FE"/>
    <w:rsid w:val="71F028B6"/>
    <w:rsid w:val="73D32C53"/>
    <w:rsid w:val="74254390"/>
    <w:rsid w:val="743E2DF5"/>
    <w:rsid w:val="7616035B"/>
    <w:rsid w:val="77636B63"/>
    <w:rsid w:val="77E84690"/>
    <w:rsid w:val="7D356F30"/>
    <w:rsid w:val="7E3F39F1"/>
    <w:rsid w:val="7F83035F"/>
    <w:rsid w:val="7FF656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unhideWhenUsed/>
    <w:qFormat/>
    <w:uiPriority w:val="99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4">
    <w:name w:val="Default Paragraph Font"/>
    <w:semiHidden/>
    <w:unhideWhenUsed/>
    <w:qFormat/>
    <w:uiPriority w:val="99"/>
  </w:style>
  <w:style w:type="table" w:default="1" w:styleId="1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footer"/>
    <w:basedOn w:val="1"/>
    <w:qFormat/>
    <w:uiPriority w:val="0"/>
    <w:pPr>
      <w:snapToGrid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18"/>
      <w:szCs w:val="18"/>
      <w:lang w:val="en-US" w:eastAsia="zh-CN" w:bidi="ar"/>
    </w:rPr>
  </w:style>
  <w:style w:type="paragraph" w:styleId="10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napToGrid w:val="0"/>
      <w:spacing w:before="0" w:beforeAutospacing="0" w:after="0" w:afterAutospacing="0"/>
      <w:ind w:left="0" w:right="0"/>
      <w:jc w:val="both"/>
    </w:pPr>
    <w:rPr>
      <w:rFonts w:hint="eastAsia" w:ascii="宋体" w:hAnsi="宋体" w:eastAsia="宋体" w:cs="宋体"/>
      <w:kern w:val="0"/>
      <w:sz w:val="18"/>
      <w:szCs w:val="18"/>
      <w:lang w:val="en-US" w:eastAsia="zh-CN" w:bidi="ar"/>
    </w:rPr>
  </w:style>
  <w:style w:type="paragraph" w:styleId="11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5">
    <w:name w:val="普通(网站) Char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6">
    <w:name w:val="15"/>
    <w:basedOn w:val="14"/>
    <w:qFormat/>
    <w:uiPriority w:val="0"/>
    <w:rPr>
      <w:rFonts w:hint="default" w:ascii="Times New Roman" w:hAnsi="Times New Roman" w:cs="Times New Roman"/>
      <w:b/>
    </w:rPr>
  </w:style>
  <w:style w:type="paragraph" w:customStyle="1" w:styleId="17">
    <w:name w:val="HTML 预设格式 Char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8">
    <w:name w:val="10"/>
    <w:basedOn w:val="14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1381</Words>
  <Characters>1498</Characters>
  <Lines>1</Lines>
  <Paragraphs>1</Paragraphs>
  <TotalTime>2</TotalTime>
  <ScaleCrop>false</ScaleCrop>
  <LinksUpToDate>false</LinksUpToDate>
  <CharactersWithSpaces>1498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2022-07-06T10:19:00Z</dcterms:created>
  <dc:creator>006</dc:creator>
  <cp:lastModifiedBy>美南</cp:lastModifiedBy>
  <dcterms:modified xsi:type="dcterms:W3CDTF">2024-04-25T01:49:33Z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AFACBF05DAD6479A9E39F281CB278D26</vt:lpwstr>
  </property>
</Properties>
</file>