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rPr>
          <w:rFonts w:ascii="方正小标宋简体" w:eastAsia="方正小标宋简体"/>
          <w:color w:val="auto"/>
          <w:sz w:val="40"/>
          <w:szCs w:val="40"/>
        </w:rPr>
      </w:pPr>
      <w:r>
        <w:rPr>
          <w:rFonts w:hint="eastAsia" w:ascii="方正小标宋简体" w:eastAsia="方正小标宋简体"/>
          <w:color w:val="auto"/>
          <w:sz w:val="40"/>
          <w:szCs w:val="40"/>
        </w:rPr>
        <w:t>美兰机场路东延伸段一期工程</w:t>
      </w:r>
    </w:p>
    <w:p>
      <w:pPr>
        <w:pStyle w:val="8"/>
        <w:ind w:firstLine="0" w:firstLineChars="0"/>
        <w:rPr>
          <w:rFonts w:ascii="方正小标宋简体" w:eastAsia="方正小标宋简体"/>
          <w:color w:val="auto"/>
          <w:sz w:val="40"/>
          <w:szCs w:val="40"/>
        </w:rPr>
      </w:pPr>
      <w:r>
        <w:rPr>
          <w:rFonts w:hint="eastAsia" w:ascii="方正小标宋简体" w:eastAsia="方正小标宋简体"/>
          <w:color w:val="auto"/>
          <w:sz w:val="40"/>
          <w:szCs w:val="40"/>
        </w:rPr>
        <w:t>2</w:t>
      </w:r>
      <w:r>
        <w:rPr>
          <w:rFonts w:ascii="方正小标宋简体" w:eastAsia="方正小标宋简体"/>
          <w:color w:val="auto"/>
          <w:sz w:val="40"/>
          <w:szCs w:val="40"/>
        </w:rPr>
        <w:t>02</w:t>
      </w:r>
      <w:r>
        <w:rPr>
          <w:rFonts w:hint="eastAsia" w:ascii="方正小标宋简体" w:eastAsia="方正小标宋简体"/>
          <w:color w:val="auto"/>
          <w:sz w:val="40"/>
          <w:szCs w:val="40"/>
          <w:lang w:val="en-US" w:eastAsia="zh-CN"/>
        </w:rPr>
        <w:t>3</w:t>
      </w:r>
      <w:r>
        <w:rPr>
          <w:rFonts w:hint="eastAsia" w:ascii="方正小标宋简体" w:eastAsia="方正小标宋简体"/>
          <w:color w:val="auto"/>
          <w:sz w:val="40"/>
          <w:szCs w:val="40"/>
        </w:rPr>
        <w:t>年度绩效自评报告</w:t>
      </w:r>
    </w:p>
    <w:p>
      <w:pPr>
        <w:ind w:firstLine="0" w:firstLineChars="0"/>
        <w:rPr>
          <w:rFonts w:hint="eastAsia" w:eastAsia="仿宋_GB2312"/>
          <w:color w:val="auto"/>
          <w:lang w:eastAsia="zh-CN"/>
        </w:rPr>
      </w:pPr>
    </w:p>
    <w:p>
      <w:pPr>
        <w:pStyle w:val="3"/>
        <w:spacing w:line="500" w:lineRule="exact"/>
        <w:rPr>
          <w:color w:val="auto"/>
        </w:rPr>
      </w:pPr>
      <w:r>
        <w:rPr>
          <w:rFonts w:hint="eastAsia"/>
          <w:color w:val="auto"/>
        </w:rPr>
        <w:t>一、基本情况</w:t>
      </w:r>
    </w:p>
    <w:p>
      <w:pPr>
        <w:pStyle w:val="3"/>
        <w:spacing w:line="500" w:lineRule="exact"/>
        <w:rPr>
          <w:rFonts w:hint="default" w:eastAsia="黑体"/>
          <w:color w:val="auto"/>
          <w:lang w:val="en-US" w:eastAsia="zh-CN"/>
        </w:rPr>
      </w:pPr>
      <w:r>
        <w:rPr>
          <w:rFonts w:hint="eastAsia"/>
          <w:color w:val="auto"/>
        </w:rPr>
        <w:t>（一）项目概况</w:t>
      </w:r>
    </w:p>
    <w:p>
      <w:pPr>
        <w:spacing w:line="500" w:lineRule="exact"/>
        <w:rPr>
          <w:rFonts w:hint="eastAsia" w:ascii="仿宋" w:hAnsi="仿宋" w:eastAsia="仿宋_GB2312" w:cs="仿宋"/>
          <w:color w:val="auto"/>
          <w:szCs w:val="32"/>
          <w:lang w:eastAsia="zh-CN"/>
        </w:rPr>
      </w:pPr>
      <w:r>
        <w:rPr>
          <w:rFonts w:hint="eastAsia" w:ascii="Times New Roman" w:hAnsi="Times New Roman" w:eastAsia="仿宋_GB2312" w:cs="Times New Roman"/>
          <w:color w:val="auto"/>
          <w:kern w:val="2"/>
          <w:sz w:val="32"/>
          <w:szCs w:val="32"/>
          <w:lang w:val="en-US" w:eastAsia="zh-CN" w:bidi="ar"/>
        </w:rPr>
        <w:t>美兰机场路东延伸段一期工程项目业主为海口市路桥建设投资有限公司，</w:t>
      </w:r>
      <w:r>
        <w:rPr>
          <w:rFonts w:hint="eastAsia" w:ascii="仿宋_GB2312" w:hAnsi="Times New Roman" w:eastAsia="仿宋_GB2312" w:cs="仿宋_GB2312"/>
          <w:color w:val="auto"/>
          <w:kern w:val="2"/>
          <w:sz w:val="32"/>
          <w:szCs w:val="32"/>
          <w:lang w:val="en-US" w:eastAsia="zh-CN" w:bidi="ar"/>
        </w:rPr>
        <w:t>项目位于海南省海口市临空经济区规划范围东侧，整体呈东西走向，是连接临云互通和林田大道的主要通道，规划线位平行布设于东环铁路南侧，起于临云互通项目设计终点（K2+200），止于林田大道以东（K3+020），沿线与云美东三路、林田大道（地面辅路）平面交叉，路线长度为0.82Km，项目规划红线宽度为48m，设计等级为城市主干路。建设内容包括道路工程、交通工程、给排水工程、绿化工程、照明工程及电力管沟工程等</w:t>
      </w:r>
      <w:r>
        <w:rPr>
          <w:rFonts w:hint="eastAsia" w:ascii="Times New Roman" w:hAnsi="Times New Roman" w:eastAsia="仿宋_GB2312" w:cs="Times New Roman"/>
          <w:color w:val="auto"/>
          <w:kern w:val="2"/>
          <w:sz w:val="32"/>
          <w:szCs w:val="32"/>
          <w:lang w:val="en-US" w:eastAsia="zh-CN" w:bidi="ar"/>
        </w:rPr>
        <w:t>。</w:t>
      </w:r>
      <w:r>
        <w:rPr>
          <w:rFonts w:hint="eastAsia"/>
          <w:color w:val="auto"/>
        </w:rPr>
        <w:t>项目概算总投资为</w:t>
      </w:r>
      <w:r>
        <w:rPr>
          <w:rFonts w:hint="eastAsia" w:cs="仿宋_GB2312"/>
          <w:color w:val="auto"/>
          <w:kern w:val="2"/>
          <w:sz w:val="32"/>
          <w:szCs w:val="32"/>
          <w:lang w:val="en-US" w:eastAsia="zh-CN" w:bidi="ar"/>
        </w:rPr>
        <w:t>7007.12</w:t>
      </w:r>
      <w:r>
        <w:rPr>
          <w:rFonts w:hint="eastAsia"/>
          <w:color w:val="auto"/>
        </w:rPr>
        <w:t>万元</w:t>
      </w:r>
      <w:r>
        <w:rPr>
          <w:rFonts w:hint="eastAsia"/>
          <w:color w:val="auto"/>
          <w:lang w:eastAsia="zh-CN"/>
        </w:rPr>
        <w:t>。</w:t>
      </w:r>
    </w:p>
    <w:p>
      <w:pPr>
        <w:pStyle w:val="3"/>
        <w:spacing w:line="500" w:lineRule="exact"/>
        <w:rPr>
          <w:color w:val="auto"/>
        </w:rPr>
      </w:pPr>
      <w:r>
        <w:rPr>
          <w:rFonts w:hint="eastAsia"/>
          <w:color w:val="auto"/>
        </w:rPr>
        <w:t>（二）项目资金情况。</w:t>
      </w:r>
    </w:p>
    <w:p>
      <w:pPr>
        <w:rPr>
          <w:color w:val="auto"/>
        </w:rPr>
      </w:pPr>
      <w:r>
        <w:rPr>
          <w:rFonts w:hint="eastAsia" w:ascii="Times New Roman" w:hAnsi="Times New Roman" w:eastAsia="仿宋_GB2312" w:cs="Times New Roman"/>
          <w:color w:val="auto"/>
          <w:kern w:val="2"/>
          <w:sz w:val="32"/>
          <w:szCs w:val="32"/>
          <w:lang w:val="en-US" w:eastAsia="zh-CN" w:bidi="ar"/>
        </w:rPr>
        <w:t>该项目202</w:t>
      </w:r>
      <w:r>
        <w:rPr>
          <w:rFonts w:hint="eastAsia" w:ascii="Times New Roman" w:cs="Times New Roman"/>
          <w:color w:val="auto"/>
          <w:kern w:val="2"/>
          <w:sz w:val="32"/>
          <w:szCs w:val="32"/>
          <w:lang w:val="en-US" w:eastAsia="zh-CN" w:bidi="ar"/>
        </w:rPr>
        <w:t>3</w:t>
      </w:r>
      <w:r>
        <w:rPr>
          <w:rFonts w:hint="eastAsia" w:ascii="Times New Roman" w:hAnsi="Times New Roman" w:eastAsia="仿宋_GB2312" w:cs="Times New Roman"/>
          <w:color w:val="auto"/>
          <w:kern w:val="2"/>
          <w:sz w:val="32"/>
          <w:szCs w:val="32"/>
          <w:lang w:val="en-US" w:eastAsia="zh-CN" w:bidi="ar"/>
        </w:rPr>
        <w:t>年共到位资金</w:t>
      </w:r>
      <w:r>
        <w:rPr>
          <w:rFonts w:hint="eastAsia" w:ascii="Times New Roman" w:cs="Times New Roman"/>
          <w:color w:val="auto"/>
          <w:kern w:val="2"/>
          <w:sz w:val="32"/>
          <w:szCs w:val="32"/>
          <w:lang w:val="en-US" w:eastAsia="zh-CN" w:bidi="ar"/>
        </w:rPr>
        <w:t>1300</w:t>
      </w:r>
      <w:r>
        <w:rPr>
          <w:rFonts w:hint="eastAsia" w:ascii="Times New Roman" w:hAnsi="Times New Roman" w:eastAsia="仿宋_GB2312" w:cs="Times New Roman"/>
          <w:color w:val="auto"/>
          <w:kern w:val="2"/>
          <w:sz w:val="32"/>
          <w:szCs w:val="32"/>
          <w:lang w:val="en-US" w:eastAsia="zh-CN" w:bidi="ar"/>
        </w:rPr>
        <w:t>万元，</w:t>
      </w:r>
      <w:r>
        <w:rPr>
          <w:rFonts w:hint="eastAsia" w:ascii="Times New Roman" w:cs="Times New Roman"/>
          <w:color w:val="auto"/>
          <w:kern w:val="2"/>
          <w:sz w:val="32"/>
          <w:szCs w:val="32"/>
          <w:lang w:val="en-US" w:eastAsia="zh-CN" w:bidi="ar"/>
        </w:rPr>
        <w:t>其中1300万元</w:t>
      </w:r>
      <w:r>
        <w:rPr>
          <w:rFonts w:hint="eastAsia" w:ascii="Times New Roman" w:hAnsi="Times New Roman" w:eastAsia="仿宋_GB2312" w:cs="Times New Roman"/>
          <w:color w:val="auto"/>
          <w:kern w:val="2"/>
          <w:sz w:val="32"/>
          <w:szCs w:val="32"/>
          <w:lang w:val="en-US" w:eastAsia="zh-CN" w:bidi="ar"/>
        </w:rPr>
        <w:t>为地债资金。</w:t>
      </w:r>
    </w:p>
    <w:p>
      <w:pPr>
        <w:pStyle w:val="3"/>
        <w:spacing w:line="500" w:lineRule="exact"/>
        <w:rPr>
          <w:color w:val="auto"/>
        </w:rPr>
      </w:pPr>
      <w:r>
        <w:rPr>
          <w:rFonts w:hint="eastAsia"/>
          <w:color w:val="auto"/>
        </w:rPr>
        <w:t>二、绩效目标完成情况分析</w:t>
      </w:r>
    </w:p>
    <w:p>
      <w:pPr>
        <w:pStyle w:val="3"/>
        <w:spacing w:line="500" w:lineRule="exact"/>
        <w:rPr>
          <w:color w:val="auto"/>
        </w:rPr>
      </w:pPr>
      <w:r>
        <w:rPr>
          <w:rFonts w:hint="eastAsia"/>
          <w:color w:val="auto"/>
        </w:rPr>
        <w:t>（一）资金情况分析。</w:t>
      </w:r>
    </w:p>
    <w:p>
      <w:pPr>
        <w:rPr>
          <w:rFonts w:hint="eastAsia" w:ascii="Times New Roman" w:hAnsi="Times New Roman" w:eastAsia="仿宋_GB2312" w:cs="Times New Roman"/>
          <w:color w:val="auto"/>
          <w:kern w:val="2"/>
          <w:sz w:val="32"/>
          <w:szCs w:val="32"/>
          <w:lang w:val="en-US" w:eastAsia="zh-CN" w:bidi="ar"/>
        </w:rPr>
      </w:pPr>
      <w:r>
        <w:rPr>
          <w:rFonts w:hint="eastAsia" w:ascii="Times New Roman" w:hAnsi="Times New Roman" w:eastAsia="仿宋_GB2312" w:cs="Times New Roman"/>
          <w:color w:val="auto"/>
          <w:kern w:val="2"/>
          <w:sz w:val="32"/>
          <w:szCs w:val="32"/>
          <w:lang w:val="en-US" w:eastAsia="zh-CN" w:bidi="ar"/>
        </w:rPr>
        <w:t>该项目202</w:t>
      </w:r>
      <w:r>
        <w:rPr>
          <w:rFonts w:hint="eastAsia" w:ascii="Times New Roman" w:cs="Times New Roman"/>
          <w:color w:val="auto"/>
          <w:kern w:val="2"/>
          <w:sz w:val="32"/>
          <w:szCs w:val="32"/>
          <w:lang w:val="en-US" w:eastAsia="zh-CN" w:bidi="ar"/>
        </w:rPr>
        <w:t>3</w:t>
      </w:r>
      <w:r>
        <w:rPr>
          <w:rFonts w:hint="eastAsia" w:ascii="Times New Roman" w:hAnsi="Times New Roman" w:eastAsia="仿宋_GB2312" w:cs="Times New Roman"/>
          <w:color w:val="auto"/>
          <w:kern w:val="2"/>
          <w:sz w:val="32"/>
          <w:szCs w:val="32"/>
          <w:lang w:val="en-US" w:eastAsia="zh-CN" w:bidi="ar"/>
        </w:rPr>
        <w:t>年共到位资金</w:t>
      </w:r>
      <w:r>
        <w:rPr>
          <w:rFonts w:hint="eastAsia" w:ascii="Times New Roman" w:cs="Times New Roman"/>
          <w:color w:val="auto"/>
          <w:kern w:val="2"/>
          <w:sz w:val="32"/>
          <w:szCs w:val="32"/>
          <w:lang w:val="en-US" w:eastAsia="zh-CN" w:bidi="ar"/>
        </w:rPr>
        <w:t>1300</w:t>
      </w:r>
      <w:r>
        <w:rPr>
          <w:rFonts w:hint="eastAsia" w:ascii="Times New Roman" w:hAnsi="Times New Roman" w:eastAsia="仿宋_GB2312" w:cs="Times New Roman"/>
          <w:color w:val="auto"/>
          <w:kern w:val="2"/>
          <w:sz w:val="32"/>
          <w:szCs w:val="32"/>
          <w:lang w:val="en-US" w:eastAsia="zh-CN" w:bidi="ar"/>
        </w:rPr>
        <w:t>万元，</w:t>
      </w:r>
      <w:r>
        <w:rPr>
          <w:rFonts w:hint="eastAsia" w:ascii="Times New Roman" w:cs="Times New Roman"/>
          <w:color w:val="auto"/>
          <w:kern w:val="2"/>
          <w:sz w:val="32"/>
          <w:szCs w:val="32"/>
          <w:lang w:val="en-US" w:eastAsia="zh-CN" w:bidi="ar"/>
        </w:rPr>
        <w:t>其中1300万元</w:t>
      </w:r>
      <w:r>
        <w:rPr>
          <w:rFonts w:hint="eastAsia" w:ascii="Times New Roman" w:hAnsi="Times New Roman" w:eastAsia="仿宋_GB2312" w:cs="Times New Roman"/>
          <w:color w:val="auto"/>
          <w:kern w:val="2"/>
          <w:sz w:val="32"/>
          <w:szCs w:val="32"/>
          <w:lang w:val="en-US" w:eastAsia="zh-CN" w:bidi="ar"/>
        </w:rPr>
        <w:t>为地债资金。在项目资金使用上，</w:t>
      </w:r>
      <w:r>
        <w:rPr>
          <w:rFonts w:hint="eastAsia" w:ascii="Times New Roman" w:cs="Times New Roman"/>
          <w:color w:val="auto"/>
          <w:kern w:val="2"/>
          <w:sz w:val="32"/>
          <w:szCs w:val="32"/>
          <w:lang w:val="en-US" w:eastAsia="zh-CN" w:bidi="ar"/>
        </w:rPr>
        <w:t>行业主管、业主</w:t>
      </w:r>
      <w:r>
        <w:rPr>
          <w:rFonts w:hint="eastAsia" w:ascii="Times New Roman" w:hAnsi="Times New Roman" w:eastAsia="仿宋_GB2312" w:cs="Times New Roman"/>
          <w:color w:val="auto"/>
          <w:kern w:val="2"/>
          <w:sz w:val="32"/>
          <w:szCs w:val="32"/>
          <w:lang w:val="en-US" w:eastAsia="zh-CN" w:bidi="ar"/>
        </w:rPr>
        <w:t>单位严格执行政府投资项目和资金管理办法，严格落实资金审批程序，加快资金拨付，全面保障项目建设资金用款需要。</w:t>
      </w:r>
    </w:p>
    <w:p>
      <w:pPr>
        <w:pStyle w:val="3"/>
        <w:numPr>
          <w:ilvl w:val="0"/>
          <w:numId w:val="1"/>
        </w:numPr>
        <w:spacing w:line="500" w:lineRule="exact"/>
        <w:rPr>
          <w:color w:val="auto"/>
        </w:rPr>
      </w:pPr>
      <w:r>
        <w:rPr>
          <w:rFonts w:hint="eastAsia"/>
          <w:color w:val="auto"/>
        </w:rPr>
        <w:t>总体目标完成情况分析。</w:t>
      </w:r>
    </w:p>
    <w:p>
      <w:pPr>
        <w:spacing w:line="500" w:lineRule="exact"/>
        <w:rPr>
          <w:rFonts w:hint="eastAsia" w:eastAsia="仿宋_GB2312"/>
          <w:color w:val="auto"/>
          <w:highlight w:val="yellow"/>
          <w:lang w:eastAsia="zh-CN" w:bidi="ar"/>
        </w:rPr>
      </w:pPr>
      <w:r>
        <w:rPr>
          <w:rFonts w:hint="eastAsia"/>
          <w:color w:val="auto"/>
          <w:lang w:bidi="ar"/>
        </w:rPr>
        <w:t>项目年度目标为：</w:t>
      </w:r>
    </w:p>
    <w:p>
      <w:pPr>
        <w:keepNext w:val="0"/>
        <w:keepLines w:val="0"/>
        <w:widowControl/>
        <w:numPr>
          <w:ilvl w:val="0"/>
          <w:numId w:val="0"/>
        </w:numPr>
        <w:suppressLineNumbers w:val="0"/>
        <w:ind w:firstLine="640" w:firstLineChars="200"/>
        <w:jc w:val="left"/>
        <w:rPr>
          <w:rFonts w:hint="eastAsia" w:ascii="仿宋_GB2312" w:hAnsi="Times New Roman" w:eastAsia="仿宋_GB2312" w:cs="仿宋_GB2312"/>
          <w:color w:val="auto"/>
          <w:kern w:val="2"/>
          <w:sz w:val="32"/>
          <w:szCs w:val="32"/>
          <w:lang w:val="en-US" w:eastAsia="zh-CN" w:bidi="ar"/>
        </w:rPr>
      </w:pPr>
      <w:r>
        <w:rPr>
          <w:rFonts w:hint="eastAsia" w:ascii="仿宋_GB2312" w:hAnsi="Times New Roman" w:eastAsia="仿宋_GB2312" w:cs="仿宋_GB2312"/>
          <w:color w:val="auto"/>
          <w:kern w:val="2"/>
          <w:sz w:val="32"/>
          <w:szCs w:val="32"/>
          <w:lang w:val="en-US" w:eastAsia="zh-CN" w:bidi="ar"/>
        </w:rPr>
        <w:t>完成</w:t>
      </w:r>
      <w:r>
        <w:rPr>
          <w:rFonts w:hint="eastAsia" w:cs="仿宋_GB2312"/>
          <w:color w:val="auto"/>
          <w:kern w:val="2"/>
          <w:sz w:val="32"/>
          <w:szCs w:val="32"/>
          <w:lang w:val="en-US" w:eastAsia="zh-CN" w:bidi="ar"/>
        </w:rPr>
        <w:t>39360平方米沥青路面敷设</w:t>
      </w:r>
      <w:r>
        <w:rPr>
          <w:rFonts w:hint="eastAsia" w:ascii="仿宋_GB2312" w:hAnsi="Times New Roman" w:eastAsia="仿宋_GB2312" w:cs="仿宋_GB2312"/>
          <w:color w:val="auto"/>
          <w:kern w:val="2"/>
          <w:sz w:val="32"/>
          <w:szCs w:val="32"/>
          <w:lang w:val="en-US" w:eastAsia="zh-CN" w:bidi="ar"/>
        </w:rPr>
        <w:t>。</w:t>
      </w:r>
    </w:p>
    <w:p>
      <w:pPr>
        <w:spacing w:line="500" w:lineRule="exact"/>
        <w:rPr>
          <w:rFonts w:hint="eastAsia" w:ascii="仿宋_GB2312" w:hAnsi="Times New Roman" w:eastAsia="仿宋_GB2312" w:cs="仿宋_GB2312"/>
          <w:color w:val="auto"/>
          <w:kern w:val="2"/>
          <w:sz w:val="32"/>
          <w:szCs w:val="32"/>
          <w:lang w:val="en-US" w:eastAsia="zh-CN" w:bidi="ar"/>
        </w:rPr>
      </w:pPr>
      <w:r>
        <w:rPr>
          <w:rFonts w:hint="eastAsia" w:ascii="仿宋_GB2312" w:hAnsi="Times New Roman" w:eastAsia="仿宋_GB2312" w:cs="仿宋_GB2312"/>
          <w:color w:val="auto"/>
          <w:kern w:val="2"/>
          <w:sz w:val="32"/>
          <w:szCs w:val="32"/>
          <w:lang w:val="en-US" w:eastAsia="zh-CN" w:bidi="ar"/>
        </w:rPr>
        <w:t>项目年度完成情况：</w:t>
      </w:r>
    </w:p>
    <w:p>
      <w:pPr>
        <w:spacing w:line="500" w:lineRule="exact"/>
        <w:rPr>
          <w:rFonts w:hint="default" w:ascii="仿宋_GB2312" w:hAnsi="Times New Roman" w:eastAsia="仿宋_GB2312" w:cs="仿宋_GB2312"/>
          <w:color w:val="auto"/>
          <w:kern w:val="2"/>
          <w:sz w:val="32"/>
          <w:szCs w:val="32"/>
          <w:lang w:val="en-US" w:eastAsia="zh-CN" w:bidi="ar"/>
        </w:rPr>
      </w:pPr>
      <w:r>
        <w:rPr>
          <w:rFonts w:hint="eastAsia" w:cs="仿宋_GB2312"/>
          <w:color w:val="auto"/>
          <w:kern w:val="2"/>
          <w:sz w:val="32"/>
          <w:szCs w:val="32"/>
          <w:lang w:val="en-US" w:eastAsia="zh-CN" w:bidi="ar"/>
        </w:rPr>
        <w:t>2023年10月30日完成</w:t>
      </w:r>
      <w:r>
        <w:rPr>
          <w:rFonts w:hint="eastAsia" w:cs="仿宋_GB2312"/>
          <w:color w:val="auto"/>
          <w:kern w:val="2"/>
          <w:sz w:val="32"/>
          <w:szCs w:val="32"/>
          <w:lang w:val="en-US" w:eastAsia="zh-CN" w:bidi="ar"/>
        </w:rPr>
        <w:t>3</w:t>
      </w:r>
      <w:bookmarkStart w:id="0" w:name="_GoBack"/>
      <w:bookmarkEnd w:id="0"/>
      <w:r>
        <w:rPr>
          <w:rFonts w:hint="eastAsia" w:cs="仿宋_GB2312"/>
          <w:color w:val="auto"/>
          <w:kern w:val="2"/>
          <w:sz w:val="32"/>
          <w:szCs w:val="32"/>
          <w:lang w:val="en-US" w:eastAsia="zh-CN" w:bidi="ar"/>
        </w:rPr>
        <w:t>9400</w:t>
      </w:r>
      <w:r>
        <w:rPr>
          <w:rFonts w:hint="eastAsia" w:cs="仿宋_GB2312"/>
          <w:color w:val="auto"/>
          <w:kern w:val="2"/>
          <w:sz w:val="32"/>
          <w:szCs w:val="32"/>
          <w:lang w:val="en-US" w:eastAsia="zh-CN" w:bidi="ar"/>
        </w:rPr>
        <w:t>平方米沥青路面敷设目标</w:t>
      </w:r>
      <w:r>
        <w:rPr>
          <w:rFonts w:hint="eastAsia" w:ascii="Times New Roman" w:hAnsi="Times New Roman" w:eastAsia="仿宋_GB2312" w:cs="Times New Roman"/>
          <w:color w:val="auto"/>
          <w:kern w:val="2"/>
          <w:sz w:val="32"/>
          <w:szCs w:val="32"/>
          <w:lang w:val="en-US" w:eastAsia="zh-CN" w:bidi="ar"/>
        </w:rPr>
        <w:t>。</w:t>
      </w:r>
      <w:r>
        <w:rPr>
          <w:rFonts w:hint="eastAsia" w:ascii="仿宋_GB2312" w:hAnsi="Times New Roman" w:eastAsia="仿宋_GB2312" w:cs="仿宋_GB2312"/>
          <w:color w:val="auto"/>
          <w:kern w:val="2"/>
          <w:sz w:val="32"/>
          <w:szCs w:val="32"/>
          <w:lang w:val="en-US" w:eastAsia="zh-CN" w:bidi="ar"/>
        </w:rPr>
        <w:t>严格执行预算，确保质量，未发生安全事故，保质保量完成任务</w:t>
      </w:r>
      <w:r>
        <w:rPr>
          <w:rFonts w:hint="eastAsia" w:cs="仿宋_GB2312"/>
          <w:color w:val="auto"/>
          <w:kern w:val="2"/>
          <w:sz w:val="32"/>
          <w:szCs w:val="32"/>
          <w:lang w:val="en-US" w:eastAsia="zh-CN" w:bidi="ar"/>
        </w:rPr>
        <w:t>，完成2023年度目标。</w:t>
      </w:r>
    </w:p>
    <w:p>
      <w:pPr>
        <w:pStyle w:val="3"/>
        <w:spacing w:line="500" w:lineRule="exact"/>
        <w:rPr>
          <w:color w:val="auto"/>
        </w:rPr>
      </w:pPr>
      <w:r>
        <w:rPr>
          <w:rFonts w:hint="eastAsia"/>
          <w:color w:val="auto"/>
        </w:rPr>
        <w:t>（三）绩效指标完成情况分析</w:t>
      </w:r>
    </w:p>
    <w:p>
      <w:pPr>
        <w:spacing w:line="500" w:lineRule="exact"/>
        <w:rPr>
          <w:color w:val="auto"/>
        </w:rPr>
      </w:pPr>
      <w:r>
        <w:rPr>
          <w:rFonts w:hint="eastAsia"/>
          <w:color w:val="auto"/>
        </w:rPr>
        <w:t>1.产出指标：</w:t>
      </w:r>
      <w:r>
        <w:rPr>
          <w:color w:val="auto"/>
        </w:rPr>
        <w:t xml:space="preserve"> </w:t>
      </w:r>
    </w:p>
    <w:p>
      <w:pPr>
        <w:spacing w:line="500" w:lineRule="exact"/>
        <w:rPr>
          <w:color w:val="auto"/>
        </w:rPr>
      </w:pPr>
      <w:r>
        <w:rPr>
          <w:rFonts w:hint="eastAsia"/>
          <w:color w:val="auto"/>
        </w:rPr>
        <w:t>目标：</w:t>
      </w:r>
      <w:r>
        <w:rPr>
          <w:rFonts w:hint="eastAsia" w:ascii="仿宋_GB2312" w:hAnsi="Times New Roman" w:eastAsia="仿宋_GB2312" w:cs="仿宋_GB2312"/>
          <w:color w:val="auto"/>
          <w:kern w:val="2"/>
          <w:sz w:val="32"/>
          <w:szCs w:val="32"/>
          <w:lang w:val="en-US" w:eastAsia="zh-CN" w:bidi="ar"/>
        </w:rPr>
        <w:t>建设（改造、修缮）工程量</w:t>
      </w:r>
      <w:r>
        <w:rPr>
          <w:rFonts w:hint="eastAsia"/>
          <w:color w:val="auto"/>
        </w:rPr>
        <w:t>≥</w:t>
      </w:r>
      <w:r>
        <w:rPr>
          <w:rFonts w:hint="eastAsia" w:cs="仿宋_GB2312"/>
          <w:color w:val="auto"/>
          <w:kern w:val="2"/>
          <w:sz w:val="32"/>
          <w:szCs w:val="32"/>
          <w:lang w:val="en-US" w:eastAsia="zh-CN" w:bidi="ar"/>
        </w:rPr>
        <w:t>39360平方米</w:t>
      </w:r>
      <w:r>
        <w:rPr>
          <w:rFonts w:hint="eastAsia"/>
          <w:color w:val="auto"/>
          <w:lang w:val="en-US" w:eastAsia="zh-CN"/>
        </w:rPr>
        <w:t xml:space="preserve"> </w:t>
      </w:r>
      <w:r>
        <w:rPr>
          <w:rFonts w:hint="eastAsia" w:ascii="仿宋_GB2312" w:hAnsi="Times New Roman" w:eastAsia="仿宋_GB2312" w:cs="仿宋_GB2312"/>
          <w:color w:val="auto"/>
          <w:kern w:val="2"/>
          <w:sz w:val="32"/>
          <w:szCs w:val="32"/>
          <w:lang w:val="en-US" w:eastAsia="zh-CN" w:bidi="ar"/>
        </w:rPr>
        <w:t>。</w:t>
      </w:r>
    </w:p>
    <w:p>
      <w:pPr>
        <w:spacing w:line="500" w:lineRule="exact"/>
        <w:rPr>
          <w:rFonts w:hint="eastAsia" w:ascii="仿宋_GB2312" w:hAnsi="Times New Roman" w:eastAsia="仿宋_GB2312" w:cs="仿宋_GB2312"/>
          <w:color w:val="auto"/>
          <w:kern w:val="2"/>
          <w:sz w:val="32"/>
          <w:szCs w:val="32"/>
          <w:lang w:val="en-US" w:eastAsia="zh-CN" w:bidi="ar"/>
        </w:rPr>
      </w:pPr>
      <w:r>
        <w:rPr>
          <w:rFonts w:hint="eastAsia"/>
          <w:color w:val="auto"/>
        </w:rPr>
        <w:t>完成情况：</w:t>
      </w:r>
      <w:r>
        <w:rPr>
          <w:rFonts w:hint="eastAsia" w:cs="仿宋_GB2312"/>
          <w:color w:val="auto"/>
          <w:kern w:val="2"/>
          <w:sz w:val="32"/>
          <w:szCs w:val="32"/>
          <w:lang w:val="en-US" w:eastAsia="zh-CN" w:bidi="ar"/>
        </w:rPr>
        <w:t>完成39400平</w:t>
      </w:r>
      <w:r>
        <w:rPr>
          <w:rFonts w:hint="eastAsia" w:cs="仿宋_GB2312"/>
          <w:color w:val="auto"/>
          <w:kern w:val="2"/>
          <w:sz w:val="32"/>
          <w:szCs w:val="32"/>
          <w:lang w:val="en-US" w:eastAsia="zh-CN" w:bidi="ar"/>
        </w:rPr>
        <w:t>方米沥青路面敷设，完成率100%</w:t>
      </w:r>
      <w:r>
        <w:rPr>
          <w:rFonts w:hint="eastAsia" w:ascii="仿宋_GB2312" w:hAnsi="Times New Roman" w:eastAsia="仿宋_GB2312" w:cs="仿宋_GB2312"/>
          <w:color w:val="auto"/>
          <w:kern w:val="2"/>
          <w:sz w:val="32"/>
          <w:szCs w:val="32"/>
          <w:lang w:val="en-US" w:eastAsia="zh-CN" w:bidi="ar"/>
        </w:rPr>
        <w:t>。</w:t>
      </w:r>
    </w:p>
    <w:p>
      <w:pPr>
        <w:numPr>
          <w:ilvl w:val="0"/>
          <w:numId w:val="0"/>
        </w:numPr>
        <w:spacing w:line="500" w:lineRule="exact"/>
        <w:ind w:firstLine="640" w:firstLineChars="200"/>
        <w:rPr>
          <w:rFonts w:hint="default"/>
          <w:color w:val="auto"/>
          <w:lang w:val="en-US" w:eastAsia="zh-CN"/>
        </w:rPr>
      </w:pPr>
      <w:r>
        <w:rPr>
          <w:rFonts w:hint="eastAsia"/>
          <w:color w:val="auto"/>
          <w:lang w:val="en-US" w:eastAsia="zh-CN"/>
        </w:rPr>
        <w:t>2.产出指标</w:t>
      </w:r>
    </w:p>
    <w:p>
      <w:pPr>
        <w:spacing w:line="500" w:lineRule="exact"/>
        <w:rPr>
          <w:color w:val="auto"/>
        </w:rPr>
      </w:pPr>
      <w:r>
        <w:rPr>
          <w:rFonts w:hint="eastAsia"/>
          <w:color w:val="auto"/>
        </w:rPr>
        <w:t>目标：</w:t>
      </w:r>
      <w:r>
        <w:rPr>
          <w:rFonts w:hint="eastAsia" w:ascii="仿宋_GB2312" w:hAnsi="Times New Roman" w:eastAsia="仿宋_GB2312" w:cs="仿宋_GB2312"/>
          <w:color w:val="auto"/>
          <w:kern w:val="2"/>
          <w:sz w:val="32"/>
          <w:szCs w:val="32"/>
          <w:lang w:val="en-US" w:eastAsia="zh-CN" w:bidi="ar"/>
        </w:rPr>
        <w:t>竣工验收合格率≥</w:t>
      </w:r>
      <w:r>
        <w:rPr>
          <w:rFonts w:hint="eastAsia" w:cs="仿宋_GB2312"/>
          <w:color w:val="auto"/>
          <w:kern w:val="2"/>
          <w:sz w:val="32"/>
          <w:szCs w:val="32"/>
          <w:lang w:val="en-US" w:eastAsia="zh-CN" w:bidi="ar"/>
        </w:rPr>
        <w:t>98</w:t>
      </w:r>
      <w:r>
        <w:rPr>
          <w:rFonts w:hint="eastAsia" w:ascii="仿宋_GB2312" w:hAnsi="Times New Roman" w:eastAsia="仿宋_GB2312" w:cs="仿宋_GB2312"/>
          <w:color w:val="auto"/>
          <w:kern w:val="2"/>
          <w:sz w:val="32"/>
          <w:szCs w:val="32"/>
          <w:lang w:val="en-US" w:eastAsia="zh-CN" w:bidi="ar"/>
        </w:rPr>
        <w:t>%。</w:t>
      </w:r>
    </w:p>
    <w:p>
      <w:pPr>
        <w:numPr>
          <w:ilvl w:val="0"/>
          <w:numId w:val="0"/>
        </w:numPr>
        <w:spacing w:line="500" w:lineRule="exact"/>
        <w:ind w:firstLine="640" w:firstLineChars="200"/>
        <w:rPr>
          <w:rFonts w:hint="eastAsia" w:eastAsia="仿宋_GB2312"/>
          <w:color w:val="auto"/>
          <w:lang w:eastAsia="zh-CN"/>
        </w:rPr>
      </w:pPr>
      <w:r>
        <w:rPr>
          <w:rFonts w:hint="eastAsia"/>
          <w:color w:val="auto"/>
        </w:rPr>
        <w:t>完成情况：</w:t>
      </w:r>
      <w:r>
        <w:rPr>
          <w:rFonts w:hint="eastAsia" w:ascii="仿宋_GB2312" w:hAnsi="Times New Roman" w:eastAsia="仿宋_GB2312" w:cs="仿宋_GB2312"/>
          <w:color w:val="auto"/>
          <w:kern w:val="2"/>
          <w:sz w:val="32"/>
          <w:szCs w:val="32"/>
          <w:lang w:val="en-US" w:eastAsia="zh-CN" w:bidi="ar"/>
        </w:rPr>
        <w:t>暂未完工</w:t>
      </w:r>
      <w:r>
        <w:rPr>
          <w:rFonts w:hint="eastAsia" w:cs="仿宋_GB2312"/>
          <w:color w:val="auto"/>
          <w:kern w:val="2"/>
          <w:sz w:val="32"/>
          <w:szCs w:val="32"/>
          <w:lang w:val="en-US" w:eastAsia="zh-CN" w:bidi="ar"/>
        </w:rPr>
        <w:t>，已完工部分合格率100%</w:t>
      </w:r>
      <w:r>
        <w:rPr>
          <w:rFonts w:hint="eastAsia" w:ascii="仿宋_GB2312" w:hAnsi="Times New Roman" w:eastAsia="仿宋_GB2312" w:cs="仿宋_GB2312"/>
          <w:color w:val="auto"/>
          <w:kern w:val="2"/>
          <w:sz w:val="32"/>
          <w:szCs w:val="32"/>
          <w:lang w:val="en-US" w:eastAsia="zh-CN" w:bidi="ar"/>
        </w:rPr>
        <w:t>。</w:t>
      </w:r>
    </w:p>
    <w:p>
      <w:pPr>
        <w:spacing w:line="500" w:lineRule="exact"/>
        <w:rPr>
          <w:rFonts w:hint="eastAsia"/>
          <w:color w:val="auto"/>
        </w:rPr>
      </w:pPr>
      <w:r>
        <w:rPr>
          <w:rFonts w:hint="eastAsia"/>
          <w:color w:val="auto"/>
          <w:lang w:val="en-US" w:eastAsia="zh-CN"/>
        </w:rPr>
        <w:t>3</w:t>
      </w:r>
      <w:r>
        <w:rPr>
          <w:rFonts w:hint="eastAsia"/>
          <w:color w:val="auto"/>
        </w:rPr>
        <w:t xml:space="preserve">.效益指标： </w:t>
      </w:r>
    </w:p>
    <w:p>
      <w:pPr>
        <w:spacing w:line="500" w:lineRule="exact"/>
        <w:rPr>
          <w:rFonts w:hint="eastAsia"/>
          <w:color w:val="auto"/>
        </w:rPr>
      </w:pPr>
      <w:r>
        <w:rPr>
          <w:rFonts w:hint="eastAsia"/>
          <w:color w:val="auto"/>
        </w:rPr>
        <w:t>目标：项目受益人数≥</w:t>
      </w:r>
      <w:r>
        <w:rPr>
          <w:rFonts w:hint="eastAsia"/>
          <w:color w:val="auto"/>
          <w:lang w:val="en-US" w:eastAsia="zh-CN"/>
        </w:rPr>
        <w:t>500</w:t>
      </w:r>
      <w:r>
        <w:rPr>
          <w:rFonts w:hint="eastAsia"/>
          <w:color w:val="auto"/>
        </w:rPr>
        <w:t>人。</w:t>
      </w:r>
    </w:p>
    <w:p>
      <w:pPr>
        <w:spacing w:line="500" w:lineRule="exact"/>
        <w:rPr>
          <w:rFonts w:hint="eastAsia"/>
          <w:color w:val="auto"/>
        </w:rPr>
      </w:pPr>
      <w:r>
        <w:rPr>
          <w:rFonts w:hint="eastAsia"/>
          <w:color w:val="auto"/>
        </w:rPr>
        <w:t>完成情况：项目周边群众收益，受益人数已超</w:t>
      </w:r>
      <w:r>
        <w:rPr>
          <w:rFonts w:hint="eastAsia"/>
          <w:color w:val="auto"/>
          <w:lang w:val="en-US" w:eastAsia="zh-CN"/>
        </w:rPr>
        <w:t>50</w:t>
      </w:r>
      <w:r>
        <w:rPr>
          <w:rFonts w:hint="eastAsia"/>
          <w:color w:val="auto"/>
        </w:rPr>
        <w:t>0人，完成目标绩效。</w:t>
      </w:r>
    </w:p>
    <w:p>
      <w:pPr>
        <w:pStyle w:val="2"/>
        <w:numPr>
          <w:ilvl w:val="0"/>
          <w:numId w:val="0"/>
        </w:numPr>
        <w:ind w:firstLine="640" w:firstLineChars="200"/>
        <w:rPr>
          <w:rFonts w:hint="eastAsia"/>
          <w:color w:val="auto"/>
          <w:lang w:val="en-US" w:eastAsia="zh-CN"/>
        </w:rPr>
      </w:pPr>
      <w:r>
        <w:rPr>
          <w:rFonts w:hint="eastAsia"/>
          <w:color w:val="auto"/>
          <w:lang w:val="en-US" w:eastAsia="zh-CN"/>
        </w:rPr>
        <w:t>4</w:t>
      </w:r>
      <w:r>
        <w:rPr>
          <w:rFonts w:hint="eastAsia"/>
          <w:color w:val="auto"/>
        </w:rPr>
        <w:t>.</w:t>
      </w:r>
      <w:r>
        <w:rPr>
          <w:rFonts w:hint="eastAsia"/>
          <w:color w:val="auto"/>
          <w:lang w:val="en-US" w:eastAsia="zh-CN"/>
        </w:rPr>
        <w:t>成本指标：</w:t>
      </w:r>
    </w:p>
    <w:p>
      <w:pPr>
        <w:pStyle w:val="2"/>
        <w:numPr>
          <w:ilvl w:val="0"/>
          <w:numId w:val="0"/>
        </w:numPr>
        <w:ind w:firstLine="640"/>
        <w:rPr>
          <w:rFonts w:hint="default"/>
          <w:color w:val="auto"/>
          <w:lang w:val="en-US" w:eastAsia="zh-CN"/>
        </w:rPr>
      </w:pPr>
      <w:r>
        <w:rPr>
          <w:rFonts w:hint="eastAsia"/>
          <w:color w:val="auto"/>
          <w:lang w:val="en-US" w:eastAsia="zh-CN"/>
        </w:rPr>
        <w:t>目标：超概算项目比例≤0%。</w:t>
      </w:r>
    </w:p>
    <w:p>
      <w:pPr>
        <w:pStyle w:val="2"/>
        <w:numPr>
          <w:ilvl w:val="0"/>
          <w:numId w:val="0"/>
        </w:numPr>
        <w:ind w:firstLine="640"/>
        <w:rPr>
          <w:rFonts w:hint="default"/>
          <w:color w:val="auto"/>
          <w:lang w:val="en-US" w:eastAsia="zh-CN"/>
        </w:rPr>
      </w:pPr>
      <w:r>
        <w:rPr>
          <w:rFonts w:hint="eastAsia"/>
          <w:color w:val="auto"/>
          <w:lang w:val="en-US" w:eastAsia="zh-CN"/>
        </w:rPr>
        <w:t>完成情况：本项目未超概。</w:t>
      </w:r>
    </w:p>
    <w:p>
      <w:pPr>
        <w:pStyle w:val="3"/>
        <w:spacing w:line="500" w:lineRule="exact"/>
        <w:rPr>
          <w:color w:val="auto"/>
        </w:rPr>
      </w:pPr>
      <w:r>
        <w:rPr>
          <w:rFonts w:hint="eastAsia"/>
          <w:color w:val="auto"/>
        </w:rPr>
        <w:t>（四）整体绩效自评。</w:t>
      </w:r>
    </w:p>
    <w:p>
      <w:pPr>
        <w:spacing w:line="500" w:lineRule="exact"/>
        <w:rPr>
          <w:color w:val="auto"/>
        </w:rPr>
      </w:pPr>
      <w:r>
        <w:rPr>
          <w:rFonts w:hint="eastAsia"/>
          <w:color w:val="auto"/>
          <w:lang w:bidi="ar"/>
        </w:rPr>
        <w:t>该年度</w:t>
      </w:r>
      <w:r>
        <w:rPr>
          <w:rFonts w:hint="eastAsia" w:ascii="Times New Roman" w:hAnsi="Times New Roman" w:eastAsia="仿宋_GB2312" w:cs="Times New Roman"/>
          <w:color w:val="auto"/>
          <w:kern w:val="2"/>
          <w:sz w:val="32"/>
          <w:szCs w:val="32"/>
          <w:lang w:val="en-US" w:eastAsia="zh-CN" w:bidi="ar"/>
        </w:rPr>
        <w:t>美兰机场路东延伸段一期工程</w:t>
      </w:r>
      <w:r>
        <w:rPr>
          <w:rFonts w:hint="eastAsia"/>
          <w:color w:val="auto"/>
          <w:lang w:bidi="ar"/>
        </w:rPr>
        <w:t>整体效益目标已按时完成，绩效自评分数</w:t>
      </w:r>
      <w:r>
        <w:rPr>
          <w:rFonts w:hint="eastAsia"/>
          <w:color w:val="auto"/>
          <w:lang w:val="en-US" w:eastAsia="zh-CN" w:bidi="ar"/>
        </w:rPr>
        <w:t>100</w:t>
      </w:r>
      <w:r>
        <w:rPr>
          <w:rFonts w:hint="eastAsia"/>
          <w:color w:val="auto"/>
          <w:lang w:bidi="ar"/>
        </w:rPr>
        <w:t>分，自评等级优。</w:t>
      </w:r>
    </w:p>
    <w:p>
      <w:pPr>
        <w:pStyle w:val="3"/>
        <w:spacing w:line="500" w:lineRule="exact"/>
        <w:rPr>
          <w:color w:val="auto"/>
        </w:rPr>
      </w:pPr>
      <w:r>
        <w:rPr>
          <w:rFonts w:hint="eastAsia"/>
          <w:color w:val="auto"/>
        </w:rPr>
        <w:t>三、发现的主要问题和改进措施</w:t>
      </w:r>
    </w:p>
    <w:p>
      <w:pPr>
        <w:spacing w:line="500" w:lineRule="exact"/>
        <w:rPr>
          <w:color w:val="auto"/>
        </w:rPr>
      </w:pPr>
      <w:r>
        <w:rPr>
          <w:rFonts w:hint="eastAsia"/>
          <w:color w:val="auto"/>
        </w:rPr>
        <w:t>无</w:t>
      </w:r>
    </w:p>
    <w:p>
      <w:pPr>
        <w:pStyle w:val="3"/>
        <w:spacing w:line="500" w:lineRule="exact"/>
        <w:rPr>
          <w:color w:val="auto"/>
        </w:rPr>
      </w:pPr>
      <w:r>
        <w:rPr>
          <w:rFonts w:hint="eastAsia"/>
          <w:color w:val="auto"/>
        </w:rPr>
        <w:t>四、绩效自评结果拟应用和公开情况</w:t>
      </w:r>
    </w:p>
    <w:p>
      <w:pPr>
        <w:spacing w:line="500" w:lineRule="exact"/>
        <w:rPr>
          <w:color w:val="auto"/>
        </w:rPr>
      </w:pPr>
      <w:r>
        <w:rPr>
          <w:rFonts w:hint="eastAsia"/>
          <w:color w:val="auto"/>
        </w:rPr>
        <w:t>拟将绩效自评结果用于后续对于建设、施工等单位的履职尽责以及专业胜任能力的考核，可作为后续相关合作的考虑因素。</w:t>
      </w:r>
    </w:p>
    <w:p>
      <w:pPr>
        <w:pStyle w:val="3"/>
        <w:spacing w:line="500" w:lineRule="exact"/>
        <w:rPr>
          <w:color w:val="auto"/>
        </w:rPr>
      </w:pPr>
      <w:r>
        <w:rPr>
          <w:rFonts w:hint="eastAsia"/>
          <w:color w:val="auto"/>
        </w:rPr>
        <w:t>五、绩效自评工作开展情况</w:t>
      </w:r>
    </w:p>
    <w:p>
      <w:pPr>
        <w:spacing w:line="500" w:lineRule="exact"/>
        <w:rPr>
          <w:color w:val="auto"/>
        </w:rPr>
      </w:pPr>
      <w:r>
        <w:rPr>
          <w:rFonts w:hint="eastAsia" w:ascii="Arial" w:hAnsi="Arial" w:cs="Arial"/>
          <w:color w:val="auto"/>
          <w:shd w:val="clear" w:color="auto" w:fill="FFFFFF"/>
        </w:rPr>
        <w:t>根据</w:t>
      </w:r>
      <w:r>
        <w:rPr>
          <w:rFonts w:ascii="Arial" w:hAnsi="Arial" w:cs="Arial"/>
          <w:color w:val="auto"/>
          <w:shd w:val="clear" w:color="auto" w:fill="FFFFFF"/>
        </w:rPr>
        <w:t>《中共中央 国务院关于全面实施预算绩效管理的意见》，</w:t>
      </w:r>
      <w:r>
        <w:rPr>
          <w:rFonts w:hint="eastAsia" w:ascii="Arial" w:hAnsi="Arial" w:cs="Arial"/>
          <w:color w:val="auto"/>
          <w:shd w:val="clear" w:color="auto" w:fill="FFFFFF"/>
        </w:rPr>
        <w:t>我单位</w:t>
      </w:r>
      <w:r>
        <w:rPr>
          <w:rFonts w:ascii="Arial" w:hAnsi="Arial" w:cs="Arial"/>
          <w:color w:val="auto"/>
          <w:shd w:val="clear" w:color="auto" w:fill="FFFFFF"/>
        </w:rPr>
        <w:t>以全面实施预算绩效管理为关键点和突破口，推动财政资金聚力增效，提高公共服务供给质量，增强政府公信力和执行力。</w:t>
      </w:r>
      <w:r>
        <w:rPr>
          <w:rFonts w:hint="eastAsia" w:ascii="Arial" w:hAnsi="Arial" w:cs="Arial"/>
          <w:color w:val="auto"/>
          <w:shd w:val="clear" w:color="auto" w:fill="FFFFFF"/>
        </w:rPr>
        <w:t>按照“预算花钱必问效”的原则，我单位持续对政府投资项目，尤其是获得中央资金的项目开展绩效自评工作，</w:t>
      </w:r>
      <w:r>
        <w:rPr>
          <w:rFonts w:ascii="Arial" w:hAnsi="Arial" w:cs="Arial"/>
          <w:color w:val="auto"/>
          <w:shd w:val="clear" w:color="auto" w:fill="FFFFFF"/>
        </w:rPr>
        <w:t>强化绩效目标管理，做好绩效运行监控，并开展绩效评价和结果应用</w:t>
      </w:r>
      <w:r>
        <w:rPr>
          <w:rFonts w:hint="eastAsia" w:ascii="Arial" w:hAnsi="Arial" w:cs="Arial"/>
          <w:color w:val="auto"/>
          <w:shd w:val="clear" w:color="auto" w:fill="FFFFFF"/>
        </w:rPr>
        <w:t>。</w:t>
      </w:r>
    </w:p>
    <w:p>
      <w:pPr>
        <w:pStyle w:val="3"/>
        <w:spacing w:line="500" w:lineRule="exact"/>
        <w:rPr>
          <w:color w:val="auto"/>
        </w:rPr>
      </w:pPr>
      <w:r>
        <w:rPr>
          <w:rFonts w:hint="eastAsia"/>
          <w:color w:val="auto"/>
        </w:rPr>
        <w:t>六、其他需要说明的问题</w:t>
      </w:r>
    </w:p>
    <w:p>
      <w:pPr>
        <w:spacing w:line="500" w:lineRule="exact"/>
        <w:rPr>
          <w:rFonts w:hint="eastAsia"/>
          <w:color w:val="auto"/>
        </w:rPr>
      </w:pPr>
      <w:r>
        <w:rPr>
          <w:rFonts w:hint="eastAsia"/>
          <w:color w:val="auto"/>
        </w:rPr>
        <w:t>暂无。</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ind w:firstLine="360"/>
                          </w:pPr>
                          <w:r>
                            <w:fldChar w:fldCharType="begin"/>
                          </w:r>
                          <w:r>
                            <w:instrText xml:space="preserve"> PAGE   \* MERGEFORMAT </w:instrText>
                          </w:r>
                          <w:r>
                            <w:fldChar w:fldCharType="separate"/>
                          </w:r>
                          <w:r>
                            <w:rPr>
                              <w:lang w:val="zh-CN"/>
                            </w:rPr>
                            <w:t>1</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ind w:firstLine="360"/>
                    </w:pPr>
                    <w:r>
                      <w:fldChar w:fldCharType="begin"/>
                    </w:r>
                    <w:r>
                      <w:instrText xml:space="preserve"> PAGE   \* MERGEFORMAT </w:instrText>
                    </w:r>
                    <w:r>
                      <w:fldChar w:fldCharType="separate"/>
                    </w:r>
                    <w:r>
                      <w:rPr>
                        <w:lang w:val="zh-CN"/>
                      </w:rPr>
                      <w:t>1</w:t>
                    </w:r>
                    <w:r>
                      <w:rPr>
                        <w:lang w:val="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436A"/>
    <w:multiLevelType w:val="singleLevel"/>
    <w:tmpl w:val="B82643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rawingGridHorizontalSpacing w:val="150"/>
  <w:drawingGridVerticalSpacing w:val="581"/>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00F57F82"/>
    <w:rsid w:val="000101E1"/>
    <w:rsid w:val="00017298"/>
    <w:rsid w:val="00020084"/>
    <w:rsid w:val="000329D9"/>
    <w:rsid w:val="000732DA"/>
    <w:rsid w:val="00075CDC"/>
    <w:rsid w:val="000B1E8F"/>
    <w:rsid w:val="00103D16"/>
    <w:rsid w:val="001214D7"/>
    <w:rsid w:val="00136702"/>
    <w:rsid w:val="00164D84"/>
    <w:rsid w:val="001D628A"/>
    <w:rsid w:val="00211581"/>
    <w:rsid w:val="00250053"/>
    <w:rsid w:val="00276CCC"/>
    <w:rsid w:val="00287C3C"/>
    <w:rsid w:val="002D0A98"/>
    <w:rsid w:val="003370F3"/>
    <w:rsid w:val="00371982"/>
    <w:rsid w:val="0039432D"/>
    <w:rsid w:val="003C6374"/>
    <w:rsid w:val="00415F7C"/>
    <w:rsid w:val="004531B5"/>
    <w:rsid w:val="004D5A71"/>
    <w:rsid w:val="00503C12"/>
    <w:rsid w:val="00560E3E"/>
    <w:rsid w:val="00572153"/>
    <w:rsid w:val="00747904"/>
    <w:rsid w:val="00785AF7"/>
    <w:rsid w:val="007873EA"/>
    <w:rsid w:val="007A1DC2"/>
    <w:rsid w:val="007E546A"/>
    <w:rsid w:val="008A20F2"/>
    <w:rsid w:val="00A92E5C"/>
    <w:rsid w:val="00AA2B82"/>
    <w:rsid w:val="00B13839"/>
    <w:rsid w:val="00C55880"/>
    <w:rsid w:val="00CC152C"/>
    <w:rsid w:val="00CE3824"/>
    <w:rsid w:val="00CE55E9"/>
    <w:rsid w:val="00D200DC"/>
    <w:rsid w:val="00D61B1A"/>
    <w:rsid w:val="00D63908"/>
    <w:rsid w:val="00D72958"/>
    <w:rsid w:val="00D82388"/>
    <w:rsid w:val="00DB429F"/>
    <w:rsid w:val="00DD09A2"/>
    <w:rsid w:val="00DD16E3"/>
    <w:rsid w:val="00DF57C5"/>
    <w:rsid w:val="00ED6D53"/>
    <w:rsid w:val="00F22AE2"/>
    <w:rsid w:val="00F437B4"/>
    <w:rsid w:val="00F57F82"/>
    <w:rsid w:val="00F64E54"/>
    <w:rsid w:val="00F75963"/>
    <w:rsid w:val="00FA357A"/>
    <w:rsid w:val="029E5817"/>
    <w:rsid w:val="02C86339"/>
    <w:rsid w:val="037D0BC8"/>
    <w:rsid w:val="04076DA7"/>
    <w:rsid w:val="055025D2"/>
    <w:rsid w:val="07FA0264"/>
    <w:rsid w:val="08236A8B"/>
    <w:rsid w:val="0845082D"/>
    <w:rsid w:val="0848123F"/>
    <w:rsid w:val="08A1260D"/>
    <w:rsid w:val="096A663E"/>
    <w:rsid w:val="09E965F2"/>
    <w:rsid w:val="0A4A3A37"/>
    <w:rsid w:val="0A87714B"/>
    <w:rsid w:val="0BEB1FE1"/>
    <w:rsid w:val="0CB46994"/>
    <w:rsid w:val="0EC63FED"/>
    <w:rsid w:val="0ED55337"/>
    <w:rsid w:val="0EFB5A0A"/>
    <w:rsid w:val="0FFFAAC1"/>
    <w:rsid w:val="109675FA"/>
    <w:rsid w:val="11D7196B"/>
    <w:rsid w:val="12CA3F9C"/>
    <w:rsid w:val="139840D3"/>
    <w:rsid w:val="143E091F"/>
    <w:rsid w:val="14865FC8"/>
    <w:rsid w:val="14EA24B1"/>
    <w:rsid w:val="150C2DB0"/>
    <w:rsid w:val="17C05E32"/>
    <w:rsid w:val="18F83E24"/>
    <w:rsid w:val="1CE94882"/>
    <w:rsid w:val="1E761F05"/>
    <w:rsid w:val="1FC7205C"/>
    <w:rsid w:val="20BD1B38"/>
    <w:rsid w:val="20CB4ECD"/>
    <w:rsid w:val="20FC67F2"/>
    <w:rsid w:val="21B57B1D"/>
    <w:rsid w:val="21DE5A03"/>
    <w:rsid w:val="21F00DBA"/>
    <w:rsid w:val="228B3D05"/>
    <w:rsid w:val="25FE8923"/>
    <w:rsid w:val="26FB196B"/>
    <w:rsid w:val="27F34A6B"/>
    <w:rsid w:val="286D5E37"/>
    <w:rsid w:val="28E373DF"/>
    <w:rsid w:val="2A94137D"/>
    <w:rsid w:val="2AE71690"/>
    <w:rsid w:val="2B9328D2"/>
    <w:rsid w:val="2CBB425E"/>
    <w:rsid w:val="2D8B4B0D"/>
    <w:rsid w:val="2F6F4467"/>
    <w:rsid w:val="2FAD4FCA"/>
    <w:rsid w:val="2FCE7BC2"/>
    <w:rsid w:val="336D1938"/>
    <w:rsid w:val="33E86A4E"/>
    <w:rsid w:val="355571ED"/>
    <w:rsid w:val="368D368C"/>
    <w:rsid w:val="36B95C8B"/>
    <w:rsid w:val="37561817"/>
    <w:rsid w:val="38EF7AD8"/>
    <w:rsid w:val="3A0C0C54"/>
    <w:rsid w:val="3A431E7C"/>
    <w:rsid w:val="3C5E2926"/>
    <w:rsid w:val="3C7019B2"/>
    <w:rsid w:val="3D7E7C9E"/>
    <w:rsid w:val="3DBBD6B4"/>
    <w:rsid w:val="3E1672E6"/>
    <w:rsid w:val="3E6918DD"/>
    <w:rsid w:val="3F5579C2"/>
    <w:rsid w:val="40950555"/>
    <w:rsid w:val="415F08D8"/>
    <w:rsid w:val="41734A11"/>
    <w:rsid w:val="41AE398F"/>
    <w:rsid w:val="41D23FD6"/>
    <w:rsid w:val="42F07593"/>
    <w:rsid w:val="433B52D2"/>
    <w:rsid w:val="43690154"/>
    <w:rsid w:val="43ED7E14"/>
    <w:rsid w:val="441867FA"/>
    <w:rsid w:val="4434078E"/>
    <w:rsid w:val="44C635B7"/>
    <w:rsid w:val="44E2230F"/>
    <w:rsid w:val="46E11476"/>
    <w:rsid w:val="46F9107C"/>
    <w:rsid w:val="4881717A"/>
    <w:rsid w:val="48B51347"/>
    <w:rsid w:val="4A1B2E89"/>
    <w:rsid w:val="4A55216A"/>
    <w:rsid w:val="4B0E65C7"/>
    <w:rsid w:val="4BFD2870"/>
    <w:rsid w:val="4C4F4283"/>
    <w:rsid w:val="4D2907E5"/>
    <w:rsid w:val="4D4C56FF"/>
    <w:rsid w:val="4DC43E92"/>
    <w:rsid w:val="4FE0696A"/>
    <w:rsid w:val="50D34630"/>
    <w:rsid w:val="50F76058"/>
    <w:rsid w:val="50F91B2C"/>
    <w:rsid w:val="50FE6375"/>
    <w:rsid w:val="51FD19E1"/>
    <w:rsid w:val="528F2AA6"/>
    <w:rsid w:val="529C11BD"/>
    <w:rsid w:val="53773584"/>
    <w:rsid w:val="55673508"/>
    <w:rsid w:val="56B10F4B"/>
    <w:rsid w:val="56FE7A11"/>
    <w:rsid w:val="57FCC004"/>
    <w:rsid w:val="59595A6F"/>
    <w:rsid w:val="599330CA"/>
    <w:rsid w:val="59A60DC8"/>
    <w:rsid w:val="5ABC351E"/>
    <w:rsid w:val="5B0D23FC"/>
    <w:rsid w:val="5B6C0F28"/>
    <w:rsid w:val="5DB076C2"/>
    <w:rsid w:val="5F76F0C1"/>
    <w:rsid w:val="5FF371E7"/>
    <w:rsid w:val="600865E8"/>
    <w:rsid w:val="603B6C1D"/>
    <w:rsid w:val="60D5009F"/>
    <w:rsid w:val="619D08BC"/>
    <w:rsid w:val="61A3723C"/>
    <w:rsid w:val="6261716A"/>
    <w:rsid w:val="6324384D"/>
    <w:rsid w:val="660721C9"/>
    <w:rsid w:val="661E6C75"/>
    <w:rsid w:val="67212492"/>
    <w:rsid w:val="67F75FF5"/>
    <w:rsid w:val="681715F8"/>
    <w:rsid w:val="681D4831"/>
    <w:rsid w:val="68434224"/>
    <w:rsid w:val="692A6C18"/>
    <w:rsid w:val="692E4B19"/>
    <w:rsid w:val="69513EF7"/>
    <w:rsid w:val="697D78BA"/>
    <w:rsid w:val="69D737CF"/>
    <w:rsid w:val="6A8C0BB6"/>
    <w:rsid w:val="6AAF7917"/>
    <w:rsid w:val="6B0B09CB"/>
    <w:rsid w:val="6BF3256F"/>
    <w:rsid w:val="6CE7018A"/>
    <w:rsid w:val="6D08690D"/>
    <w:rsid w:val="6DA15568"/>
    <w:rsid w:val="6E3E3F2D"/>
    <w:rsid w:val="70D86EB2"/>
    <w:rsid w:val="715B2F02"/>
    <w:rsid w:val="72AF35DA"/>
    <w:rsid w:val="72F13750"/>
    <w:rsid w:val="730F557A"/>
    <w:rsid w:val="748C1146"/>
    <w:rsid w:val="75A62CFF"/>
    <w:rsid w:val="76A548F2"/>
    <w:rsid w:val="76E05FC8"/>
    <w:rsid w:val="76EE28B0"/>
    <w:rsid w:val="7765772E"/>
    <w:rsid w:val="77867685"/>
    <w:rsid w:val="77F04540"/>
    <w:rsid w:val="781F36B6"/>
    <w:rsid w:val="78202F3D"/>
    <w:rsid w:val="78ED5A1E"/>
    <w:rsid w:val="790627AD"/>
    <w:rsid w:val="79556C16"/>
    <w:rsid w:val="7ABA7609"/>
    <w:rsid w:val="7ADC59FA"/>
    <w:rsid w:val="7B0B7EBD"/>
    <w:rsid w:val="7BB71159"/>
    <w:rsid w:val="7C1A2432"/>
    <w:rsid w:val="7CD836C4"/>
    <w:rsid w:val="7D6742C1"/>
    <w:rsid w:val="7DBDD65E"/>
    <w:rsid w:val="7DDD794F"/>
    <w:rsid w:val="7E5A664C"/>
    <w:rsid w:val="7EF834F2"/>
    <w:rsid w:val="7F957A64"/>
    <w:rsid w:val="7FA94C21"/>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qFormat/>
    <w:uiPriority w:val="0"/>
    <w:pPr>
      <w:keepNext/>
      <w:keepLines/>
      <w:ind w:firstLine="643"/>
    </w:pPr>
    <w:rPr>
      <w:rFonts w:ascii="黑体" w:hAnsi="黑体" w:eastAsia="黑体"/>
      <w:b/>
      <w:kern w:val="44"/>
      <w:szCs w:val="2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964"/>
    </w:pPr>
  </w:style>
  <w:style w:type="paragraph" w:styleId="5">
    <w:name w:val="Balloon Text"/>
    <w:basedOn w:val="1"/>
    <w:link w:val="13"/>
    <w:qFormat/>
    <w:uiPriority w:val="0"/>
    <w:rPr>
      <w:sz w:val="18"/>
      <w:szCs w:val="18"/>
    </w:rPr>
  </w:style>
  <w:style w:type="paragraph" w:styleId="6">
    <w:name w:val="footer"/>
    <w:basedOn w:val="1"/>
    <w:link w:val="11"/>
    <w:qFormat/>
    <w:uiPriority w:val="99"/>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字符"/>
    <w:basedOn w:val="10"/>
    <w:link w:val="6"/>
    <w:autoRedefine/>
    <w:qFormat/>
    <w:uiPriority w:val="99"/>
    <w:rPr>
      <w:rFonts w:eastAsia="仿宋_GB2312"/>
      <w:kern w:val="2"/>
      <w:sz w:val="18"/>
      <w:szCs w:val="18"/>
    </w:rPr>
  </w:style>
  <w:style w:type="character" w:customStyle="1" w:styleId="12">
    <w:name w:val="页眉 字符"/>
    <w:basedOn w:val="10"/>
    <w:link w:val="7"/>
    <w:qFormat/>
    <w:uiPriority w:val="0"/>
    <w:rPr>
      <w:rFonts w:eastAsia="仿宋_GB2312"/>
      <w:kern w:val="2"/>
      <w:sz w:val="18"/>
      <w:szCs w:val="18"/>
    </w:rPr>
  </w:style>
  <w:style w:type="character" w:customStyle="1" w:styleId="13">
    <w:name w:val="批注框文本 字符"/>
    <w:basedOn w:val="10"/>
    <w:link w:val="5"/>
    <w:qFormat/>
    <w:uiPriority w:val="0"/>
    <w:rPr>
      <w:rFonts w:eastAsia="仿宋_GB2312"/>
      <w:kern w:val="2"/>
      <w:sz w:val="18"/>
      <w:szCs w:val="18"/>
    </w:rPr>
  </w:style>
  <w:style w:type="paragraph" w:styleId="14">
    <w:name w:val="List Paragraph"/>
    <w:basedOn w:val="1"/>
    <w:qFormat/>
    <w:uiPriority w:val="99"/>
    <w:pPr>
      <w:ind w:firstLine="420"/>
    </w:pPr>
  </w:style>
  <w:style w:type="character" w:customStyle="1" w:styleId="15">
    <w:name w:val="标题 字符"/>
    <w:basedOn w:val="10"/>
    <w:link w:val="8"/>
    <w:qFormat/>
    <w:uiPriority w:val="0"/>
    <w:rPr>
      <w:rFonts w:asciiTheme="majorHAnsi" w:hAnsiTheme="majorHAnsi" w:eastAsiaTheme="majorEastAsia" w:cstheme="majorBidi"/>
      <w:b/>
      <w:bCs/>
      <w:kern w:val="2"/>
      <w:sz w:val="32"/>
      <w:szCs w:val="32"/>
    </w:rPr>
  </w:style>
  <w:style w:type="character" w:customStyle="1" w:styleId="16">
    <w:name w:val="标题 1 字符"/>
    <w:basedOn w:val="10"/>
    <w:link w:val="3"/>
    <w:qFormat/>
    <w:uiPriority w:val="0"/>
    <w:rPr>
      <w:rFonts w:hint="eastAsia" w:ascii="黑体" w:hAnsi="宋体" w:eastAsia="黑体" w:cs="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1001</Words>
  <Characters>1072</Characters>
  <Lines>9</Lines>
  <Paragraphs>2</Paragraphs>
  <TotalTime>2</TotalTime>
  <ScaleCrop>false</ScaleCrop>
  <LinksUpToDate>false</LinksUpToDate>
  <CharactersWithSpaces>1075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2011-03-03T08:16:00Z</dcterms:created>
  <dc:creator>lhn</dc:creator>
  <cp:lastModifiedBy>清风拂柳</cp:lastModifiedBy>
  <cp:lastPrinted>2023-03-17T07:51:00Z</cp:lastPrinted>
  <dcterms:modified xsi:type="dcterms:W3CDTF">2024-04-03T11:29:26Z</dcterms:modified>
  <dc:title>财政支出绩效评价报告</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E8E0659E6AFC401CB71A1136B1D29B34</vt:lpwstr>
  </property>
</Properties>
</file>