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highlight w:val="none"/>
        </w:rPr>
      </w:pP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方正小标宋简体" w:eastAsia="方正小标宋简体"/>
          <w:sz w:val="40"/>
          <w:szCs w:val="40"/>
          <w:highlight w:val="none"/>
        </w:rPr>
        <w:t>桂秀路（白驹大道至规划海涛大道段）项目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方正小标宋简体" w:eastAsia="方正小标宋简体"/>
          <w:sz w:val="40"/>
          <w:szCs w:val="40"/>
          <w:highlight w:val="none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  <w:highlight w:val="none"/>
        </w:rPr>
        <w:t>度绩效自评报告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一、基本情况</w:t>
      </w:r>
    </w:p>
    <w:p>
      <w:pPr>
        <w:pStyle w:val="3"/>
        <w:spacing w:line="500" w:lineRule="exact"/>
        <w:rPr>
          <w:color w:val="FF0000"/>
          <w:highlight w:val="none"/>
        </w:rPr>
      </w:pPr>
      <w:r>
        <w:rPr>
          <w:rFonts w:hint="eastAsia"/>
          <w:highlight w:val="none"/>
        </w:rPr>
        <w:t>（一）项目概况</w:t>
      </w:r>
    </w:p>
    <w:p>
      <w:pPr>
        <w:autoSpaceDE w:val="0"/>
        <w:adjustRightInd w:val="0"/>
        <w:snapToGrid w:val="0"/>
        <w:spacing w:line="576" w:lineRule="exact"/>
        <w:rPr>
          <w:rFonts w:ascii="仿宋" w:hAnsi="仿宋" w:cs="仿宋"/>
          <w:szCs w:val="32"/>
          <w:highlight w:val="none"/>
        </w:rPr>
      </w:pPr>
      <w:r>
        <w:rPr>
          <w:rFonts w:hint="eastAsia"/>
          <w:highlight w:val="none"/>
        </w:rPr>
        <w:t>桂秀路（白驹大道至规划海涛大道段）项目业主为</w:t>
      </w:r>
      <w:r>
        <w:rPr>
          <w:rFonts w:hint="eastAsia"/>
          <w:highlight w:val="none"/>
          <w:lang w:val="en-US" w:eastAsia="zh-CN"/>
        </w:rPr>
        <w:t>海口市君实综合开发有限责任公司（变更前名称：</w:t>
      </w:r>
      <w:r>
        <w:rPr>
          <w:rFonts w:hint="eastAsia"/>
          <w:highlight w:val="none"/>
        </w:rPr>
        <w:t>海口江东新区开发建设有限责任公司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，</w:t>
      </w:r>
      <w:r>
        <w:rPr>
          <w:rFonts w:hint="eastAsia" w:hAnsi="Calibri" w:cs="仿宋_GB2312"/>
          <w:color w:val="333333"/>
          <w:spacing w:val="8"/>
          <w:kern w:val="0"/>
          <w:szCs w:val="32"/>
          <w:highlight w:val="none"/>
          <w:shd w:val="clear" w:color="auto" w:fill="FFFFFF"/>
          <w:lang w:bidi="ar"/>
        </w:rPr>
        <w:t>桂秀路（白驹大道至规划海涛大道段）位于江东新区，北起白驹大道，南至规划海涛大道，道路全长4047.062m。采用城市主干路标准，设计速度为50km/h，双向六车道，路幅宽度为40m。包含道路工程、桥梁工程、给排水工程、电气工程、绿化工程、交通工程、智慧市政工程和综合管廊工程等。其中综合管廊工程为缆线型管廊</w:t>
      </w:r>
      <w:r>
        <w:rPr>
          <w:rFonts w:hint="eastAsia"/>
          <w:highlight w:val="none"/>
        </w:rPr>
        <w:t>。项目概算总投资为</w:t>
      </w:r>
      <w:r>
        <w:rPr>
          <w:rFonts w:hint="eastAsia"/>
          <w:highlight w:val="none"/>
          <w:lang w:val="en-US" w:eastAsia="zh-CN"/>
        </w:rPr>
        <w:t>65239</w:t>
      </w:r>
      <w:r>
        <w:rPr>
          <w:rFonts w:hint="eastAsia"/>
          <w:highlight w:val="none"/>
        </w:rPr>
        <w:t>万元.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（二）项目资金情况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该项目</w:t>
      </w:r>
      <w:r>
        <w:rPr>
          <w:rFonts w:hint="eastAsia"/>
          <w:highlight w:val="none"/>
          <w:lang w:eastAsia="zh-CN"/>
        </w:rPr>
        <w:t>2023年</w:t>
      </w:r>
      <w:r>
        <w:rPr>
          <w:rFonts w:hint="eastAsia"/>
          <w:highlight w:val="none"/>
        </w:rPr>
        <w:t>共到位资金10330</w:t>
      </w:r>
      <w:r>
        <w:rPr>
          <w:rFonts w:hint="eastAsia"/>
          <w:highlight w:val="none"/>
          <w:lang w:val="en-US" w:eastAsia="zh-CN"/>
        </w:rPr>
        <w:t>.</w:t>
      </w:r>
      <w:r>
        <w:rPr>
          <w:rFonts w:hint="eastAsia"/>
          <w:highlight w:val="none"/>
        </w:rPr>
        <w:t>66万元，其中</w:t>
      </w:r>
      <w:r>
        <w:rPr>
          <w:rFonts w:hint="eastAsia"/>
          <w:highlight w:val="none"/>
          <w:lang w:val="en-US" w:eastAsia="zh-CN"/>
        </w:rPr>
        <w:t>2022年结转资金1668.23万元，</w:t>
      </w:r>
      <w:r>
        <w:rPr>
          <w:rFonts w:hint="eastAsia"/>
          <w:highlight w:val="none"/>
          <w:lang w:eastAsia="zh-CN"/>
        </w:rPr>
        <w:t>2023年</w:t>
      </w:r>
      <w:r>
        <w:rPr>
          <w:rFonts w:hint="eastAsia"/>
          <w:highlight w:val="none"/>
        </w:rPr>
        <w:t>地债资金</w:t>
      </w:r>
      <w:r>
        <w:rPr>
          <w:rFonts w:hint="eastAsia"/>
          <w:highlight w:val="none"/>
          <w:lang w:val="en-US" w:eastAsia="zh-CN"/>
        </w:rPr>
        <w:t>8500</w:t>
      </w:r>
      <w:r>
        <w:rPr>
          <w:rFonts w:hint="eastAsia"/>
          <w:highlight w:val="none"/>
        </w:rPr>
        <w:t>万元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  <w:lang w:val="en-US" w:eastAsia="zh-CN"/>
        </w:rPr>
        <w:t>财政部门预算资金162.43万元</w:t>
      </w:r>
      <w:r>
        <w:rPr>
          <w:rFonts w:hint="eastAsia"/>
          <w:highlight w:val="none"/>
        </w:rPr>
        <w:t>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二、绩效目标完成情况分析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（一）资金情况分析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该项目</w:t>
      </w:r>
      <w:r>
        <w:rPr>
          <w:rFonts w:hint="eastAsia"/>
          <w:highlight w:val="none"/>
          <w:lang w:eastAsia="zh-CN"/>
        </w:rPr>
        <w:t>2023年</w:t>
      </w:r>
      <w:r>
        <w:rPr>
          <w:rFonts w:hint="eastAsia"/>
          <w:highlight w:val="none"/>
        </w:rPr>
        <w:t>共到位资金10330</w:t>
      </w:r>
      <w:r>
        <w:rPr>
          <w:rFonts w:hint="eastAsia"/>
          <w:highlight w:val="none"/>
          <w:lang w:val="en-US" w:eastAsia="zh-CN"/>
        </w:rPr>
        <w:t>.</w:t>
      </w:r>
      <w:r>
        <w:rPr>
          <w:rFonts w:hint="eastAsia"/>
          <w:highlight w:val="none"/>
        </w:rPr>
        <w:t>66万元，其中</w:t>
      </w:r>
      <w:r>
        <w:rPr>
          <w:rFonts w:hint="eastAsia"/>
          <w:highlight w:val="none"/>
          <w:lang w:val="en-US" w:eastAsia="zh-CN"/>
        </w:rPr>
        <w:t>2022年结转资金1668.23万元，</w:t>
      </w:r>
      <w:r>
        <w:rPr>
          <w:rFonts w:hint="eastAsia"/>
          <w:highlight w:val="none"/>
          <w:lang w:eastAsia="zh-CN"/>
        </w:rPr>
        <w:t>2023年</w:t>
      </w:r>
      <w:r>
        <w:rPr>
          <w:rFonts w:hint="eastAsia"/>
          <w:highlight w:val="none"/>
        </w:rPr>
        <w:t>地债资金</w:t>
      </w:r>
      <w:r>
        <w:rPr>
          <w:rFonts w:hint="eastAsia"/>
          <w:highlight w:val="none"/>
          <w:lang w:val="en-US" w:eastAsia="zh-CN"/>
        </w:rPr>
        <w:t>8500</w:t>
      </w:r>
      <w:r>
        <w:rPr>
          <w:rFonts w:hint="eastAsia"/>
          <w:highlight w:val="none"/>
        </w:rPr>
        <w:t>万元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  <w:lang w:val="en-US" w:eastAsia="zh-CN"/>
        </w:rPr>
        <w:t>财政部门预算资金162.43万元</w:t>
      </w:r>
      <w:r>
        <w:rPr>
          <w:rFonts w:hint="eastAsia"/>
          <w:highlight w:val="none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总体目标完成情况分析</w:t>
      </w:r>
    </w:p>
    <w:p>
      <w:pPr>
        <w:spacing w:line="500" w:lineRule="exact"/>
        <w:rPr>
          <w:highlight w:val="none"/>
          <w:lang w:bidi="ar"/>
        </w:rPr>
      </w:pPr>
      <w:r>
        <w:rPr>
          <w:rFonts w:hint="eastAsia"/>
          <w:highlight w:val="none"/>
          <w:lang w:bidi="ar"/>
        </w:rPr>
        <w:t>项目年度目标为：提交3850米工作面施工。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bidi="ar"/>
        </w:rPr>
        <w:t>项目年度完成情况：完成提交3850米工作面施工。</w:t>
      </w:r>
      <w:r>
        <w:rPr>
          <w:rFonts w:hint="eastAsia"/>
          <w:highlight w:val="none"/>
          <w:lang w:eastAsia="zh-CN"/>
        </w:rPr>
        <w:t>2023年</w:t>
      </w:r>
      <w:r>
        <w:rPr>
          <w:rFonts w:hint="eastAsia"/>
          <w:highlight w:val="none"/>
        </w:rPr>
        <w:t>度项目已按期完成计划要求，目前已完成项目总体35%的形象进度。严格执行预算，确保质量，未发生安全事故，保质保量完成任务。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（三）绩效指标完成情况分析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1.产出指标：</w:t>
      </w:r>
      <w:r>
        <w:rPr>
          <w:highlight w:val="none"/>
        </w:rPr>
        <w:t xml:space="preserve"> 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目标：提交工作面≥</w:t>
      </w:r>
      <w:r>
        <w:rPr>
          <w:rFonts w:hint="eastAsia"/>
          <w:highlight w:val="none"/>
          <w:lang w:val="en-US" w:eastAsia="zh-CN"/>
        </w:rPr>
        <w:t>3850</w:t>
      </w:r>
      <w:r>
        <w:rPr>
          <w:rFonts w:hint="eastAsia"/>
          <w:highlight w:val="none"/>
        </w:rPr>
        <w:t>米。</w:t>
      </w:r>
    </w:p>
    <w:p>
      <w:pPr>
        <w:spacing w:line="500" w:lineRule="exact"/>
        <w:rPr>
          <w:highlight w:val="none"/>
          <w:lang w:bidi="ar"/>
        </w:rPr>
      </w:pPr>
      <w:r>
        <w:rPr>
          <w:rFonts w:hint="eastAsia"/>
          <w:highlight w:val="none"/>
        </w:rPr>
        <w:t>完成情况：</w:t>
      </w:r>
      <w:r>
        <w:rPr>
          <w:rFonts w:hint="eastAsia"/>
          <w:highlight w:val="none"/>
          <w:lang w:bidi="ar"/>
        </w:rPr>
        <w:t>完成</w:t>
      </w:r>
      <w:r>
        <w:rPr>
          <w:rFonts w:hint="eastAsia"/>
          <w:highlight w:val="none"/>
          <w:lang w:val="en-US" w:eastAsia="zh-CN" w:bidi="ar"/>
        </w:rPr>
        <w:t>提交工作面3850米</w:t>
      </w:r>
      <w:r>
        <w:rPr>
          <w:rFonts w:hint="eastAsia"/>
          <w:highlight w:val="none"/>
          <w:lang w:bidi="ar"/>
        </w:rPr>
        <w:t>。完成目标绩效。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 xml:space="preserve">2.效益指标： 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目标：项目受益人数≥</w:t>
      </w:r>
      <w:r>
        <w:rPr>
          <w:rFonts w:hint="eastAsia"/>
          <w:highlight w:val="none"/>
          <w:lang w:val="en-US" w:eastAsia="zh-CN"/>
        </w:rPr>
        <w:t>10</w:t>
      </w:r>
      <w:r>
        <w:rPr>
          <w:rFonts w:hint="eastAsia"/>
          <w:highlight w:val="none"/>
        </w:rPr>
        <w:t>00人。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>完成情况：项目周边群众收益，受益人数已超</w:t>
      </w:r>
      <w:r>
        <w:rPr>
          <w:rFonts w:hint="eastAsia"/>
          <w:highlight w:val="none"/>
          <w:lang w:val="en-US" w:eastAsia="zh-CN"/>
        </w:rPr>
        <w:t>10</w:t>
      </w:r>
      <w:r>
        <w:rPr>
          <w:rFonts w:hint="eastAsia"/>
          <w:highlight w:val="none"/>
        </w:rPr>
        <w:t>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.成本指标：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目标：超概算项目比例≤5%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  <w:highlight w:val="none"/>
        </w:rPr>
      </w:pPr>
      <w:r>
        <w:rPr>
          <w:rFonts w:hint="eastAsia"/>
          <w:highlight w:val="none"/>
        </w:rPr>
        <w:t>（四）整体绩效自评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bidi="ar"/>
        </w:rPr>
        <w:t>该年度桂秀路（白驹大道至规划海涛大道段）项目整体效益目标已按时完成，绩效自评分数</w:t>
      </w:r>
      <w:r>
        <w:rPr>
          <w:rFonts w:hint="eastAsia"/>
          <w:highlight w:val="none"/>
          <w:lang w:val="en-US" w:eastAsia="zh-CN" w:bidi="ar"/>
        </w:rPr>
        <w:t>100</w:t>
      </w:r>
      <w:r>
        <w:rPr>
          <w:rFonts w:hint="eastAsia"/>
          <w:highlight w:val="none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  <w:highlight w:val="none"/>
        </w:rPr>
      </w:pPr>
      <w:r>
        <w:rPr>
          <w:rFonts w:hint="eastAsia"/>
          <w:highlight w:val="none"/>
        </w:rPr>
        <w:t>三、发现的主要问题和改进措施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无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四、绩效自评结果拟应用和公开情况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拟将绩效自评结果用于后续对于建设、施工等单位的履职尽责以及专业胜任能力的考核，可作为后续相关合作的考虑因素。</w:t>
      </w:r>
      <w:bookmarkStart w:id="0" w:name="_GoBack"/>
      <w:bookmarkEnd w:id="0"/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五、绩效自评工作开展情况</w:t>
      </w:r>
    </w:p>
    <w:p>
      <w:pPr>
        <w:spacing w:line="500" w:lineRule="exact"/>
        <w:rPr>
          <w:highlight w:val="none"/>
        </w:rPr>
      </w:pP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根据</w:t>
      </w:r>
      <w:r>
        <w:rPr>
          <w:rFonts w:ascii="Arial" w:hAnsi="Arial" w:cs="Arial"/>
          <w:color w:val="191919"/>
          <w:highlight w:val="none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我单位</w:t>
      </w:r>
      <w:r>
        <w:rPr>
          <w:rFonts w:ascii="Arial" w:hAnsi="Arial" w:cs="Arial"/>
          <w:color w:val="191919"/>
          <w:highlight w:val="none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highlight w:val="none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六、其他需要说明的问题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暂无。</w:t>
      </w:r>
    </w:p>
    <w:p>
      <w:pPr>
        <w:spacing w:line="500" w:lineRule="exact"/>
        <w:ind w:firstLine="0" w:firstLineChars="0"/>
        <w:rPr>
          <w:highlight w:val="none"/>
        </w:rPr>
      </w:pPr>
    </w:p>
    <w:p>
      <w:pPr>
        <w:pStyle w:val="2"/>
        <w:ind w:firstLine="640"/>
        <w:rPr>
          <w:highlight w:val="none"/>
        </w:rPr>
      </w:pPr>
    </w:p>
    <w:p>
      <w:pPr>
        <w:pStyle w:val="2"/>
        <w:ind w:firstLine="640"/>
        <w:rPr>
          <w:highlight w:val="none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1168"/>
    <w:rsid w:val="000732DA"/>
    <w:rsid w:val="00075CDC"/>
    <w:rsid w:val="000B1E8F"/>
    <w:rsid w:val="00103D16"/>
    <w:rsid w:val="001214D7"/>
    <w:rsid w:val="0012625D"/>
    <w:rsid w:val="00136702"/>
    <w:rsid w:val="00164D84"/>
    <w:rsid w:val="001D628A"/>
    <w:rsid w:val="00211581"/>
    <w:rsid w:val="0023667A"/>
    <w:rsid w:val="00250053"/>
    <w:rsid w:val="00276CCC"/>
    <w:rsid w:val="00287C3C"/>
    <w:rsid w:val="002D0A98"/>
    <w:rsid w:val="003370F3"/>
    <w:rsid w:val="00340575"/>
    <w:rsid w:val="00340C82"/>
    <w:rsid w:val="00371982"/>
    <w:rsid w:val="0039432D"/>
    <w:rsid w:val="003C5A69"/>
    <w:rsid w:val="003C6374"/>
    <w:rsid w:val="00415F7C"/>
    <w:rsid w:val="004531B5"/>
    <w:rsid w:val="00497D5A"/>
    <w:rsid w:val="004C5CEC"/>
    <w:rsid w:val="004D5A71"/>
    <w:rsid w:val="00503C12"/>
    <w:rsid w:val="00560E3E"/>
    <w:rsid w:val="00572153"/>
    <w:rsid w:val="006313DE"/>
    <w:rsid w:val="00747904"/>
    <w:rsid w:val="00785AF7"/>
    <w:rsid w:val="007873EA"/>
    <w:rsid w:val="007A1DC2"/>
    <w:rsid w:val="007C1C0B"/>
    <w:rsid w:val="007E546A"/>
    <w:rsid w:val="008A20F2"/>
    <w:rsid w:val="00A1169D"/>
    <w:rsid w:val="00A92E5C"/>
    <w:rsid w:val="00AA2B82"/>
    <w:rsid w:val="00B13839"/>
    <w:rsid w:val="00B23861"/>
    <w:rsid w:val="00B53B78"/>
    <w:rsid w:val="00C55880"/>
    <w:rsid w:val="00CC152C"/>
    <w:rsid w:val="00CC621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0FC2DC3"/>
    <w:rsid w:val="013F0BA0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0F0B60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1FF70178"/>
    <w:rsid w:val="20BD1B38"/>
    <w:rsid w:val="21B57B1D"/>
    <w:rsid w:val="21DE5A03"/>
    <w:rsid w:val="21F00DBA"/>
    <w:rsid w:val="228B3D05"/>
    <w:rsid w:val="25FE8923"/>
    <w:rsid w:val="27F34A6B"/>
    <w:rsid w:val="286D5E37"/>
    <w:rsid w:val="28E373DF"/>
    <w:rsid w:val="2A94137D"/>
    <w:rsid w:val="2CBB425E"/>
    <w:rsid w:val="2D8B4B0D"/>
    <w:rsid w:val="2F6F4467"/>
    <w:rsid w:val="2FAD4FCA"/>
    <w:rsid w:val="324D4AB3"/>
    <w:rsid w:val="33E86A4E"/>
    <w:rsid w:val="354B3EC1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3C0A23"/>
    <w:rsid w:val="3E6918DD"/>
    <w:rsid w:val="3F5579C2"/>
    <w:rsid w:val="40950555"/>
    <w:rsid w:val="415F08D8"/>
    <w:rsid w:val="41AE398F"/>
    <w:rsid w:val="41C85CBE"/>
    <w:rsid w:val="42F07593"/>
    <w:rsid w:val="433B52D2"/>
    <w:rsid w:val="43690154"/>
    <w:rsid w:val="43ED7E14"/>
    <w:rsid w:val="441867FA"/>
    <w:rsid w:val="4434078E"/>
    <w:rsid w:val="44C635B7"/>
    <w:rsid w:val="44E2230F"/>
    <w:rsid w:val="46C2249B"/>
    <w:rsid w:val="46CD5436"/>
    <w:rsid w:val="46E11476"/>
    <w:rsid w:val="46F9107C"/>
    <w:rsid w:val="4881717A"/>
    <w:rsid w:val="48B51347"/>
    <w:rsid w:val="4A1B2E89"/>
    <w:rsid w:val="4A55216A"/>
    <w:rsid w:val="4AEE728F"/>
    <w:rsid w:val="4B0E65C7"/>
    <w:rsid w:val="4BFD2870"/>
    <w:rsid w:val="4C4F4283"/>
    <w:rsid w:val="4D2907E5"/>
    <w:rsid w:val="4D4C56FF"/>
    <w:rsid w:val="4DC43E92"/>
    <w:rsid w:val="4E28048D"/>
    <w:rsid w:val="4FE0696A"/>
    <w:rsid w:val="50D34630"/>
    <w:rsid w:val="50F76058"/>
    <w:rsid w:val="50F91B2C"/>
    <w:rsid w:val="50FE6375"/>
    <w:rsid w:val="51FD19E1"/>
    <w:rsid w:val="52250A31"/>
    <w:rsid w:val="528F2AA6"/>
    <w:rsid w:val="53773584"/>
    <w:rsid w:val="55673508"/>
    <w:rsid w:val="56FE7A11"/>
    <w:rsid w:val="57FCC004"/>
    <w:rsid w:val="58733980"/>
    <w:rsid w:val="59595A6F"/>
    <w:rsid w:val="599330CA"/>
    <w:rsid w:val="59A60DC8"/>
    <w:rsid w:val="5B0D23FC"/>
    <w:rsid w:val="5B6C0F28"/>
    <w:rsid w:val="5D4F42E6"/>
    <w:rsid w:val="5DB076C2"/>
    <w:rsid w:val="5E036AA4"/>
    <w:rsid w:val="5F76F0C1"/>
    <w:rsid w:val="5FF371E7"/>
    <w:rsid w:val="600865E8"/>
    <w:rsid w:val="603B6C1D"/>
    <w:rsid w:val="60D5009F"/>
    <w:rsid w:val="619D08BC"/>
    <w:rsid w:val="6261716A"/>
    <w:rsid w:val="6324384D"/>
    <w:rsid w:val="64306D81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6ED8795F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4C4D0F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1038</Words>
  <Characters>1121</Characters>
  <Lines>8</Lines>
  <Paragraphs>2</Paragraphs>
  <TotalTime>0</TotalTime>
  <ScaleCrop>false</ScaleCrop>
  <LinksUpToDate>false</LinksUpToDate>
  <CharactersWithSpaces>1124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2024-04-08T12:26:04Z</dcterms:modified>
  <dc:title>财政支出绩效评价报告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