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海文高速联络线东段综合管廊项目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autoSpaceDE w:val="0"/>
        <w:adjustRightInd w:val="0"/>
        <w:snapToGrid w:val="0"/>
        <w:spacing w:line="576" w:lineRule="exact"/>
        <w:rPr>
          <w:rFonts w:ascii="仿宋" w:hAnsi="仿宋" w:cs="仿宋"/>
          <w:szCs w:val="32"/>
        </w:rPr>
      </w:pPr>
      <w:r>
        <w:rPr>
          <w:rFonts w:hint="eastAsia"/>
        </w:rPr>
        <w:t>海文高速联络线东段综合管廊项目业主为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 w:hAnsi="Calibri" w:cs="仿宋_GB2312"/>
          <w:color w:val="333333"/>
          <w:spacing w:val="8"/>
          <w:kern w:val="0"/>
          <w:szCs w:val="32"/>
          <w:shd w:val="clear" w:color="auto" w:fill="FFFFFF"/>
          <w:lang w:bidi="ar"/>
        </w:rPr>
        <w:t>本项目为海文高速联络线东段综合管廊（林田大道~绕城高速），长度为3.15千米，采用单舱标准断面，为电力专用管廊，结构外包尺寸3.2米x3.85米。本工程建设内容主要为：综合管廊主体结构、附属构筑物、过路排管、内部安装工程（电气、自控、排水、消防、暖通）、标识标牌、支架工程等以及基坑等临时性工程。</w:t>
      </w:r>
      <w:r>
        <w:rPr>
          <w:rFonts w:hint="eastAsia"/>
        </w:rPr>
        <w:t>项目概算总投资</w:t>
      </w:r>
      <w:r>
        <w:rPr>
          <w:rFonts w:hint="eastAsia" w:hAnsi="Calibri" w:cs="仿宋_GB2312"/>
          <w:color w:val="333333"/>
          <w:spacing w:val="8"/>
          <w:kern w:val="0"/>
          <w:szCs w:val="32"/>
          <w:shd w:val="clear" w:color="auto" w:fill="FFFFFF"/>
          <w:lang w:val="en-US" w:eastAsia="zh-CN" w:bidi="ar"/>
        </w:rPr>
        <w:t>24324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500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5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500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5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  <w:lang w:bidi="ar"/>
        </w:rPr>
      </w:pPr>
      <w:r>
        <w:rPr>
          <w:rFonts w:hint="eastAsia"/>
          <w:lang w:bidi="ar"/>
        </w:rPr>
        <w:t>项目年度目标为：完成施工工作面20000平方米，固投产值2000万元。</w:t>
      </w:r>
      <w:r>
        <w:rPr>
          <w:rFonts w:hint="eastAsia"/>
          <w:lang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lang w:bidi="ar"/>
        </w:rPr>
      </w:pPr>
      <w:r>
        <w:rPr>
          <w:rFonts w:hint="eastAsia"/>
          <w:lang w:bidi="ar"/>
        </w:rPr>
        <w:t>项目年度完成情况：</w:t>
      </w:r>
      <w:r>
        <w:rPr>
          <w:rFonts w:hint="eastAsia"/>
          <w:lang w:val="en-US" w:eastAsia="zh-CN" w:bidi="ar"/>
        </w:rPr>
        <w:t>实际</w:t>
      </w:r>
      <w:r>
        <w:rPr>
          <w:rFonts w:hint="eastAsia"/>
          <w:lang w:bidi="ar"/>
        </w:rPr>
        <w:t>完成施工工作面20000平方米，固投产值2000万元。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度项目已按期完成计划要求。严格执行预算，确保质量，未发生安全事故，保质保量完成任务。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tabs>
          <w:tab w:val="center" w:pos="4153"/>
        </w:tabs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完成工作面</w:t>
      </w:r>
      <w:r>
        <w:rPr>
          <w:rFonts w:hint="eastAsia"/>
        </w:rPr>
        <w:t>≥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20000平方</w:t>
      </w:r>
      <w:r>
        <w:rPr>
          <w:rFonts w:hint="eastAsia"/>
        </w:rPr>
        <w:t>米。</w:t>
      </w:r>
    </w:p>
    <w:p>
      <w:pPr>
        <w:spacing w:line="500" w:lineRule="exact"/>
        <w:rPr>
          <w:lang w:bidi="ar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实际完成工作面22000平方米</w:t>
      </w:r>
      <w:r>
        <w:rPr>
          <w:rFonts w:hint="eastAsia"/>
          <w:lang w:bidi="ar"/>
        </w:rPr>
        <w:t>。完成目标绩效。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目标：项目受益人数≥5000人。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完成情况：项目周边群众收益，受益人数已超5000人，完成目标绩效。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该年度海文高速联络线东段综合管廊项目整体效益目标已按时完成，绩效自评分数</w:t>
      </w:r>
      <w:r>
        <w:rPr>
          <w:rFonts w:hint="eastAsia"/>
          <w:lang w:val="en-US" w:eastAsia="zh-CN" w:bidi="ar"/>
        </w:rPr>
        <w:t>98.05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</w:t>
      </w:r>
      <w:bookmarkStart w:id="0" w:name="_GoBack"/>
      <w:bookmarkEnd w:id="0"/>
      <w:r>
        <w:rPr>
          <w:rFonts w:hint="eastAsia"/>
        </w:rPr>
        <w:t>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spacing w:line="500" w:lineRule="exact"/>
      </w:pPr>
    </w:p>
    <w:p>
      <w:pPr>
        <w:spacing w:line="500" w:lineRule="exact"/>
      </w:pPr>
    </w:p>
    <w:p>
      <w:pPr>
        <w:spacing w:line="500" w:lineRule="exact"/>
        <w:ind w:left="4480" w:leftChars="1100" w:hanging="960" w:hangingChars="300"/>
        <w:jc w:val="left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40F1C"/>
    <w:rsid w:val="00054D92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22888"/>
    <w:rsid w:val="00250053"/>
    <w:rsid w:val="00276CCC"/>
    <w:rsid w:val="00287C3C"/>
    <w:rsid w:val="002D0A98"/>
    <w:rsid w:val="003370F3"/>
    <w:rsid w:val="00371982"/>
    <w:rsid w:val="0039432D"/>
    <w:rsid w:val="003A6E76"/>
    <w:rsid w:val="003C6374"/>
    <w:rsid w:val="00415F7C"/>
    <w:rsid w:val="004531B5"/>
    <w:rsid w:val="004C5CEC"/>
    <w:rsid w:val="004D5A71"/>
    <w:rsid w:val="00503C12"/>
    <w:rsid w:val="00546EBE"/>
    <w:rsid w:val="00560E3E"/>
    <w:rsid w:val="00572153"/>
    <w:rsid w:val="00747904"/>
    <w:rsid w:val="00785AF7"/>
    <w:rsid w:val="007873EA"/>
    <w:rsid w:val="007A1DC2"/>
    <w:rsid w:val="007C1C0B"/>
    <w:rsid w:val="007E546A"/>
    <w:rsid w:val="008A20F2"/>
    <w:rsid w:val="00A1169D"/>
    <w:rsid w:val="00A92E5C"/>
    <w:rsid w:val="00AA2B82"/>
    <w:rsid w:val="00B13839"/>
    <w:rsid w:val="00B23861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03F33"/>
    <w:rsid w:val="00EB5BB9"/>
    <w:rsid w:val="00ED6D53"/>
    <w:rsid w:val="00F220A3"/>
    <w:rsid w:val="00F22AE2"/>
    <w:rsid w:val="00F437B4"/>
    <w:rsid w:val="00F57F82"/>
    <w:rsid w:val="00F602C9"/>
    <w:rsid w:val="00F64E54"/>
    <w:rsid w:val="00F75963"/>
    <w:rsid w:val="00FA357A"/>
    <w:rsid w:val="00FA3EB0"/>
    <w:rsid w:val="00FC497B"/>
    <w:rsid w:val="029E5817"/>
    <w:rsid w:val="02C86339"/>
    <w:rsid w:val="037D0BC8"/>
    <w:rsid w:val="04076DA7"/>
    <w:rsid w:val="055025D2"/>
    <w:rsid w:val="06112265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9840D3"/>
    <w:rsid w:val="13C65D21"/>
    <w:rsid w:val="143E091F"/>
    <w:rsid w:val="14865FC8"/>
    <w:rsid w:val="150C2DB0"/>
    <w:rsid w:val="17C05E32"/>
    <w:rsid w:val="18F83E24"/>
    <w:rsid w:val="1BC515FC"/>
    <w:rsid w:val="1CE94882"/>
    <w:rsid w:val="1E761F05"/>
    <w:rsid w:val="1F7D7899"/>
    <w:rsid w:val="1FC7205C"/>
    <w:rsid w:val="20BD1B38"/>
    <w:rsid w:val="21B57B1D"/>
    <w:rsid w:val="21DE5A03"/>
    <w:rsid w:val="21F00DBA"/>
    <w:rsid w:val="228B3D05"/>
    <w:rsid w:val="25FE8923"/>
    <w:rsid w:val="26D7660D"/>
    <w:rsid w:val="27F34A6B"/>
    <w:rsid w:val="286D5E37"/>
    <w:rsid w:val="28E373DF"/>
    <w:rsid w:val="2A94137D"/>
    <w:rsid w:val="2CBB425E"/>
    <w:rsid w:val="2D8B4B0D"/>
    <w:rsid w:val="2E742BF7"/>
    <w:rsid w:val="2F6F4467"/>
    <w:rsid w:val="2FAD4FCA"/>
    <w:rsid w:val="31D10829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70103D2"/>
    <w:rsid w:val="4881717A"/>
    <w:rsid w:val="48B51347"/>
    <w:rsid w:val="49977099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3D70228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3F96BE1"/>
    <w:rsid w:val="660721C9"/>
    <w:rsid w:val="661E6C75"/>
    <w:rsid w:val="66EF05B8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422DA7"/>
    <w:rsid w:val="6BF3256F"/>
    <w:rsid w:val="6CE7018A"/>
    <w:rsid w:val="6D08690D"/>
    <w:rsid w:val="6DA15568"/>
    <w:rsid w:val="6E3E3F2D"/>
    <w:rsid w:val="70767883"/>
    <w:rsid w:val="70D86EB2"/>
    <w:rsid w:val="715B2F02"/>
    <w:rsid w:val="72605B7B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3F4865"/>
    <w:rsid w:val="7BB71159"/>
    <w:rsid w:val="7C1A2432"/>
    <w:rsid w:val="7CAB4D9F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976</Words>
  <Characters>1059</Characters>
  <Lines>7</Lines>
  <Paragraphs>2</Paragraphs>
  <TotalTime>0</TotalTime>
  <ScaleCrop>false</ScaleCrop>
  <LinksUpToDate>false</LinksUpToDate>
  <CharactersWithSpaces>1061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2024-04-08T09:10:47Z</dcterms:modified>
  <dc:title>财政支出绩效评价报告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