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椰青园安置社区配套学校项目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>
      <w:pPr>
        <w:ind w:firstLine="0" w:firstLineChars="0"/>
      </w:pPr>
    </w:p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spacing w:line="500" w:lineRule="exact"/>
        <w:rPr>
          <w:rFonts w:ascii="仿宋" w:hAnsi="仿宋" w:cs="仿宋"/>
          <w:szCs w:val="32"/>
        </w:rPr>
      </w:pPr>
      <w:r>
        <w:rPr>
          <w:rFonts w:hint="eastAsia"/>
        </w:rPr>
        <w:t>椰青园安置社区配套学校项目业主为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项目位于海口市江东新区国际文化交往组团JDWH-03-A05地块，紧邻椰青园安置社区，西侧邻靠琼山大道，其他三侧邻靠规划市政路。项目用地面积55987.39㎡，总建筑面积66239.36㎡，其中地上建筑面积59163.38㎡，地下建筑面积7075.98㎡。建设内容包括中小学教学楼、综合楼、宿舍楼、体育中心、幼儿园，配套建设给排水、消防、电气、通风及空调等公用工程和室外水电、体育运动场、道路及广场、绿化、围墙等附属工程。项目概算总投资为</w:t>
      </w:r>
      <w:r>
        <w:rPr>
          <w:rFonts w:hint="eastAsia"/>
          <w:lang w:val="en-US" w:eastAsia="zh-CN"/>
        </w:rPr>
        <w:t>84017</w:t>
      </w:r>
      <w:r>
        <w:rPr>
          <w:rFonts w:hint="eastAsia"/>
        </w:rPr>
        <w:t>万元.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3000</w:t>
      </w:r>
      <w:r>
        <w:rPr>
          <w:rFonts w:hint="eastAsia"/>
        </w:rPr>
        <w:t>万元，</w:t>
      </w:r>
      <w:r>
        <w:rPr>
          <w:rFonts w:hint="eastAsia"/>
          <w:color w:val="auto"/>
          <w:sz w:val="32"/>
          <w:szCs w:val="36"/>
        </w:rPr>
        <w:t>其中</w:t>
      </w:r>
      <w:r>
        <w:rPr>
          <w:rFonts w:hint="eastAsia"/>
          <w:color w:val="auto"/>
          <w:sz w:val="32"/>
          <w:szCs w:val="36"/>
          <w:lang w:eastAsia="zh-CN"/>
        </w:rPr>
        <w:t>2023年</w:t>
      </w:r>
      <w:r>
        <w:rPr>
          <w:rFonts w:hint="eastAsia"/>
          <w:color w:val="auto"/>
          <w:sz w:val="32"/>
          <w:szCs w:val="36"/>
        </w:rPr>
        <w:t>地债资金</w:t>
      </w:r>
      <w:r>
        <w:rPr>
          <w:rFonts w:hint="eastAsia"/>
          <w:color w:val="auto"/>
          <w:sz w:val="32"/>
          <w:szCs w:val="36"/>
          <w:lang w:val="en-US" w:eastAsia="zh-CN"/>
        </w:rPr>
        <w:t>3</w:t>
      </w:r>
      <w:r>
        <w:rPr>
          <w:rFonts w:hint="eastAsia"/>
          <w:color w:val="auto"/>
          <w:sz w:val="32"/>
          <w:szCs w:val="36"/>
        </w:rPr>
        <w:t>000万元。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3000</w:t>
      </w:r>
      <w:r>
        <w:rPr>
          <w:rFonts w:hint="eastAsia"/>
        </w:rPr>
        <w:t>万元，</w:t>
      </w:r>
      <w:r>
        <w:rPr>
          <w:rFonts w:hint="eastAsia"/>
          <w:color w:val="auto"/>
          <w:sz w:val="32"/>
          <w:szCs w:val="36"/>
        </w:rPr>
        <w:t>其中</w:t>
      </w:r>
      <w:r>
        <w:rPr>
          <w:rFonts w:hint="eastAsia"/>
          <w:color w:val="auto"/>
          <w:sz w:val="32"/>
          <w:szCs w:val="36"/>
          <w:lang w:eastAsia="zh-CN"/>
        </w:rPr>
        <w:t>2023年</w:t>
      </w:r>
      <w:r>
        <w:rPr>
          <w:rFonts w:hint="eastAsia"/>
          <w:color w:val="auto"/>
          <w:sz w:val="32"/>
          <w:szCs w:val="36"/>
        </w:rPr>
        <w:t>地债资金</w:t>
      </w:r>
      <w:r>
        <w:rPr>
          <w:rFonts w:hint="eastAsia"/>
          <w:color w:val="auto"/>
          <w:sz w:val="32"/>
          <w:szCs w:val="36"/>
          <w:lang w:val="en-US" w:eastAsia="zh-CN"/>
        </w:rPr>
        <w:t>3</w:t>
      </w:r>
      <w:r>
        <w:rPr>
          <w:rFonts w:hint="eastAsia"/>
          <w:color w:val="auto"/>
          <w:sz w:val="32"/>
          <w:szCs w:val="36"/>
        </w:rPr>
        <w:t>000万元。</w:t>
      </w:r>
      <w:r>
        <w:rPr>
          <w:rFonts w:hint="eastAsia"/>
        </w:rPr>
        <w:t>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highlight w:val="yellow"/>
          <w:lang w:bidi="ar"/>
        </w:rPr>
      </w:pPr>
      <w:r>
        <w:rPr>
          <w:rFonts w:hint="eastAsia"/>
          <w:lang w:bidi="ar"/>
        </w:rPr>
        <w:t>项目年度目标为：按计划推进本项目建设，完成80%主体结构施工、50%二次结构施工。</w:t>
      </w:r>
    </w:p>
    <w:p>
      <w:pPr>
        <w:spacing w:line="500" w:lineRule="exact"/>
        <w:rPr>
          <w:lang w:bidi="ar"/>
        </w:rPr>
      </w:pPr>
      <w:r>
        <w:rPr>
          <w:rFonts w:hint="eastAsia"/>
          <w:lang w:bidi="ar"/>
        </w:rPr>
        <w:t>项目年度完成情况：项目按工期计划推动椰青园安置社区配套学校项目完成95%主体结构施工、完成60%二次结构施工。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目标：项目设计变更率</w:t>
      </w:r>
      <w:r>
        <w:rPr>
          <w:rFonts w:hint="eastAsia"/>
          <w:lang w:val="en-US" w:eastAsia="zh-CN"/>
        </w:rPr>
        <w:t>≤10%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项目未发生设计变更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 xml:space="preserve">2.效益指标： 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目标：项目受益人数≥1</w:t>
      </w:r>
      <w:r>
        <w:rPr>
          <w:rFonts w:hint="eastAsia"/>
          <w:lang w:val="en-US" w:eastAsia="zh-CN"/>
        </w:rPr>
        <w:t>50</w:t>
      </w:r>
      <w:r>
        <w:rPr>
          <w:rFonts w:hint="eastAsia"/>
        </w:rPr>
        <w:t>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完成情况：项目受益人数已超</w:t>
      </w:r>
      <w:bookmarkStart w:id="0" w:name="_GoBack"/>
      <w:bookmarkEnd w:id="0"/>
      <w:r>
        <w:rPr>
          <w:rFonts w:hint="eastAsia"/>
          <w:lang w:val="en-US" w:eastAsia="zh-CN"/>
        </w:rPr>
        <w:t>150</w:t>
      </w:r>
      <w:r>
        <w:rPr>
          <w:rFonts w:hint="eastAsia"/>
        </w:rPr>
        <w:t>00人，完成目标绩效。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</w:rPr>
        <w:t>3.成本指标：</w:t>
      </w:r>
    </w:p>
    <w:p>
      <w:pPr>
        <w:spacing w:line="500" w:lineRule="exact"/>
      </w:pPr>
      <w:r>
        <w:rPr>
          <w:rFonts w:hint="eastAsia"/>
        </w:rPr>
        <w:t>目标：超概算项目比例≤5%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该年度椰青园安置社区配套学校项目整体效益目标已按时完成，绩效自评分数100分，自评等级优。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firstLine="640"/>
      </w:pPr>
    </w:p>
    <w:p>
      <w:pPr>
        <w:pStyle w:val="2"/>
        <w:ind w:firstLine="640"/>
        <w:jc w:val="center"/>
      </w:pPr>
      <w:r>
        <w:rPr>
          <w:rFonts w:hint="eastAsia"/>
        </w:rPr>
        <w:t xml:space="preserve">    </w:t>
      </w: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trackRevisions w:val="1"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865F2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C5CEC"/>
    <w:rsid w:val="004D5A71"/>
    <w:rsid w:val="00503C12"/>
    <w:rsid w:val="00560E3E"/>
    <w:rsid w:val="00572153"/>
    <w:rsid w:val="00747904"/>
    <w:rsid w:val="00785AF7"/>
    <w:rsid w:val="007873EA"/>
    <w:rsid w:val="007A1DC2"/>
    <w:rsid w:val="007C1C0B"/>
    <w:rsid w:val="007E546A"/>
    <w:rsid w:val="008A20F2"/>
    <w:rsid w:val="00903A8B"/>
    <w:rsid w:val="00A1169D"/>
    <w:rsid w:val="00A92E5C"/>
    <w:rsid w:val="00AA2B82"/>
    <w:rsid w:val="00B13839"/>
    <w:rsid w:val="00B23861"/>
    <w:rsid w:val="00C55880"/>
    <w:rsid w:val="00CC152C"/>
    <w:rsid w:val="00CC61A0"/>
    <w:rsid w:val="00CE3824"/>
    <w:rsid w:val="00CE55E9"/>
    <w:rsid w:val="00D200DC"/>
    <w:rsid w:val="00D44AD5"/>
    <w:rsid w:val="00D61B1A"/>
    <w:rsid w:val="00D63908"/>
    <w:rsid w:val="00D72958"/>
    <w:rsid w:val="00D82388"/>
    <w:rsid w:val="00DA1813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256755B"/>
    <w:rsid w:val="029E5817"/>
    <w:rsid w:val="02C86339"/>
    <w:rsid w:val="02D239C2"/>
    <w:rsid w:val="037D0BC8"/>
    <w:rsid w:val="04076DA7"/>
    <w:rsid w:val="055025D2"/>
    <w:rsid w:val="07FA0264"/>
    <w:rsid w:val="0845082D"/>
    <w:rsid w:val="0848123F"/>
    <w:rsid w:val="08A1260D"/>
    <w:rsid w:val="096A663E"/>
    <w:rsid w:val="09874B67"/>
    <w:rsid w:val="09E965F2"/>
    <w:rsid w:val="0A4A3A37"/>
    <w:rsid w:val="0A87714B"/>
    <w:rsid w:val="0AA07079"/>
    <w:rsid w:val="0EC63FED"/>
    <w:rsid w:val="0EFB5A0A"/>
    <w:rsid w:val="0FFFAAC1"/>
    <w:rsid w:val="10117145"/>
    <w:rsid w:val="10661A88"/>
    <w:rsid w:val="109675FA"/>
    <w:rsid w:val="11D7196B"/>
    <w:rsid w:val="12CA3F9C"/>
    <w:rsid w:val="139840D3"/>
    <w:rsid w:val="143E091F"/>
    <w:rsid w:val="14865FC8"/>
    <w:rsid w:val="150C2DB0"/>
    <w:rsid w:val="16F37EA3"/>
    <w:rsid w:val="17C05E32"/>
    <w:rsid w:val="18F83E24"/>
    <w:rsid w:val="1CE94882"/>
    <w:rsid w:val="1E761F05"/>
    <w:rsid w:val="1FC7205C"/>
    <w:rsid w:val="20BD1B38"/>
    <w:rsid w:val="21B57B1D"/>
    <w:rsid w:val="21DE5A03"/>
    <w:rsid w:val="21F00DBA"/>
    <w:rsid w:val="228B3D05"/>
    <w:rsid w:val="25FE8923"/>
    <w:rsid w:val="26B75F6B"/>
    <w:rsid w:val="26D0702D"/>
    <w:rsid w:val="27F34A6B"/>
    <w:rsid w:val="286D5E37"/>
    <w:rsid w:val="28E373DF"/>
    <w:rsid w:val="29883BEF"/>
    <w:rsid w:val="2A94137D"/>
    <w:rsid w:val="2AD52E64"/>
    <w:rsid w:val="2CBB425E"/>
    <w:rsid w:val="2D8B4B0D"/>
    <w:rsid w:val="2F6F4467"/>
    <w:rsid w:val="2FAD4FCA"/>
    <w:rsid w:val="2FED29FE"/>
    <w:rsid w:val="33786EA3"/>
    <w:rsid w:val="33E20005"/>
    <w:rsid w:val="33E86A4E"/>
    <w:rsid w:val="355571ED"/>
    <w:rsid w:val="368D368C"/>
    <w:rsid w:val="36B95C8B"/>
    <w:rsid w:val="3800655A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56926CF"/>
    <w:rsid w:val="46E11476"/>
    <w:rsid w:val="46F9107C"/>
    <w:rsid w:val="4881717A"/>
    <w:rsid w:val="48B51347"/>
    <w:rsid w:val="4A1B2E89"/>
    <w:rsid w:val="4A55216A"/>
    <w:rsid w:val="4B0E65C7"/>
    <w:rsid w:val="4B8A1D1C"/>
    <w:rsid w:val="4B9009B5"/>
    <w:rsid w:val="4BFD2870"/>
    <w:rsid w:val="4C4F4283"/>
    <w:rsid w:val="4D2907E5"/>
    <w:rsid w:val="4D4C56FF"/>
    <w:rsid w:val="4DC43E92"/>
    <w:rsid w:val="4E4168DE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18702B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3277547"/>
    <w:rsid w:val="748C1146"/>
    <w:rsid w:val="75A62CFF"/>
    <w:rsid w:val="76A548F2"/>
    <w:rsid w:val="7765772E"/>
    <w:rsid w:val="777331DE"/>
    <w:rsid w:val="77867685"/>
    <w:rsid w:val="77F04540"/>
    <w:rsid w:val="781F36B6"/>
    <w:rsid w:val="78ED5A1E"/>
    <w:rsid w:val="790627AD"/>
    <w:rsid w:val="7ABA7609"/>
    <w:rsid w:val="7ADC59FA"/>
    <w:rsid w:val="7BB71159"/>
    <w:rsid w:val="7C0B180E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1038</Words>
  <Characters>1133</Characters>
  <Lines>1</Lines>
  <Paragraphs>1</Paragraphs>
  <TotalTime>0</TotalTime>
  <ScaleCrop>false</ScaleCrop>
  <LinksUpToDate>false</LinksUpToDate>
  <CharactersWithSpaces>1142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2024-04-08T09:08:26Z</dcterms:modified>
  <dc:title>财政支出绩效评价报告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