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0" w:firstLineChars="0"/>
        <w:rPr>
          <w:rFonts w:ascii="方正小标宋简体" w:eastAsia="方正小标宋简体"/>
          <w:sz w:val="40"/>
          <w:szCs w:val="40"/>
        </w:rPr>
      </w:pPr>
      <w:r>
        <w:rPr>
          <w:rFonts w:hint="eastAsia" w:ascii="方正小标宋简体" w:eastAsia="方正小标宋简体"/>
          <w:sz w:val="40"/>
          <w:szCs w:val="40"/>
        </w:rPr>
        <w:t>海医一附院江东新院区周边配套路网项目</w:t>
      </w:r>
    </w:p>
    <w:p>
      <w:pPr>
        <w:pStyle w:val="8"/>
        <w:ind w:firstLine="0" w:firstLineChars="0"/>
        <w:rPr>
          <w:rFonts w:ascii="方正小标宋简体" w:eastAsia="方正小标宋简体"/>
          <w:sz w:val="40"/>
          <w:szCs w:val="40"/>
        </w:rPr>
      </w:pPr>
      <w:r>
        <w:rPr>
          <w:rFonts w:hint="eastAsia" w:ascii="方正小标宋简体" w:eastAsia="方正小标宋简体"/>
          <w:sz w:val="40"/>
          <w:szCs w:val="40"/>
          <w:lang w:eastAsia="zh-CN"/>
        </w:rPr>
        <w:t>2023年</w:t>
      </w:r>
      <w:r>
        <w:rPr>
          <w:rFonts w:hint="eastAsia" w:ascii="方正小标宋简体" w:eastAsia="方正小标宋简体"/>
          <w:sz w:val="40"/>
          <w:szCs w:val="40"/>
        </w:rPr>
        <w:t>度绩效自评报告</w:t>
      </w:r>
    </w:p>
    <w:p/>
    <w:p/>
    <w:p>
      <w:pPr>
        <w:pStyle w:val="3"/>
        <w:spacing w:line="500" w:lineRule="exact"/>
      </w:pPr>
      <w:r>
        <w:rPr>
          <w:rFonts w:hint="eastAsia"/>
        </w:rPr>
        <w:t>一、基本情况</w:t>
      </w:r>
    </w:p>
    <w:p>
      <w:pPr>
        <w:pStyle w:val="3"/>
        <w:spacing w:line="500" w:lineRule="exact"/>
        <w:rPr>
          <w:color w:val="FF0000"/>
        </w:rPr>
      </w:pPr>
      <w:r>
        <w:rPr>
          <w:rFonts w:hint="eastAsia"/>
        </w:rPr>
        <w:t>（一）项目概况</w:t>
      </w:r>
    </w:p>
    <w:p>
      <w:pPr>
        <w:spacing w:line="500" w:lineRule="exact"/>
        <w:rPr>
          <w:rFonts w:hint="eastAsia"/>
        </w:rPr>
      </w:pPr>
      <w:r>
        <w:rPr>
          <w:rFonts w:hint="eastAsia"/>
        </w:rPr>
        <w:t>海医一附院江东新院区周边配套路网项目业主为</w:t>
      </w:r>
      <w:r>
        <w:rPr>
          <w:rFonts w:hint="eastAsia"/>
          <w:lang w:val="en-US" w:eastAsia="zh-CN"/>
        </w:rPr>
        <w:t>海口市恒慧基础建设有限公司</w:t>
      </w:r>
      <w:r>
        <w:rPr>
          <w:rFonts w:hint="eastAsia"/>
          <w:lang w:eastAsia="zh-CN"/>
        </w:rPr>
        <w:t>（</w:t>
      </w:r>
      <w:r>
        <w:rPr>
          <w:rFonts w:hint="eastAsia"/>
          <w:lang w:val="en-US" w:eastAsia="zh-CN"/>
        </w:rPr>
        <w:t>变更前名称：</w:t>
      </w:r>
      <w:r>
        <w:rPr>
          <w:rFonts w:hint="eastAsia"/>
        </w:rPr>
        <w:t>海口江东新区基础建设有限公司</w:t>
      </w:r>
      <w:r>
        <w:rPr>
          <w:rFonts w:hint="eastAsia"/>
          <w:lang w:eastAsia="zh-CN"/>
        </w:rPr>
        <w:t>）</w:t>
      </w:r>
      <w:r>
        <w:rPr>
          <w:rFonts w:hint="eastAsia"/>
        </w:rPr>
        <w:t>，项目位于海口江东新区，包含知行路、知行南路、博学西一路、博学西二路、博学西三路5条道路，全长约2.374km，道路红线宽度12～24m；工程建设内容包含道路工程、给水工程、排水工程、绿化工程、照明工程、交通工程、缆线管廊工程等。概算总投资</w:t>
      </w:r>
      <w:r>
        <w:rPr>
          <w:rFonts w:hint="eastAsia"/>
          <w:lang w:val="en-US" w:eastAsia="zh-CN"/>
        </w:rPr>
        <w:t>14242</w:t>
      </w:r>
      <w:r>
        <w:rPr>
          <w:rFonts w:hint="eastAsia"/>
        </w:rPr>
        <w:t>万元。</w:t>
      </w:r>
    </w:p>
    <w:p>
      <w:pPr>
        <w:pStyle w:val="3"/>
        <w:spacing w:line="500" w:lineRule="exact"/>
      </w:pPr>
      <w:r>
        <w:rPr>
          <w:rFonts w:hint="eastAsia"/>
        </w:rPr>
        <w:t>（二）项目资金情况</w:t>
      </w:r>
    </w:p>
    <w:p>
      <w:pPr>
        <w:spacing w:line="500" w:lineRule="exact"/>
      </w:pPr>
      <w:r>
        <w:rPr>
          <w:rFonts w:hint="eastAsia"/>
          <w:sz w:val="32"/>
          <w:szCs w:val="36"/>
        </w:rPr>
        <w:t>该项目</w:t>
      </w:r>
      <w:r>
        <w:rPr>
          <w:rFonts w:hint="eastAsia"/>
          <w:sz w:val="32"/>
          <w:szCs w:val="36"/>
          <w:lang w:eastAsia="zh-CN"/>
        </w:rPr>
        <w:t>2023年</w:t>
      </w:r>
      <w:r>
        <w:rPr>
          <w:rFonts w:hint="eastAsia"/>
          <w:sz w:val="32"/>
          <w:szCs w:val="36"/>
        </w:rPr>
        <w:t>共到位资金</w:t>
      </w:r>
      <w:r>
        <w:rPr>
          <w:rFonts w:hint="eastAsia"/>
          <w:sz w:val="32"/>
          <w:szCs w:val="36"/>
          <w:lang w:val="en-US" w:eastAsia="zh-CN"/>
        </w:rPr>
        <w:t>2273.21</w:t>
      </w:r>
      <w:r>
        <w:rPr>
          <w:rFonts w:hint="eastAsia"/>
          <w:sz w:val="32"/>
          <w:szCs w:val="36"/>
        </w:rPr>
        <w:t>万元，其中</w:t>
      </w:r>
      <w:r>
        <w:rPr>
          <w:rFonts w:hint="eastAsia"/>
          <w:sz w:val="32"/>
          <w:szCs w:val="36"/>
          <w:lang w:eastAsia="zh-CN"/>
        </w:rPr>
        <w:t>2023年</w:t>
      </w:r>
      <w:r>
        <w:rPr>
          <w:rFonts w:hint="eastAsia"/>
          <w:sz w:val="32"/>
          <w:szCs w:val="36"/>
        </w:rPr>
        <w:t>地债资金</w:t>
      </w:r>
      <w:r>
        <w:rPr>
          <w:rFonts w:hint="eastAsia"/>
          <w:sz w:val="32"/>
          <w:szCs w:val="36"/>
          <w:lang w:val="en-US" w:eastAsia="zh-CN"/>
        </w:rPr>
        <w:t>15</w:t>
      </w:r>
      <w:r>
        <w:rPr>
          <w:rFonts w:hint="eastAsia"/>
          <w:sz w:val="32"/>
          <w:szCs w:val="36"/>
        </w:rPr>
        <w:t>00万元</w:t>
      </w:r>
      <w:r>
        <w:rPr>
          <w:rFonts w:hint="eastAsia"/>
          <w:sz w:val="32"/>
          <w:szCs w:val="36"/>
          <w:lang w:eastAsia="zh-CN"/>
        </w:rPr>
        <w:t>，</w:t>
      </w:r>
      <w:r>
        <w:rPr>
          <w:rFonts w:hint="eastAsia"/>
          <w:sz w:val="32"/>
          <w:szCs w:val="36"/>
          <w:lang w:val="en-US" w:eastAsia="zh-CN"/>
        </w:rPr>
        <w:t>财政部门预算资金773.21万元</w:t>
      </w:r>
      <w:r>
        <w:rPr>
          <w:rFonts w:hint="eastAsia"/>
        </w:rPr>
        <w:t>。</w:t>
      </w:r>
    </w:p>
    <w:p>
      <w:pPr>
        <w:pStyle w:val="3"/>
        <w:spacing w:line="500" w:lineRule="exact"/>
      </w:pPr>
      <w:r>
        <w:rPr>
          <w:rFonts w:hint="eastAsia"/>
        </w:rPr>
        <w:t>二、绩效目标完成情况分析</w:t>
      </w:r>
    </w:p>
    <w:p>
      <w:pPr>
        <w:pStyle w:val="3"/>
        <w:spacing w:line="500" w:lineRule="exact"/>
      </w:pPr>
      <w:r>
        <w:rPr>
          <w:rFonts w:hint="eastAsia"/>
        </w:rPr>
        <w:t>（一）资金情况分析</w:t>
      </w:r>
    </w:p>
    <w:p>
      <w:pPr>
        <w:spacing w:line="500" w:lineRule="exact"/>
        <w:ind w:firstLine="0" w:firstLineChars="0"/>
      </w:pPr>
      <w:r>
        <w:rPr>
          <w:rFonts w:hint="eastAsia"/>
          <w:sz w:val="32"/>
          <w:szCs w:val="36"/>
        </w:rPr>
        <w:t>该项目</w:t>
      </w:r>
      <w:r>
        <w:rPr>
          <w:rFonts w:hint="eastAsia"/>
          <w:sz w:val="32"/>
          <w:szCs w:val="36"/>
          <w:lang w:eastAsia="zh-CN"/>
        </w:rPr>
        <w:t>2023年</w:t>
      </w:r>
      <w:r>
        <w:rPr>
          <w:rFonts w:hint="eastAsia"/>
          <w:sz w:val="32"/>
          <w:szCs w:val="36"/>
        </w:rPr>
        <w:t>共到位资金</w:t>
      </w:r>
      <w:r>
        <w:rPr>
          <w:rFonts w:hint="eastAsia"/>
          <w:sz w:val="32"/>
          <w:szCs w:val="36"/>
          <w:lang w:val="en-US" w:eastAsia="zh-CN"/>
        </w:rPr>
        <w:t>2273.21</w:t>
      </w:r>
      <w:r>
        <w:rPr>
          <w:rFonts w:hint="eastAsia"/>
          <w:sz w:val="32"/>
          <w:szCs w:val="36"/>
        </w:rPr>
        <w:t>万元，其中</w:t>
      </w:r>
      <w:r>
        <w:rPr>
          <w:rFonts w:hint="eastAsia"/>
          <w:sz w:val="32"/>
          <w:szCs w:val="36"/>
          <w:lang w:eastAsia="zh-CN"/>
        </w:rPr>
        <w:t>2023年</w:t>
      </w:r>
      <w:r>
        <w:rPr>
          <w:rFonts w:hint="eastAsia"/>
          <w:sz w:val="32"/>
          <w:szCs w:val="36"/>
        </w:rPr>
        <w:t>地债资金</w:t>
      </w:r>
      <w:r>
        <w:rPr>
          <w:rFonts w:hint="eastAsia"/>
          <w:sz w:val="32"/>
          <w:szCs w:val="36"/>
          <w:lang w:val="en-US" w:eastAsia="zh-CN"/>
        </w:rPr>
        <w:t>15</w:t>
      </w:r>
      <w:r>
        <w:rPr>
          <w:rFonts w:hint="eastAsia"/>
          <w:sz w:val="32"/>
          <w:szCs w:val="36"/>
        </w:rPr>
        <w:t>00万元</w:t>
      </w:r>
      <w:r>
        <w:rPr>
          <w:rFonts w:hint="eastAsia"/>
          <w:sz w:val="32"/>
          <w:szCs w:val="36"/>
          <w:lang w:eastAsia="zh-CN"/>
        </w:rPr>
        <w:t>，</w:t>
      </w:r>
      <w:r>
        <w:rPr>
          <w:rFonts w:hint="eastAsia"/>
          <w:sz w:val="32"/>
          <w:szCs w:val="36"/>
          <w:lang w:val="en-US" w:eastAsia="zh-CN"/>
        </w:rPr>
        <w:t>财政部门预算资金773.21万元</w:t>
      </w:r>
      <w:r>
        <w:rPr>
          <w:rFonts w:hint="eastAsia"/>
        </w:rPr>
        <w:t>。在项目资金使用上，行业主管、业主单位严格执行政府投资项目和资金管理办法，严格落实资金审批程序，加快资金拨付，全面保障项目建设资金用款需要。</w:t>
      </w:r>
    </w:p>
    <w:p>
      <w:pPr>
        <w:pStyle w:val="3"/>
        <w:numPr>
          <w:ilvl w:val="0"/>
          <w:numId w:val="1"/>
        </w:numPr>
        <w:spacing w:line="500" w:lineRule="exact"/>
      </w:pPr>
      <w:r>
        <w:rPr>
          <w:rFonts w:hint="eastAsia"/>
        </w:rPr>
        <w:t>总体目标完成情况分析</w:t>
      </w:r>
    </w:p>
    <w:p>
      <w:pPr>
        <w:spacing w:line="500" w:lineRule="exact"/>
        <w:rPr>
          <w:highlight w:val="yellow"/>
          <w:lang w:bidi="ar"/>
        </w:rPr>
      </w:pPr>
      <w:r>
        <w:rPr>
          <w:rFonts w:hint="eastAsia"/>
          <w:lang w:bidi="ar"/>
        </w:rPr>
        <w:t>项目年度目标为：提交并完成施工工作面1900米。</w:t>
      </w:r>
    </w:p>
    <w:p>
      <w:pPr>
        <w:spacing w:line="500" w:lineRule="exact"/>
      </w:pPr>
      <w:r>
        <w:rPr>
          <w:rFonts w:hint="eastAsia"/>
          <w:lang w:bidi="ar"/>
        </w:rPr>
        <w:t>项目年度完成情况：</w:t>
      </w:r>
      <w:r>
        <w:rPr>
          <w:rFonts w:hint="eastAsia"/>
          <w:lang w:eastAsia="zh-CN"/>
        </w:rPr>
        <w:t>2023年</w:t>
      </w:r>
      <w:r>
        <w:rPr>
          <w:rFonts w:hint="eastAsia"/>
        </w:rPr>
        <w:t>度项目已按期提交工作面1900米</w:t>
      </w:r>
      <w:r>
        <w:rPr>
          <w:rFonts w:hint="eastAsia"/>
          <w:lang w:val="en-US" w:eastAsia="zh-CN"/>
        </w:rPr>
        <w:t>1</w:t>
      </w:r>
      <w:r>
        <w:rPr>
          <w:rFonts w:hint="eastAsia"/>
        </w:rPr>
        <w:t>并完成施工</w:t>
      </w:r>
      <w:r>
        <w:rPr>
          <w:rFonts w:hint="eastAsia"/>
          <w:lang w:val="en-US" w:eastAsia="zh-CN"/>
        </w:rPr>
        <w:t>工作面1900米</w:t>
      </w:r>
      <w:r>
        <w:rPr>
          <w:rFonts w:hint="eastAsia"/>
        </w:rPr>
        <w:t>。严格执行预算，确保质量，未发生安全事故，保质保量完成任务。</w:t>
      </w:r>
    </w:p>
    <w:p>
      <w:pPr>
        <w:pStyle w:val="3"/>
        <w:spacing w:line="500" w:lineRule="exact"/>
      </w:pPr>
      <w:r>
        <w:rPr>
          <w:rFonts w:hint="eastAsia"/>
        </w:rPr>
        <w:t>（三）绩效指标完成情况分析</w:t>
      </w:r>
    </w:p>
    <w:p>
      <w:pPr>
        <w:spacing w:line="500" w:lineRule="exact"/>
      </w:pPr>
      <w:r>
        <w:rPr>
          <w:rFonts w:hint="eastAsia"/>
        </w:rPr>
        <w:t>1.产出指标：</w:t>
      </w:r>
    </w:p>
    <w:p>
      <w:pPr>
        <w:spacing w:line="500" w:lineRule="exact"/>
      </w:pPr>
      <w:r>
        <w:rPr>
          <w:rFonts w:hint="eastAsia"/>
        </w:rPr>
        <w:t>目标：</w:t>
      </w:r>
      <w:r>
        <w:rPr>
          <w:rFonts w:hint="eastAsia"/>
          <w:lang w:val="en-US" w:eastAsia="zh-CN"/>
        </w:rPr>
        <w:t>完成工作面</w:t>
      </w:r>
      <w:r>
        <w:rPr>
          <w:rFonts w:hint="eastAsia"/>
        </w:rPr>
        <w:t>≥</w:t>
      </w:r>
      <w:r>
        <w:rPr>
          <w:rFonts w:hint="eastAsia"/>
          <w:lang w:val="en-US" w:eastAsia="zh-CN"/>
        </w:rPr>
        <w:t>1900米</w:t>
      </w:r>
      <w:r>
        <w:rPr>
          <w:rFonts w:hint="eastAsia"/>
        </w:rPr>
        <w:t>。</w:t>
      </w:r>
    </w:p>
    <w:p>
      <w:pPr>
        <w:spacing w:line="500" w:lineRule="exact"/>
      </w:pPr>
      <w:r>
        <w:rPr>
          <w:rFonts w:hint="eastAsia"/>
        </w:rPr>
        <w:t>完成情况：完成</w:t>
      </w:r>
      <w:r>
        <w:rPr>
          <w:rFonts w:hint="eastAsia"/>
          <w:lang w:val="en-US" w:eastAsia="zh-CN"/>
        </w:rPr>
        <w:t>工作面1900米</w:t>
      </w:r>
      <w:r>
        <w:rPr>
          <w:rFonts w:hint="eastAsia"/>
        </w:rPr>
        <w:t>。完成目标绩效</w:t>
      </w:r>
      <w:r>
        <w:rPr>
          <w:rFonts w:hint="eastAsia" w:hAnsi="仿宋_GB2312" w:cs="仿宋_GB2312"/>
          <w:szCs w:val="32"/>
        </w:rPr>
        <w:t>。</w:t>
      </w:r>
    </w:p>
    <w:p>
      <w:pPr>
        <w:spacing w:line="500" w:lineRule="exact"/>
      </w:pPr>
      <w:r>
        <w:rPr>
          <w:rFonts w:hint="eastAsia"/>
        </w:rPr>
        <w:t>2.效益指标：</w:t>
      </w:r>
    </w:p>
    <w:p>
      <w:pPr>
        <w:spacing w:line="500" w:lineRule="exact"/>
      </w:pPr>
      <w:r>
        <w:rPr>
          <w:rFonts w:hint="eastAsia"/>
          <w:lang w:eastAsia="zh-CN"/>
        </w:rPr>
        <w:t>（</w:t>
      </w:r>
      <w:r>
        <w:rPr>
          <w:rFonts w:hint="eastAsia"/>
          <w:lang w:val="en-US" w:eastAsia="zh-CN"/>
        </w:rPr>
        <w:t>1</w:t>
      </w:r>
      <w:r>
        <w:rPr>
          <w:rFonts w:hint="eastAsia"/>
          <w:lang w:eastAsia="zh-CN"/>
        </w:rPr>
        <w:t>）</w:t>
      </w:r>
      <w:r>
        <w:rPr>
          <w:rFonts w:hint="eastAsia"/>
        </w:rPr>
        <w:t>目标：项目受益人数≥</w:t>
      </w:r>
      <w:r>
        <w:rPr>
          <w:rFonts w:hint="eastAsia"/>
          <w:lang w:val="en-US" w:eastAsia="zh-CN"/>
        </w:rPr>
        <w:t>15</w:t>
      </w:r>
      <w:r>
        <w:rPr>
          <w:rFonts w:hint="eastAsia"/>
        </w:rPr>
        <w:t>00人。</w:t>
      </w:r>
    </w:p>
    <w:p>
      <w:pPr>
        <w:spacing w:line="500" w:lineRule="exact"/>
        <w:rPr>
          <w:rFonts w:hint="eastAsia"/>
        </w:rPr>
      </w:pPr>
      <w:r>
        <w:rPr>
          <w:rFonts w:hint="eastAsia"/>
        </w:rPr>
        <w:t>完成情况：项目周边群众收益，受益人数已超</w:t>
      </w:r>
      <w:r>
        <w:rPr>
          <w:rFonts w:hint="eastAsia"/>
          <w:lang w:val="en-US" w:eastAsia="zh-CN"/>
        </w:rPr>
        <w:t>15</w:t>
      </w:r>
      <w:r>
        <w:rPr>
          <w:rFonts w:hint="eastAsia"/>
        </w:rPr>
        <w:t>00人，完成目标绩效。</w:t>
      </w:r>
    </w:p>
    <w:p>
      <w:pPr>
        <w:spacing w:line="500" w:lineRule="exact"/>
      </w:pPr>
      <w:r>
        <w:rPr>
          <w:rFonts w:hint="eastAsia"/>
          <w:lang w:eastAsia="zh-CN"/>
        </w:rPr>
        <w:t>（</w:t>
      </w:r>
      <w:r>
        <w:rPr>
          <w:rFonts w:hint="eastAsia"/>
          <w:lang w:val="en-US" w:eastAsia="zh-CN"/>
        </w:rPr>
        <w:t>2</w:t>
      </w:r>
      <w:r>
        <w:rPr>
          <w:rFonts w:hint="eastAsia"/>
          <w:lang w:eastAsia="zh-CN"/>
        </w:rPr>
        <w:t>）</w:t>
      </w:r>
      <w:r>
        <w:rPr>
          <w:rFonts w:hint="eastAsia"/>
        </w:rPr>
        <w:t>目标：安全事故发生数</w:t>
      </w:r>
      <w:r>
        <w:rPr>
          <w:rFonts w:hint="eastAsia"/>
          <w:lang w:val="en-US" w:eastAsia="zh-CN"/>
        </w:rPr>
        <w:t>=0起</w:t>
      </w:r>
      <w:r>
        <w:rPr>
          <w:rFonts w:hint="eastAsia"/>
        </w:rPr>
        <w:t>。</w:t>
      </w:r>
    </w:p>
    <w:p>
      <w:pPr>
        <w:pStyle w:val="2"/>
      </w:pPr>
      <w:r>
        <w:rPr>
          <w:rFonts w:hint="eastAsia"/>
        </w:rPr>
        <w:t>完成情况：项目安全事故发生数</w:t>
      </w:r>
      <w:r>
        <w:rPr>
          <w:rFonts w:hint="eastAsia"/>
          <w:lang w:val="en-US" w:eastAsia="zh-CN"/>
        </w:rPr>
        <w:t>0起</w:t>
      </w:r>
      <w:r>
        <w:rPr>
          <w:rFonts w:hint="eastAsia"/>
        </w:rPr>
        <w:t>，完成目标绩效。</w:t>
      </w:r>
    </w:p>
    <w:p>
      <w:pPr>
        <w:tabs>
          <w:tab w:val="left" w:pos="312"/>
        </w:tabs>
        <w:spacing w:line="500" w:lineRule="exact"/>
        <w:ind w:left="640" w:firstLine="0" w:firstLineChars="0"/>
      </w:pPr>
      <w:r>
        <w:rPr>
          <w:rFonts w:hint="eastAsia"/>
          <w:lang w:val="en-US" w:eastAsia="zh-CN"/>
        </w:rPr>
        <w:t>3</w:t>
      </w:r>
      <w:r>
        <w:t>.</w:t>
      </w:r>
      <w:r>
        <w:rPr>
          <w:rFonts w:hint="eastAsia"/>
        </w:rPr>
        <w:t>成本指标：</w:t>
      </w:r>
      <w:bookmarkStart w:id="0" w:name="_GoBack"/>
      <w:bookmarkEnd w:id="0"/>
    </w:p>
    <w:p>
      <w:pPr>
        <w:spacing w:line="500" w:lineRule="exact"/>
      </w:pPr>
      <w:r>
        <w:rPr>
          <w:rFonts w:hint="eastAsia"/>
        </w:rPr>
        <w:t>目标：超概算项目比例≤5%。</w:t>
      </w:r>
    </w:p>
    <w:p>
      <w:pPr>
        <w:spacing w:line="500" w:lineRule="exact"/>
      </w:pPr>
      <w:r>
        <w:rPr>
          <w:rFonts w:hint="eastAsia"/>
        </w:rPr>
        <w:t>完成情况：未超出概算批复。完成目标绩效。</w:t>
      </w:r>
    </w:p>
    <w:p>
      <w:pPr>
        <w:pStyle w:val="3"/>
        <w:spacing w:line="500" w:lineRule="exact"/>
        <w:rPr>
          <w:color w:val="FF0000"/>
        </w:rPr>
      </w:pPr>
      <w:r>
        <w:rPr>
          <w:rFonts w:hint="eastAsia"/>
        </w:rPr>
        <w:t>（四）整体绩效自评</w:t>
      </w:r>
    </w:p>
    <w:p>
      <w:pPr>
        <w:spacing w:line="500" w:lineRule="exact"/>
      </w:pPr>
      <w:r>
        <w:rPr>
          <w:rFonts w:hint="eastAsia"/>
          <w:lang w:bidi="ar"/>
        </w:rPr>
        <w:t>该年度海医一附院江东新院区周边配套路网项目整体效益目标已按时完成，绩效自评分数100分，自评等级优。</w:t>
      </w:r>
    </w:p>
    <w:p>
      <w:pPr>
        <w:pStyle w:val="3"/>
        <w:spacing w:line="500" w:lineRule="exact"/>
        <w:rPr>
          <w:color w:val="FF0000"/>
        </w:rPr>
      </w:pPr>
      <w:r>
        <w:rPr>
          <w:rFonts w:hint="eastAsia"/>
        </w:rPr>
        <w:t>三、发现的主要问题和改进措施</w:t>
      </w:r>
    </w:p>
    <w:p>
      <w:pPr>
        <w:spacing w:line="500" w:lineRule="exact"/>
      </w:pPr>
      <w:r>
        <w:rPr>
          <w:rFonts w:hint="eastAsia"/>
        </w:rPr>
        <w:t>无</w:t>
      </w:r>
    </w:p>
    <w:p>
      <w:pPr>
        <w:pStyle w:val="3"/>
        <w:spacing w:line="500" w:lineRule="exact"/>
      </w:pPr>
      <w:r>
        <w:rPr>
          <w:rFonts w:hint="eastAsia"/>
        </w:rPr>
        <w:t>四、绩效自评结果拟应用和公开情况</w:t>
      </w:r>
    </w:p>
    <w:p>
      <w:pPr>
        <w:spacing w:line="500" w:lineRule="exact"/>
      </w:pPr>
      <w:r>
        <w:rPr>
          <w:rFonts w:hint="eastAsia"/>
        </w:rPr>
        <w:t>拟将绩效自评结果用于后续对于建设、施工等单位的履职尽责以及专业胜任能力的考核，可作为后续相关合作的考虑因素。</w:t>
      </w:r>
    </w:p>
    <w:p>
      <w:pPr>
        <w:pStyle w:val="3"/>
        <w:spacing w:line="500" w:lineRule="exact"/>
      </w:pPr>
      <w:r>
        <w:rPr>
          <w:rFonts w:hint="eastAsia"/>
        </w:rPr>
        <w:t>五、绩效自评工作开展情况</w:t>
      </w:r>
    </w:p>
    <w:p>
      <w:pPr>
        <w:spacing w:line="500" w:lineRule="exact"/>
      </w:pPr>
      <w:r>
        <w:rPr>
          <w:rFonts w:hint="eastAsia" w:ascii="Arial" w:hAnsi="Arial" w:cs="Arial"/>
          <w:color w:val="191919"/>
          <w:shd w:val="clear" w:color="auto" w:fill="FFFFFF"/>
        </w:rPr>
        <w:t>根据</w:t>
      </w:r>
      <w:r>
        <w:rPr>
          <w:rFonts w:ascii="Arial" w:hAnsi="Arial" w:cs="Arial"/>
          <w:color w:val="191919"/>
          <w:shd w:val="clear" w:color="auto" w:fill="FFFFFF"/>
        </w:rPr>
        <w:t>《中共中央国务院关于全面实施预算绩效管理的意见》，</w:t>
      </w:r>
      <w:r>
        <w:rPr>
          <w:rFonts w:hint="eastAsia" w:ascii="Arial" w:hAnsi="Arial" w:cs="Arial"/>
          <w:color w:val="191919"/>
          <w:shd w:val="clear" w:color="auto" w:fill="FFFFFF"/>
        </w:rPr>
        <w:t>我单位</w:t>
      </w:r>
      <w:r>
        <w:rPr>
          <w:rFonts w:ascii="Arial" w:hAnsi="Arial" w:cs="Arial"/>
          <w:color w:val="191919"/>
          <w:shd w:val="clear" w:color="auto" w:fill="FFFFFF"/>
        </w:rPr>
        <w:t>以全面实施预算绩效管理为关键点和突破口，推动财政资金聚力增效，提高公共服务供给质量，增强政府公信力和执行力。</w:t>
      </w:r>
      <w:r>
        <w:rPr>
          <w:rFonts w:hint="eastAsia" w:ascii="Arial" w:hAnsi="Arial" w:cs="Arial"/>
          <w:color w:val="191919"/>
          <w:shd w:val="clear" w:color="auto" w:fill="FFFFFF"/>
        </w:rPr>
        <w:t>按照“预算花钱必问效”的原则，我单位持续对政府投资项目，尤其是获得中央资金的项目开展绩效自评工作，</w:t>
      </w:r>
      <w:r>
        <w:rPr>
          <w:rFonts w:ascii="Arial" w:hAnsi="Arial" w:cs="Arial"/>
          <w:color w:val="191919"/>
          <w:shd w:val="clear" w:color="auto" w:fill="FFFFFF"/>
        </w:rPr>
        <w:t>强化绩效目标管理，做好绩效运行监控，并开展绩效评价和结果应用</w:t>
      </w:r>
      <w:r>
        <w:rPr>
          <w:rFonts w:hint="eastAsia" w:ascii="Arial" w:hAnsi="Arial" w:cs="Arial"/>
          <w:color w:val="191919"/>
          <w:shd w:val="clear" w:color="auto" w:fill="FFFFFF"/>
        </w:rPr>
        <w:t>。</w:t>
      </w:r>
    </w:p>
    <w:p>
      <w:pPr>
        <w:pStyle w:val="3"/>
        <w:spacing w:line="500" w:lineRule="exact"/>
      </w:pPr>
      <w:r>
        <w:rPr>
          <w:rFonts w:hint="eastAsia"/>
        </w:rPr>
        <w:t>六、其他需要说明的问题</w:t>
      </w:r>
    </w:p>
    <w:p>
      <w:pPr>
        <w:spacing w:line="500" w:lineRule="exact"/>
      </w:pPr>
      <w:r>
        <w:rPr>
          <w:rFonts w:hint="eastAsia"/>
        </w:rPr>
        <w:t>暂无。</w:t>
      </w:r>
    </w:p>
    <w:p>
      <w:pPr>
        <w:pStyle w:val="2"/>
        <w:ind w:firstLine="640"/>
      </w:pPr>
    </w:p>
    <w:p>
      <w:pPr>
        <w:pStyle w:val="2"/>
        <w:ind w:firstLine="640"/>
      </w:pPr>
    </w:p>
    <w:p>
      <w:pPr>
        <w:pStyle w:val="2"/>
        <w:ind w:firstLine="64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pPr>
    <w:r>
      <w:fldChar w:fldCharType="begin"/>
    </w:r>
    <w:r>
      <w:instrText xml:space="preserve"> PAGE   \* MERGEFORMAT </w:instrText>
    </w:r>
    <w:r>
      <w:fldChar w:fldCharType="separate"/>
    </w:r>
    <w:r>
      <w:rPr>
        <w:lang w:val="zh-CN"/>
      </w:rPr>
      <w:t>1</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436A"/>
    <w:multiLevelType w:val="singleLevel"/>
    <w:tmpl w:val="B82643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50"/>
  <w:drawingGridVerticalSpacing w:val="581"/>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00F57F82"/>
    <w:rsid w:val="000022AF"/>
    <w:rsid w:val="000101E1"/>
    <w:rsid w:val="00014067"/>
    <w:rsid w:val="00017298"/>
    <w:rsid w:val="00020084"/>
    <w:rsid w:val="000329D9"/>
    <w:rsid w:val="000732DA"/>
    <w:rsid w:val="00075CDC"/>
    <w:rsid w:val="000A399C"/>
    <w:rsid w:val="000B1E8F"/>
    <w:rsid w:val="00103D16"/>
    <w:rsid w:val="001214D7"/>
    <w:rsid w:val="00136702"/>
    <w:rsid w:val="00164D84"/>
    <w:rsid w:val="001D628A"/>
    <w:rsid w:val="00211581"/>
    <w:rsid w:val="00250053"/>
    <w:rsid w:val="00276CCC"/>
    <w:rsid w:val="00287C3C"/>
    <w:rsid w:val="002D0A98"/>
    <w:rsid w:val="003370F3"/>
    <w:rsid w:val="00371982"/>
    <w:rsid w:val="0039432D"/>
    <w:rsid w:val="003C6374"/>
    <w:rsid w:val="00415F7C"/>
    <w:rsid w:val="004531B5"/>
    <w:rsid w:val="004C5CEC"/>
    <w:rsid w:val="004D5A71"/>
    <w:rsid w:val="00503C12"/>
    <w:rsid w:val="00560E3E"/>
    <w:rsid w:val="00572153"/>
    <w:rsid w:val="005E0AF3"/>
    <w:rsid w:val="00747904"/>
    <w:rsid w:val="00785AF7"/>
    <w:rsid w:val="007873EA"/>
    <w:rsid w:val="007A1DC2"/>
    <w:rsid w:val="007C1C0B"/>
    <w:rsid w:val="007E546A"/>
    <w:rsid w:val="008A20F2"/>
    <w:rsid w:val="00A1169D"/>
    <w:rsid w:val="00A92E5C"/>
    <w:rsid w:val="00AA2B82"/>
    <w:rsid w:val="00B13839"/>
    <w:rsid w:val="00B23861"/>
    <w:rsid w:val="00C42337"/>
    <w:rsid w:val="00C55880"/>
    <w:rsid w:val="00CC152C"/>
    <w:rsid w:val="00CE3824"/>
    <w:rsid w:val="00CE55E9"/>
    <w:rsid w:val="00D200DC"/>
    <w:rsid w:val="00D61B1A"/>
    <w:rsid w:val="00D63908"/>
    <w:rsid w:val="00D72958"/>
    <w:rsid w:val="00D82388"/>
    <w:rsid w:val="00DB429F"/>
    <w:rsid w:val="00DC62A5"/>
    <w:rsid w:val="00DD09A2"/>
    <w:rsid w:val="00DD16E3"/>
    <w:rsid w:val="00DF57C5"/>
    <w:rsid w:val="00EA52E8"/>
    <w:rsid w:val="00ED503F"/>
    <w:rsid w:val="00ED6D53"/>
    <w:rsid w:val="00EF52D6"/>
    <w:rsid w:val="00F22AE2"/>
    <w:rsid w:val="00F437B4"/>
    <w:rsid w:val="00F57F82"/>
    <w:rsid w:val="00F64E54"/>
    <w:rsid w:val="00F75963"/>
    <w:rsid w:val="00FA357A"/>
    <w:rsid w:val="00FA7B8F"/>
    <w:rsid w:val="029E5817"/>
    <w:rsid w:val="02C86339"/>
    <w:rsid w:val="037D0BC8"/>
    <w:rsid w:val="04076DA7"/>
    <w:rsid w:val="055025D2"/>
    <w:rsid w:val="07FA0264"/>
    <w:rsid w:val="0845082D"/>
    <w:rsid w:val="0848123F"/>
    <w:rsid w:val="08A1260D"/>
    <w:rsid w:val="096A663E"/>
    <w:rsid w:val="09E965F2"/>
    <w:rsid w:val="0A4A3A37"/>
    <w:rsid w:val="0A87714B"/>
    <w:rsid w:val="0E3B1CDB"/>
    <w:rsid w:val="0EC63FED"/>
    <w:rsid w:val="0EFB5A0A"/>
    <w:rsid w:val="0FFFAAC1"/>
    <w:rsid w:val="109675FA"/>
    <w:rsid w:val="11D7196B"/>
    <w:rsid w:val="12CA3F9C"/>
    <w:rsid w:val="139840D3"/>
    <w:rsid w:val="143E091F"/>
    <w:rsid w:val="14865FC8"/>
    <w:rsid w:val="150C2DB0"/>
    <w:rsid w:val="17C05E32"/>
    <w:rsid w:val="18F83E24"/>
    <w:rsid w:val="1B3C6486"/>
    <w:rsid w:val="1CE94882"/>
    <w:rsid w:val="1E761F05"/>
    <w:rsid w:val="1FC7205C"/>
    <w:rsid w:val="20BD1B38"/>
    <w:rsid w:val="21B57B1D"/>
    <w:rsid w:val="21DE5A03"/>
    <w:rsid w:val="21F00DBA"/>
    <w:rsid w:val="228B3D05"/>
    <w:rsid w:val="25FE8923"/>
    <w:rsid w:val="2651755A"/>
    <w:rsid w:val="271A5F2B"/>
    <w:rsid w:val="27F34A6B"/>
    <w:rsid w:val="286D5E37"/>
    <w:rsid w:val="28E373DF"/>
    <w:rsid w:val="2A94137D"/>
    <w:rsid w:val="2CBB425E"/>
    <w:rsid w:val="2D8B4B0D"/>
    <w:rsid w:val="2F6F4467"/>
    <w:rsid w:val="2FAD4FCA"/>
    <w:rsid w:val="33E86A4E"/>
    <w:rsid w:val="355571ED"/>
    <w:rsid w:val="368D368C"/>
    <w:rsid w:val="36B95C8B"/>
    <w:rsid w:val="38EF7AD8"/>
    <w:rsid w:val="39503347"/>
    <w:rsid w:val="396D238A"/>
    <w:rsid w:val="3A0C0C54"/>
    <w:rsid w:val="3A431E7C"/>
    <w:rsid w:val="3C5E2926"/>
    <w:rsid w:val="3C7019B2"/>
    <w:rsid w:val="3D7E7C9E"/>
    <w:rsid w:val="3DBBD6B4"/>
    <w:rsid w:val="3E1672E6"/>
    <w:rsid w:val="3E6918DD"/>
    <w:rsid w:val="3F5579C2"/>
    <w:rsid w:val="40950555"/>
    <w:rsid w:val="415F08D8"/>
    <w:rsid w:val="41AE398F"/>
    <w:rsid w:val="42F07593"/>
    <w:rsid w:val="433B52D2"/>
    <w:rsid w:val="43690154"/>
    <w:rsid w:val="43ED7E14"/>
    <w:rsid w:val="441867FA"/>
    <w:rsid w:val="4434078E"/>
    <w:rsid w:val="44C635B7"/>
    <w:rsid w:val="44E2230F"/>
    <w:rsid w:val="46E11476"/>
    <w:rsid w:val="46F9107C"/>
    <w:rsid w:val="4881717A"/>
    <w:rsid w:val="48AC7666"/>
    <w:rsid w:val="48B51347"/>
    <w:rsid w:val="4A1B2E89"/>
    <w:rsid w:val="4A55216A"/>
    <w:rsid w:val="4B0E65C7"/>
    <w:rsid w:val="4BFD2870"/>
    <w:rsid w:val="4C4F4283"/>
    <w:rsid w:val="4D2907E5"/>
    <w:rsid w:val="4D4C56FF"/>
    <w:rsid w:val="4DC43E92"/>
    <w:rsid w:val="4E3105EE"/>
    <w:rsid w:val="4FE0696A"/>
    <w:rsid w:val="50D34630"/>
    <w:rsid w:val="50F76058"/>
    <w:rsid w:val="50F91B2C"/>
    <w:rsid w:val="50FE6375"/>
    <w:rsid w:val="51FD19E1"/>
    <w:rsid w:val="528F2AA6"/>
    <w:rsid w:val="53773584"/>
    <w:rsid w:val="53C613CC"/>
    <w:rsid w:val="55673508"/>
    <w:rsid w:val="56FE7A11"/>
    <w:rsid w:val="57FCC004"/>
    <w:rsid w:val="59595A6F"/>
    <w:rsid w:val="599330CA"/>
    <w:rsid w:val="59A60DC8"/>
    <w:rsid w:val="5B0D23FC"/>
    <w:rsid w:val="5B6C0F28"/>
    <w:rsid w:val="5DB076C2"/>
    <w:rsid w:val="5F76F0C1"/>
    <w:rsid w:val="5FE9742F"/>
    <w:rsid w:val="5FF371E7"/>
    <w:rsid w:val="600865E8"/>
    <w:rsid w:val="603B6C1D"/>
    <w:rsid w:val="60D5009F"/>
    <w:rsid w:val="619B51E4"/>
    <w:rsid w:val="619D08BC"/>
    <w:rsid w:val="6261716A"/>
    <w:rsid w:val="6324384D"/>
    <w:rsid w:val="660721C9"/>
    <w:rsid w:val="661E6C75"/>
    <w:rsid w:val="67F75FF5"/>
    <w:rsid w:val="681715F8"/>
    <w:rsid w:val="681D4831"/>
    <w:rsid w:val="68434224"/>
    <w:rsid w:val="692A6C18"/>
    <w:rsid w:val="692E4B19"/>
    <w:rsid w:val="69513EF7"/>
    <w:rsid w:val="69565CDC"/>
    <w:rsid w:val="697D78BA"/>
    <w:rsid w:val="6AAF7917"/>
    <w:rsid w:val="6B0B09CB"/>
    <w:rsid w:val="6BF3256F"/>
    <w:rsid w:val="6C9B3794"/>
    <w:rsid w:val="6CDF6C9B"/>
    <w:rsid w:val="6CE7018A"/>
    <w:rsid w:val="6D08690D"/>
    <w:rsid w:val="6DA15568"/>
    <w:rsid w:val="6E364F94"/>
    <w:rsid w:val="6E3E3F2D"/>
    <w:rsid w:val="70D86EB2"/>
    <w:rsid w:val="715B2F02"/>
    <w:rsid w:val="72F13750"/>
    <w:rsid w:val="730F557A"/>
    <w:rsid w:val="748C1146"/>
    <w:rsid w:val="75A62CFF"/>
    <w:rsid w:val="76A548F2"/>
    <w:rsid w:val="7765772E"/>
    <w:rsid w:val="77867685"/>
    <w:rsid w:val="77F04540"/>
    <w:rsid w:val="781F36B6"/>
    <w:rsid w:val="78ED5A1E"/>
    <w:rsid w:val="790627AD"/>
    <w:rsid w:val="7ABA7609"/>
    <w:rsid w:val="7ADC59FA"/>
    <w:rsid w:val="7BB71159"/>
    <w:rsid w:val="7C1A2432"/>
    <w:rsid w:val="7C911A92"/>
    <w:rsid w:val="7CD836C4"/>
    <w:rsid w:val="7D6742C1"/>
    <w:rsid w:val="7DBDD65E"/>
    <w:rsid w:val="7DDD794F"/>
    <w:rsid w:val="7E5A664C"/>
    <w:rsid w:val="7EF834F2"/>
    <w:rsid w:val="7F957A64"/>
    <w:rsid w:val="7FA94C21"/>
    <w:rsid w:val="7FED9F9F"/>
    <w:rsid w:val="9FFF3766"/>
    <w:rsid w:val="B7F7950F"/>
    <w:rsid w:val="BECF1CFC"/>
    <w:rsid w:val="CADDA160"/>
    <w:rsid w:val="D7FBE5FA"/>
    <w:rsid w:val="DFDF27BD"/>
    <w:rsid w:val="F57B6F99"/>
    <w:rsid w:val="F7DFB8FF"/>
    <w:rsid w:val="FA7DCE76"/>
    <w:rsid w:val="FAEFC359"/>
    <w:rsid w:val="FB5ECFCA"/>
    <w:rsid w:val="FEAF114B"/>
    <w:rsid w:val="FEDC2866"/>
    <w:rsid w:val="FFC60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0" w:firstLineChars="200"/>
      <w:jc w:val="both"/>
      <w:outlineLvl w:val="0"/>
    </w:pPr>
    <w:rPr>
      <w:rFonts w:ascii="仿宋_GB2312" w:hAnsi="Times New Roman" w:eastAsia="仿宋_GB2312" w:cs="Times New Roman"/>
      <w:kern w:val="2"/>
      <w:sz w:val="32"/>
      <w:szCs w:val="36"/>
      <w:lang w:val="en-US" w:eastAsia="zh-CN" w:bidi="ar-SA"/>
    </w:rPr>
  </w:style>
  <w:style w:type="paragraph" w:styleId="3">
    <w:name w:val="heading 1"/>
    <w:basedOn w:val="1"/>
    <w:next w:val="1"/>
    <w:link w:val="16"/>
    <w:qFormat/>
    <w:uiPriority w:val="0"/>
    <w:pPr>
      <w:keepNext/>
      <w:keepLines/>
      <w:ind w:firstLine="643"/>
    </w:pPr>
    <w:rPr>
      <w:rFonts w:ascii="黑体" w:hAnsi="黑体" w:eastAsia="黑体"/>
      <w:b/>
      <w:kern w:val="44"/>
      <w:szCs w:val="2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5">
    <w:name w:val="Balloon Text"/>
    <w:basedOn w:val="1"/>
    <w:link w:val="13"/>
    <w:autoRedefine/>
    <w:qFormat/>
    <w:uiPriority w:val="0"/>
    <w:rPr>
      <w:sz w:val="18"/>
      <w:szCs w:val="18"/>
    </w:rPr>
  </w:style>
  <w:style w:type="paragraph" w:styleId="6">
    <w:name w:val="footer"/>
    <w:basedOn w:val="1"/>
    <w:link w:val="11"/>
    <w:autoRedefine/>
    <w:qFormat/>
    <w:uiPriority w:val="99"/>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5"/>
    <w:autoRedefine/>
    <w:qFormat/>
    <w:uiPriority w:val="0"/>
    <w:pPr>
      <w:spacing w:before="240" w:after="60"/>
      <w:jc w:val="center"/>
    </w:pPr>
    <w:rPr>
      <w:rFonts w:asciiTheme="majorHAnsi" w:hAnsiTheme="majorHAnsi" w:eastAsiaTheme="majorEastAsia" w:cstheme="majorBidi"/>
      <w:b/>
      <w:bCs/>
      <w:szCs w:val="32"/>
    </w:rPr>
  </w:style>
  <w:style w:type="character" w:customStyle="1" w:styleId="11">
    <w:name w:val="页脚 字符"/>
    <w:basedOn w:val="10"/>
    <w:link w:val="6"/>
    <w:autoRedefine/>
    <w:qFormat/>
    <w:uiPriority w:val="99"/>
    <w:rPr>
      <w:rFonts w:eastAsia="仿宋_GB2312"/>
      <w:kern w:val="2"/>
      <w:sz w:val="18"/>
      <w:szCs w:val="18"/>
    </w:rPr>
  </w:style>
  <w:style w:type="character" w:customStyle="1" w:styleId="12">
    <w:name w:val="页眉 字符"/>
    <w:basedOn w:val="10"/>
    <w:link w:val="7"/>
    <w:autoRedefine/>
    <w:qFormat/>
    <w:uiPriority w:val="0"/>
    <w:rPr>
      <w:rFonts w:eastAsia="仿宋_GB2312"/>
      <w:kern w:val="2"/>
      <w:sz w:val="18"/>
      <w:szCs w:val="18"/>
    </w:rPr>
  </w:style>
  <w:style w:type="character" w:customStyle="1" w:styleId="13">
    <w:name w:val="批注框文本 字符"/>
    <w:basedOn w:val="10"/>
    <w:link w:val="5"/>
    <w:autoRedefine/>
    <w:qFormat/>
    <w:uiPriority w:val="0"/>
    <w:rPr>
      <w:rFonts w:eastAsia="仿宋_GB2312"/>
      <w:kern w:val="2"/>
      <w:sz w:val="18"/>
      <w:szCs w:val="18"/>
    </w:rPr>
  </w:style>
  <w:style w:type="paragraph" w:styleId="14">
    <w:name w:val="List Paragraph"/>
    <w:basedOn w:val="1"/>
    <w:autoRedefine/>
    <w:qFormat/>
    <w:uiPriority w:val="99"/>
    <w:pPr>
      <w:ind w:firstLine="420"/>
    </w:pPr>
  </w:style>
  <w:style w:type="character" w:customStyle="1" w:styleId="15">
    <w:name w:val="标题 字符"/>
    <w:basedOn w:val="10"/>
    <w:link w:val="8"/>
    <w:autoRedefine/>
    <w:qFormat/>
    <w:uiPriority w:val="0"/>
    <w:rPr>
      <w:rFonts w:asciiTheme="majorHAnsi" w:hAnsiTheme="majorHAnsi" w:eastAsiaTheme="majorEastAsia" w:cstheme="majorBidi"/>
      <w:b/>
      <w:bCs/>
      <w:kern w:val="2"/>
      <w:sz w:val="32"/>
      <w:szCs w:val="32"/>
    </w:rPr>
  </w:style>
  <w:style w:type="character" w:customStyle="1" w:styleId="16">
    <w:name w:val="标题 1 字符"/>
    <w:basedOn w:val="10"/>
    <w:link w:val="3"/>
    <w:autoRedefine/>
    <w:qFormat/>
    <w:uiPriority w:val="0"/>
    <w:rPr>
      <w:rFonts w:hint="eastAsia" w:ascii="黑体" w:hAnsi="宋体" w:eastAsia="黑体" w:cs="黑体"/>
      <w:b/>
      <w:kern w:val="44"/>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965</Words>
  <Characters>1061</Characters>
  <Lines>7</Lines>
  <Paragraphs>2</Paragraphs>
  <TotalTime>0</TotalTime>
  <ScaleCrop>false</ScaleCrop>
  <LinksUpToDate>false</LinksUpToDate>
  <CharactersWithSpaces>1061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2011-03-03T08:16:00Z</dcterms:created>
  <dc:creator>lhn</dc:creator>
  <cp:lastModifiedBy>清风拂柳</cp:lastModifiedBy>
  <cp:lastPrinted>2020-02-29T13:55:00Z</cp:lastPrinted>
  <dcterms:modified xsi:type="dcterms:W3CDTF">2024-04-08T12:19:01Z</dcterms:modified>
  <dc:title>财政支出绩效评价报告</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198557A26C83406CA6ECA1D5A128AFF0</vt:lpwstr>
  </property>
</Properties>
</file>