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迈雅滨河商务区配套路网项目一期项目</w:t>
      </w:r>
    </w:p>
    <w:p>
      <w:pPr>
        <w:pStyle w:val="8"/>
        <w:ind w:firstLine="0" w:firstLineChars="0"/>
        <w:rPr>
          <w:rFonts w:ascii="方正小标宋简体" w:eastAsia="方正小标宋简体"/>
          <w:sz w:val="40"/>
          <w:szCs w:val="40"/>
        </w:rPr>
      </w:pPr>
      <w:r>
        <w:rPr>
          <w:rFonts w:hint="eastAsia" w:ascii="方正小标宋简体" w:eastAsia="方正小标宋简体"/>
          <w:sz w:val="40"/>
          <w:szCs w:val="40"/>
          <w:lang w:eastAsia="zh-CN"/>
        </w:rPr>
        <w:t>2023年</w:t>
      </w:r>
      <w:r>
        <w:rPr>
          <w:rFonts w:hint="eastAsia" w:ascii="方正小标宋简体" w:eastAsia="方正小标宋简体"/>
          <w:sz w:val="40"/>
          <w:szCs w:val="40"/>
        </w:rPr>
        <w:t>度绩效自评报告</w:t>
      </w:r>
    </w:p>
    <w:p/>
    <w:p/>
    <w:p>
      <w:pPr>
        <w:pStyle w:val="3"/>
        <w:spacing w:line="500" w:lineRule="exact"/>
      </w:pPr>
      <w:r>
        <w:rPr>
          <w:rFonts w:hint="eastAsia"/>
        </w:rPr>
        <w:t>一、基本情况</w:t>
      </w:r>
    </w:p>
    <w:p>
      <w:pPr>
        <w:pStyle w:val="3"/>
        <w:spacing w:line="500" w:lineRule="exact"/>
        <w:rPr>
          <w:color w:val="FF0000"/>
        </w:rPr>
      </w:pPr>
      <w:r>
        <w:rPr>
          <w:rFonts w:hint="eastAsia"/>
        </w:rPr>
        <w:t>（一）项目概况</w:t>
      </w:r>
    </w:p>
    <w:p>
      <w:pPr>
        <w:rPr>
          <w:rFonts w:ascii="仿宋" w:hAnsi="仿宋" w:cs="仿宋"/>
          <w:szCs w:val="32"/>
        </w:rPr>
      </w:pPr>
      <w:r>
        <w:rPr>
          <w:rFonts w:hint="eastAsia"/>
        </w:rPr>
        <w:t>迈雅滨河商务区配套路网项目一期项目业主为</w:t>
      </w:r>
      <w:r>
        <w:rPr>
          <w:rFonts w:hint="eastAsia"/>
          <w:lang w:val="en-US" w:eastAsia="zh-CN"/>
        </w:rPr>
        <w:t>海口市恒慧基础建设有限公司</w:t>
      </w:r>
      <w:r>
        <w:rPr>
          <w:rFonts w:hint="eastAsia"/>
          <w:lang w:eastAsia="zh-CN"/>
        </w:rPr>
        <w:t>（</w:t>
      </w:r>
      <w:r>
        <w:rPr>
          <w:rFonts w:hint="eastAsia"/>
          <w:lang w:val="en-US" w:eastAsia="zh-CN"/>
        </w:rPr>
        <w:t>变更前名称：</w:t>
      </w:r>
      <w:r>
        <w:rPr>
          <w:rFonts w:hint="eastAsia"/>
        </w:rPr>
        <w:t>海口江东新区基础建设有限公司</w:t>
      </w:r>
      <w:r>
        <w:rPr>
          <w:rFonts w:hint="eastAsia"/>
          <w:lang w:eastAsia="zh-CN"/>
        </w:rPr>
        <w:t>）</w:t>
      </w:r>
      <w:r>
        <w:rPr>
          <w:rFonts w:hint="eastAsia"/>
        </w:rPr>
        <w:t>，项目位于椰海大道以南、海文高速联络线以西，顺达路以东、仙月东路以北区域。项目包含有11条市政道路及配套工程，全长约8.551km，其中次干路4条、支路7条，次干路长度约4.046km，红线宽度为24m、25m；支路长度约为4.504km，红线宽度为12m、15m。主要建设内容包含道路交通、桥梁工程、给排水工程、综合管廊、电气工程、结构工程、景观工程、城市家具、地下连通道等。项目概算总投资为</w:t>
      </w:r>
      <w:r>
        <w:rPr>
          <w:rFonts w:hint="eastAsia"/>
          <w:lang w:val="en-US" w:eastAsia="zh-CN"/>
        </w:rPr>
        <w:t>163842</w:t>
      </w:r>
      <w:r>
        <w:rPr>
          <w:rFonts w:hint="eastAsia"/>
        </w:rPr>
        <w:t>万元。</w:t>
      </w:r>
    </w:p>
    <w:p>
      <w:pPr>
        <w:pStyle w:val="3"/>
        <w:spacing w:line="500" w:lineRule="exact"/>
      </w:pPr>
      <w:r>
        <w:rPr>
          <w:rFonts w:hint="eastAsia"/>
        </w:rPr>
        <w:t>（二）项目资金情况</w:t>
      </w:r>
    </w:p>
    <w:p>
      <w:pPr>
        <w:spacing w:line="500" w:lineRule="exact"/>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29200</w:t>
      </w:r>
      <w:r>
        <w:rPr>
          <w:rFonts w:hint="eastAsia"/>
          <w:sz w:val="32"/>
          <w:szCs w:val="36"/>
        </w:rPr>
        <w:t>万元，其中202</w:t>
      </w:r>
      <w:r>
        <w:rPr>
          <w:rFonts w:hint="eastAsia"/>
          <w:sz w:val="32"/>
          <w:szCs w:val="36"/>
          <w:lang w:val="en-US" w:eastAsia="zh-CN"/>
        </w:rPr>
        <w:t>2</w:t>
      </w:r>
      <w:r>
        <w:rPr>
          <w:rFonts w:hint="eastAsia"/>
          <w:sz w:val="32"/>
          <w:szCs w:val="36"/>
        </w:rPr>
        <w:t>年结转地债资金</w:t>
      </w:r>
      <w:r>
        <w:rPr>
          <w:rFonts w:hint="eastAsia"/>
          <w:sz w:val="32"/>
          <w:szCs w:val="36"/>
          <w:lang w:val="en-US" w:eastAsia="zh-CN"/>
        </w:rPr>
        <w:t>9200</w:t>
      </w:r>
      <w:r>
        <w:rPr>
          <w:rFonts w:hint="eastAsia"/>
          <w:sz w:val="32"/>
          <w:szCs w:val="36"/>
        </w:rPr>
        <w:t>万元，</w:t>
      </w:r>
      <w:r>
        <w:rPr>
          <w:rFonts w:hint="eastAsia"/>
          <w:sz w:val="32"/>
          <w:szCs w:val="36"/>
          <w:lang w:eastAsia="zh-CN"/>
        </w:rPr>
        <w:t>2023年</w:t>
      </w:r>
      <w:r>
        <w:rPr>
          <w:rFonts w:hint="eastAsia"/>
          <w:sz w:val="32"/>
          <w:szCs w:val="36"/>
        </w:rPr>
        <w:t>地债资金</w:t>
      </w:r>
      <w:r>
        <w:rPr>
          <w:rFonts w:hint="eastAsia"/>
          <w:sz w:val="32"/>
          <w:szCs w:val="36"/>
          <w:lang w:val="en-US" w:eastAsia="zh-CN"/>
        </w:rPr>
        <w:t>200</w:t>
      </w:r>
      <w:r>
        <w:rPr>
          <w:rFonts w:hint="eastAsia"/>
          <w:sz w:val="32"/>
          <w:szCs w:val="36"/>
        </w:rPr>
        <w:t>00万元</w:t>
      </w:r>
      <w:r>
        <w:rPr>
          <w:rFonts w:hint="eastAsia"/>
        </w:rPr>
        <w:t>。</w:t>
      </w:r>
    </w:p>
    <w:p>
      <w:pPr>
        <w:pStyle w:val="3"/>
        <w:spacing w:line="500" w:lineRule="exact"/>
      </w:pPr>
      <w:r>
        <w:rPr>
          <w:rFonts w:hint="eastAsia"/>
        </w:rPr>
        <w:t>二、绩效目标完成情况分析</w:t>
      </w:r>
    </w:p>
    <w:p>
      <w:pPr>
        <w:pStyle w:val="3"/>
        <w:spacing w:line="500" w:lineRule="exact"/>
      </w:pPr>
      <w:r>
        <w:rPr>
          <w:rFonts w:hint="eastAsia"/>
        </w:rPr>
        <w:t>（一）资金情况分析</w:t>
      </w:r>
    </w:p>
    <w:p>
      <w:pPr>
        <w:spacing w:line="500" w:lineRule="exact"/>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29200</w:t>
      </w:r>
      <w:r>
        <w:rPr>
          <w:rFonts w:hint="eastAsia"/>
          <w:sz w:val="32"/>
          <w:szCs w:val="36"/>
        </w:rPr>
        <w:t>万元，其中202</w:t>
      </w:r>
      <w:r>
        <w:rPr>
          <w:rFonts w:hint="eastAsia"/>
          <w:sz w:val="32"/>
          <w:szCs w:val="36"/>
          <w:lang w:val="en-US" w:eastAsia="zh-CN"/>
        </w:rPr>
        <w:t>2</w:t>
      </w:r>
      <w:r>
        <w:rPr>
          <w:rFonts w:hint="eastAsia"/>
          <w:sz w:val="32"/>
          <w:szCs w:val="36"/>
        </w:rPr>
        <w:t>年结转地债资金</w:t>
      </w:r>
      <w:r>
        <w:rPr>
          <w:rFonts w:hint="eastAsia"/>
          <w:sz w:val="32"/>
          <w:szCs w:val="36"/>
          <w:lang w:val="en-US" w:eastAsia="zh-CN"/>
        </w:rPr>
        <w:t>9200</w:t>
      </w:r>
      <w:r>
        <w:rPr>
          <w:rFonts w:hint="eastAsia"/>
          <w:sz w:val="32"/>
          <w:szCs w:val="36"/>
        </w:rPr>
        <w:t>万元，</w:t>
      </w:r>
      <w:r>
        <w:rPr>
          <w:rFonts w:hint="eastAsia"/>
          <w:sz w:val="32"/>
          <w:szCs w:val="36"/>
          <w:lang w:eastAsia="zh-CN"/>
        </w:rPr>
        <w:t>2023年</w:t>
      </w:r>
      <w:r>
        <w:rPr>
          <w:rFonts w:hint="eastAsia"/>
          <w:sz w:val="32"/>
          <w:szCs w:val="36"/>
        </w:rPr>
        <w:t>地债资金</w:t>
      </w:r>
      <w:r>
        <w:rPr>
          <w:rFonts w:hint="eastAsia"/>
          <w:sz w:val="32"/>
          <w:szCs w:val="36"/>
          <w:lang w:val="en-US" w:eastAsia="zh-CN"/>
        </w:rPr>
        <w:t>200</w:t>
      </w:r>
      <w:r>
        <w:rPr>
          <w:rFonts w:hint="eastAsia"/>
          <w:sz w:val="32"/>
          <w:szCs w:val="36"/>
        </w:rPr>
        <w:t>00万元</w:t>
      </w:r>
      <w:r>
        <w:rPr>
          <w:rFonts w:hint="eastAsia"/>
        </w:rPr>
        <w:t>。在项目资金使用上，行业主管、业主单位严格执行政府投资项目和资金管理办法，严格落实资金审批程序，加快资金拨付，全面保障项目建设资金用款需要。</w:t>
      </w:r>
    </w:p>
    <w:p>
      <w:pPr>
        <w:pStyle w:val="3"/>
        <w:numPr>
          <w:ilvl w:val="0"/>
          <w:numId w:val="1"/>
        </w:numPr>
        <w:spacing w:line="500" w:lineRule="exact"/>
      </w:pPr>
      <w:r>
        <w:rPr>
          <w:rFonts w:hint="eastAsia"/>
        </w:rPr>
        <w:t>总体目标完成情况分析</w:t>
      </w:r>
    </w:p>
    <w:p>
      <w:pPr>
        <w:spacing w:line="500" w:lineRule="exact"/>
        <w:rPr>
          <w:highlight w:val="yellow"/>
          <w:lang w:bidi="ar"/>
        </w:rPr>
      </w:pPr>
      <w:r>
        <w:rPr>
          <w:rFonts w:hint="eastAsia"/>
          <w:lang w:bidi="ar"/>
        </w:rPr>
        <w:t>项目年度目标为：</w:t>
      </w:r>
      <w:r>
        <w:rPr>
          <w:rFonts w:hint="eastAsia"/>
          <w:lang w:eastAsia="zh-CN" w:bidi="ar"/>
        </w:rPr>
        <w:t>2023年</w:t>
      </w:r>
      <w:r>
        <w:rPr>
          <w:rFonts w:hint="eastAsia"/>
          <w:lang w:bidi="ar"/>
        </w:rPr>
        <w:t>根据计划，开展房屋征收概算。</w:t>
      </w:r>
      <w:r>
        <w:rPr>
          <w:rFonts w:hint="eastAsia"/>
          <w:lang w:bidi="ar"/>
        </w:rPr>
        <w:tab/>
      </w:r>
      <w:r>
        <w:rPr>
          <w:rFonts w:hint="eastAsia"/>
          <w:lang w:bidi="ar"/>
        </w:rPr>
        <w:tab/>
      </w:r>
    </w:p>
    <w:p>
      <w:pPr>
        <w:spacing w:line="500" w:lineRule="exact"/>
      </w:pPr>
      <w:r>
        <w:rPr>
          <w:rFonts w:hint="eastAsia"/>
          <w:lang w:bidi="ar"/>
        </w:rPr>
        <w:t>项目年度完成情况：</w:t>
      </w:r>
      <w:r>
        <w:rPr>
          <w:rFonts w:hint="eastAsia"/>
          <w:lang w:eastAsia="zh-CN"/>
        </w:rPr>
        <w:t>2023年已完成完成房屋征收概算</w:t>
      </w:r>
      <w:r>
        <w:rPr>
          <w:rFonts w:hint="eastAsia"/>
          <w:lang w:val="en-US" w:eastAsia="zh-CN"/>
        </w:rPr>
        <w:t>工作</w:t>
      </w:r>
      <w:r>
        <w:rPr>
          <w:rFonts w:hint="eastAsia"/>
        </w:rPr>
        <w:t>。</w:t>
      </w:r>
    </w:p>
    <w:p>
      <w:pPr>
        <w:pStyle w:val="3"/>
        <w:spacing w:line="500" w:lineRule="exact"/>
      </w:pPr>
      <w:r>
        <w:rPr>
          <w:rFonts w:hint="eastAsia"/>
        </w:rPr>
        <w:t>（三）绩效指标完成情况分析</w:t>
      </w:r>
    </w:p>
    <w:p>
      <w:pPr>
        <w:spacing w:line="500" w:lineRule="exact"/>
      </w:pPr>
      <w:r>
        <w:rPr>
          <w:rFonts w:hint="eastAsia"/>
        </w:rPr>
        <w:t>1.产出指标：</w:t>
      </w:r>
    </w:p>
    <w:p>
      <w:pPr>
        <w:spacing w:line="500" w:lineRule="exact"/>
      </w:pPr>
      <w:r>
        <w:rPr>
          <w:rFonts w:hint="eastAsia"/>
        </w:rPr>
        <w:t>目标：完成房屋征收概算≥</w:t>
      </w:r>
      <w:r>
        <w:rPr>
          <w:rFonts w:hint="eastAsia"/>
          <w:lang w:val="en-US" w:eastAsia="zh-CN"/>
        </w:rPr>
        <w:t>1份</w:t>
      </w:r>
      <w:r>
        <w:rPr>
          <w:rFonts w:hint="eastAsia"/>
        </w:rPr>
        <w:t>。</w:t>
      </w:r>
    </w:p>
    <w:p>
      <w:pPr>
        <w:spacing w:line="500" w:lineRule="exact"/>
        <w:rPr>
          <w:rFonts w:hAnsi="仿宋_GB2312" w:cs="仿宋_GB2312"/>
          <w:szCs w:val="32"/>
        </w:rPr>
      </w:pPr>
      <w:r>
        <w:rPr>
          <w:rFonts w:hint="eastAsia"/>
        </w:rPr>
        <w:t>完成情况：已完成</w:t>
      </w:r>
      <w:r>
        <w:rPr>
          <w:rFonts w:hint="eastAsia"/>
          <w:lang w:val="en-US" w:eastAsia="zh-CN"/>
        </w:rPr>
        <w:t>房屋</w:t>
      </w:r>
      <w:r>
        <w:rPr>
          <w:rFonts w:hint="eastAsia"/>
        </w:rPr>
        <w:t>概算编制</w:t>
      </w:r>
      <w:r>
        <w:rPr>
          <w:rFonts w:hint="eastAsia"/>
          <w:lang w:val="en-US" w:eastAsia="zh-CN"/>
        </w:rPr>
        <w:t>工作</w:t>
      </w:r>
      <w:r>
        <w:rPr>
          <w:rFonts w:hint="eastAsia"/>
        </w:rPr>
        <w:t>。完成目标绩效</w:t>
      </w:r>
      <w:r>
        <w:rPr>
          <w:rFonts w:hint="eastAsia" w:hAnsi="仿宋_GB2312" w:cs="仿宋_GB2312"/>
          <w:szCs w:val="32"/>
        </w:rPr>
        <w:t>。</w:t>
      </w:r>
    </w:p>
    <w:p>
      <w:pPr>
        <w:spacing w:line="500" w:lineRule="exact"/>
      </w:pPr>
      <w:r>
        <w:rPr>
          <w:rFonts w:hint="eastAsia"/>
        </w:rPr>
        <w:t>2.效益指标：</w:t>
      </w:r>
    </w:p>
    <w:p>
      <w:pPr>
        <w:spacing w:line="500" w:lineRule="exact"/>
      </w:pPr>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3</w:t>
      </w:r>
      <w:r>
        <w:rPr>
          <w:rFonts w:hint="eastAsia"/>
        </w:rPr>
        <w:t>000人。</w:t>
      </w:r>
    </w:p>
    <w:p>
      <w:pPr>
        <w:spacing w:line="500" w:lineRule="exact"/>
        <w:rPr>
          <w:rFonts w:hint="eastAsia"/>
          <w:color w:val="FF0000"/>
        </w:rPr>
      </w:pPr>
      <w:r>
        <w:rPr>
          <w:rFonts w:hint="eastAsia"/>
        </w:rPr>
        <w:t>完成情况：受益人群大于</w:t>
      </w:r>
      <w:r>
        <w:rPr>
          <w:rFonts w:hint="eastAsia"/>
          <w:lang w:val="en-US" w:eastAsia="zh-CN"/>
        </w:rPr>
        <w:t>3</w:t>
      </w:r>
      <w:r>
        <w:rPr>
          <w:rFonts w:hint="eastAsia"/>
        </w:rPr>
        <w:t>000</w:t>
      </w:r>
      <w:r>
        <w:rPr>
          <w:rFonts w:hint="eastAsia"/>
          <w:lang w:eastAsia="zh-CN"/>
        </w:rPr>
        <w:t>人</w:t>
      </w:r>
      <w:r>
        <w:rPr>
          <w:rFonts w:hint="eastAsia"/>
        </w:rPr>
        <w:t>。完成目标绩效</w:t>
      </w:r>
      <w:r>
        <w:rPr>
          <w:rFonts w:hint="eastAsia"/>
          <w:color w:val="auto"/>
        </w:rPr>
        <w:t>。</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目标：安全事故发生数</w:t>
      </w:r>
      <w:r>
        <w:rPr>
          <w:rFonts w:hint="eastAsia"/>
          <w:lang w:val="en-US" w:eastAsia="zh-CN"/>
        </w:rPr>
        <w:t>=0起</w:t>
      </w:r>
      <w:r>
        <w:rPr>
          <w:rFonts w:hint="eastAsia"/>
        </w:rPr>
        <w:t>。</w:t>
      </w:r>
    </w:p>
    <w:p>
      <w:pPr>
        <w:pStyle w:val="2"/>
      </w:pPr>
      <w:r>
        <w:rPr>
          <w:rFonts w:hint="eastAsia"/>
        </w:rPr>
        <w:t>完成情况：项目安全事故发生数</w:t>
      </w:r>
      <w:r>
        <w:rPr>
          <w:rFonts w:hint="eastAsia"/>
          <w:lang w:val="en-US" w:eastAsia="zh-CN"/>
        </w:rPr>
        <w:t>0起</w:t>
      </w:r>
      <w:r>
        <w:rPr>
          <w:rFonts w:hint="eastAsia"/>
        </w:rPr>
        <w:t>，完成目标绩效。</w:t>
      </w:r>
    </w:p>
    <w:p>
      <w:pPr>
        <w:spacing w:line="500" w:lineRule="exact"/>
      </w:pPr>
      <w:r>
        <w:rPr>
          <w:rFonts w:hint="eastAsia"/>
          <w:lang w:val="en-US" w:eastAsia="zh-CN"/>
        </w:rPr>
        <w:t>3</w:t>
      </w:r>
      <w:r>
        <w:rPr>
          <w:rFonts w:hint="eastAsia"/>
        </w:rPr>
        <w:t>.成本指标：</w:t>
      </w:r>
    </w:p>
    <w:p>
      <w:pPr>
        <w:spacing w:line="500" w:lineRule="exact"/>
      </w:pPr>
      <w:r>
        <w:rPr>
          <w:rFonts w:hint="eastAsia"/>
        </w:rPr>
        <w:t>目标：超概算项目比例≤5%。</w:t>
      </w:r>
    </w:p>
    <w:p>
      <w:pPr>
        <w:spacing w:line="500" w:lineRule="exact"/>
      </w:pPr>
      <w:r>
        <w:rPr>
          <w:rFonts w:hint="eastAsia"/>
        </w:rPr>
        <w:t>完成情况：未超出概算批复。完成目标绩效。</w:t>
      </w:r>
    </w:p>
    <w:p>
      <w:pPr>
        <w:pStyle w:val="3"/>
        <w:spacing w:line="500" w:lineRule="exact"/>
        <w:rPr>
          <w:color w:val="FF0000"/>
        </w:rPr>
      </w:pPr>
      <w:r>
        <w:rPr>
          <w:rFonts w:hint="eastAsia"/>
        </w:rPr>
        <w:t>（四）整体绩效自评</w:t>
      </w:r>
    </w:p>
    <w:p>
      <w:pPr>
        <w:spacing w:line="500" w:lineRule="exact"/>
      </w:pPr>
      <w:r>
        <w:rPr>
          <w:rFonts w:hint="eastAsia"/>
          <w:lang w:bidi="ar"/>
        </w:rPr>
        <w:t>该年度迈雅滨河商务区配套路网项目一期项目整体效益目标已按时完成，绩效自评分数</w:t>
      </w:r>
      <w:r>
        <w:rPr>
          <w:rFonts w:hint="eastAsia"/>
          <w:lang w:val="en-US" w:eastAsia="zh-CN" w:bidi="ar"/>
        </w:rPr>
        <w:t>100</w:t>
      </w:r>
      <w:r>
        <w:rPr>
          <w:rFonts w:hint="eastAsia"/>
          <w:lang w:bidi="ar"/>
        </w:rPr>
        <w:t>分，自评等级优。</w:t>
      </w:r>
    </w:p>
    <w:p>
      <w:pPr>
        <w:pStyle w:val="3"/>
        <w:spacing w:line="500" w:lineRule="exact"/>
        <w:rPr>
          <w:color w:val="FF0000"/>
        </w:rPr>
      </w:pPr>
      <w:r>
        <w:rPr>
          <w:rFonts w:hint="eastAsia"/>
        </w:rPr>
        <w:t>三、发现的主要问题和改进措施</w:t>
      </w:r>
    </w:p>
    <w:p>
      <w:pPr>
        <w:spacing w:line="500" w:lineRule="exact"/>
      </w:pPr>
      <w:r>
        <w:rPr>
          <w:rFonts w:hint="eastAsia"/>
        </w:rPr>
        <w:t>无</w:t>
      </w:r>
    </w:p>
    <w:p>
      <w:pPr>
        <w:pStyle w:val="3"/>
        <w:spacing w:line="500" w:lineRule="exact"/>
      </w:pPr>
      <w:r>
        <w:rPr>
          <w:rFonts w:hint="eastAsia"/>
        </w:rPr>
        <w:t>四、绩效自评结果拟应用和公开情况</w:t>
      </w:r>
    </w:p>
    <w:p>
      <w:pPr>
        <w:spacing w:line="500" w:lineRule="exact"/>
      </w:pPr>
      <w:r>
        <w:rPr>
          <w:rFonts w:hint="eastAsia"/>
        </w:rPr>
        <w:t>拟将绩效自评结果用于后续对于建设、施工等单位的履职尽责以及专业胜任能力的考核，可作为后续相关合作的考虑因素。</w:t>
      </w:r>
    </w:p>
    <w:p>
      <w:pPr>
        <w:pStyle w:val="3"/>
        <w:spacing w:line="500" w:lineRule="exact"/>
      </w:pPr>
      <w:r>
        <w:rPr>
          <w:rFonts w:hint="eastAsia"/>
        </w:rPr>
        <w:t>五、绩效自评工作开展情况</w:t>
      </w:r>
    </w:p>
    <w:p>
      <w:pPr>
        <w:spacing w:line="500" w:lineRule="exact"/>
      </w:pPr>
      <w:r>
        <w:rPr>
          <w:rFonts w:hint="eastAsia" w:ascii="Arial" w:hAnsi="Arial" w:cs="Arial"/>
          <w:color w:val="191919"/>
          <w:shd w:val="clear" w:color="auto" w:fill="FFFFFF"/>
        </w:rPr>
        <w:t>根据</w:t>
      </w:r>
      <w:r>
        <w:rPr>
          <w:rFonts w:ascii="Arial" w:hAnsi="Arial" w:cs="Arial"/>
          <w:color w:val="191919"/>
          <w:shd w:val="clear" w:color="auto" w:fill="FFFFFF"/>
        </w:rPr>
        <w:t>《中共中央国务院关于全面实施预算绩效管理的意见》，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w:t>
      </w:r>
      <w:bookmarkStart w:id="0" w:name="_GoBack"/>
      <w:bookmarkEnd w:id="0"/>
      <w:r>
        <w:rPr>
          <w:rFonts w:ascii="Arial" w:hAnsi="Arial" w:cs="Arial"/>
          <w:color w:val="191919"/>
          <w:shd w:val="clear" w:color="auto" w:fill="FFFFFF"/>
        </w:rPr>
        <w:t>绩效运行监控，并开展绩效评价和结果应用</w:t>
      </w:r>
      <w:r>
        <w:rPr>
          <w:rFonts w:hint="eastAsia" w:ascii="Arial" w:hAnsi="Arial" w:cs="Arial"/>
          <w:color w:val="191919"/>
          <w:shd w:val="clear" w:color="auto" w:fill="FFFFFF"/>
        </w:rPr>
        <w:t>。</w:t>
      </w:r>
    </w:p>
    <w:p>
      <w:pPr>
        <w:pStyle w:val="3"/>
        <w:spacing w:line="500" w:lineRule="exact"/>
      </w:pPr>
      <w:r>
        <w:rPr>
          <w:rFonts w:hint="eastAsia"/>
        </w:rPr>
        <w:t>六、其他需要说明的问题</w:t>
      </w:r>
    </w:p>
    <w:p>
      <w:pPr>
        <w:spacing w:line="500" w:lineRule="exact"/>
      </w:pPr>
      <w:r>
        <w:rPr>
          <w:rFonts w:hint="eastAsia"/>
        </w:rPr>
        <w:t>暂无。</w:t>
      </w:r>
    </w:p>
    <w:p>
      <w:pPr>
        <w:pStyle w:val="2"/>
        <w:ind w:firstLine="640"/>
      </w:pPr>
    </w:p>
    <w:p>
      <w:pPr>
        <w:pStyle w:val="2"/>
        <w:ind w:firstLine="640"/>
      </w:pPr>
    </w:p>
    <w:p>
      <w:pPr>
        <w:pStyle w:val="2"/>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E272B0E-368A-492B-964F-1AF151AF2E7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C4D921F-626C-4579-AE4E-EA0DAF90167C}"/>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embedRegular r:id="rId3" w:fontKey="{0F17B16D-56CD-48BA-96A5-E66C1CE4B64C}"/>
  </w:font>
  <w:font w:name="仿宋">
    <w:panose1 w:val="02010609060101010101"/>
    <w:charset w:val="86"/>
    <w:family w:val="modern"/>
    <w:pitch w:val="default"/>
    <w:sig w:usb0="800002BF" w:usb1="38CF7CFA" w:usb2="00000016" w:usb3="00000000" w:csb0="00040001" w:csb1="00000000"/>
    <w:embedRegular r:id="rId4" w:fontKey="{1EC10821-B4AC-4201-96B7-6CAB8D2324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101E1"/>
    <w:rsid w:val="00017298"/>
    <w:rsid w:val="00020084"/>
    <w:rsid w:val="000329D9"/>
    <w:rsid w:val="000732DA"/>
    <w:rsid w:val="00075CDC"/>
    <w:rsid w:val="0009149F"/>
    <w:rsid w:val="000B1E8F"/>
    <w:rsid w:val="00103D16"/>
    <w:rsid w:val="001214D7"/>
    <w:rsid w:val="00136702"/>
    <w:rsid w:val="00164D84"/>
    <w:rsid w:val="001D628A"/>
    <w:rsid w:val="00211581"/>
    <w:rsid w:val="00250053"/>
    <w:rsid w:val="00276CCC"/>
    <w:rsid w:val="00287C3C"/>
    <w:rsid w:val="002D0A98"/>
    <w:rsid w:val="002E5275"/>
    <w:rsid w:val="003370F3"/>
    <w:rsid w:val="00371982"/>
    <w:rsid w:val="0039432D"/>
    <w:rsid w:val="003C6374"/>
    <w:rsid w:val="003F6A9F"/>
    <w:rsid w:val="00415F7C"/>
    <w:rsid w:val="00451400"/>
    <w:rsid w:val="004531B5"/>
    <w:rsid w:val="004C5CEC"/>
    <w:rsid w:val="004D5A71"/>
    <w:rsid w:val="004F4145"/>
    <w:rsid w:val="00503C12"/>
    <w:rsid w:val="00560E3E"/>
    <w:rsid w:val="00572153"/>
    <w:rsid w:val="006B2E15"/>
    <w:rsid w:val="00747904"/>
    <w:rsid w:val="00785AF7"/>
    <w:rsid w:val="007873EA"/>
    <w:rsid w:val="007A1DC2"/>
    <w:rsid w:val="007C1C0B"/>
    <w:rsid w:val="007E546A"/>
    <w:rsid w:val="008A20F2"/>
    <w:rsid w:val="00A1169D"/>
    <w:rsid w:val="00A61A9D"/>
    <w:rsid w:val="00A92E5C"/>
    <w:rsid w:val="00AA2B82"/>
    <w:rsid w:val="00B13839"/>
    <w:rsid w:val="00B23861"/>
    <w:rsid w:val="00C03BF1"/>
    <w:rsid w:val="00C55880"/>
    <w:rsid w:val="00C801AF"/>
    <w:rsid w:val="00CC152C"/>
    <w:rsid w:val="00CE3824"/>
    <w:rsid w:val="00CE55E9"/>
    <w:rsid w:val="00D200DC"/>
    <w:rsid w:val="00D61B1A"/>
    <w:rsid w:val="00D63908"/>
    <w:rsid w:val="00D72958"/>
    <w:rsid w:val="00D82388"/>
    <w:rsid w:val="00DB429F"/>
    <w:rsid w:val="00DD09A2"/>
    <w:rsid w:val="00DD16E3"/>
    <w:rsid w:val="00DF57C5"/>
    <w:rsid w:val="00E51DC5"/>
    <w:rsid w:val="00ED6D53"/>
    <w:rsid w:val="00F22AE2"/>
    <w:rsid w:val="00F437B4"/>
    <w:rsid w:val="00F57F82"/>
    <w:rsid w:val="00F64E54"/>
    <w:rsid w:val="00F74CCA"/>
    <w:rsid w:val="00F75963"/>
    <w:rsid w:val="00FA357A"/>
    <w:rsid w:val="029E5817"/>
    <w:rsid w:val="02C86339"/>
    <w:rsid w:val="037D0BC8"/>
    <w:rsid w:val="04076DA7"/>
    <w:rsid w:val="055025D2"/>
    <w:rsid w:val="069E21A9"/>
    <w:rsid w:val="07FA0264"/>
    <w:rsid w:val="0845082D"/>
    <w:rsid w:val="0848123F"/>
    <w:rsid w:val="08A1260D"/>
    <w:rsid w:val="096A663E"/>
    <w:rsid w:val="09E965F2"/>
    <w:rsid w:val="0A4A3A37"/>
    <w:rsid w:val="0A87714B"/>
    <w:rsid w:val="0EC63FED"/>
    <w:rsid w:val="0EFB5A0A"/>
    <w:rsid w:val="0FFFAAC1"/>
    <w:rsid w:val="109675FA"/>
    <w:rsid w:val="11D7196B"/>
    <w:rsid w:val="12CA3F9C"/>
    <w:rsid w:val="139840D3"/>
    <w:rsid w:val="143E091F"/>
    <w:rsid w:val="14865FC8"/>
    <w:rsid w:val="150C2DB0"/>
    <w:rsid w:val="17C05E32"/>
    <w:rsid w:val="18F83E24"/>
    <w:rsid w:val="1C7551F7"/>
    <w:rsid w:val="1CB97863"/>
    <w:rsid w:val="1CE94882"/>
    <w:rsid w:val="1E761F05"/>
    <w:rsid w:val="1FC7205C"/>
    <w:rsid w:val="20B319CB"/>
    <w:rsid w:val="20BD1B38"/>
    <w:rsid w:val="21B57B1D"/>
    <w:rsid w:val="21DE5A03"/>
    <w:rsid w:val="21F00DBA"/>
    <w:rsid w:val="228B3D05"/>
    <w:rsid w:val="24411B7C"/>
    <w:rsid w:val="25FE8923"/>
    <w:rsid w:val="27F34A6B"/>
    <w:rsid w:val="286D5E37"/>
    <w:rsid w:val="28E373DF"/>
    <w:rsid w:val="2A94137D"/>
    <w:rsid w:val="2CBB425E"/>
    <w:rsid w:val="2D8B4B0D"/>
    <w:rsid w:val="2F6E3F42"/>
    <w:rsid w:val="2F6F4467"/>
    <w:rsid w:val="2FAD4FCA"/>
    <w:rsid w:val="307B0621"/>
    <w:rsid w:val="33E86A4E"/>
    <w:rsid w:val="34906180"/>
    <w:rsid w:val="355571ED"/>
    <w:rsid w:val="368D368C"/>
    <w:rsid w:val="36B95C8B"/>
    <w:rsid w:val="38E50E25"/>
    <w:rsid w:val="38EF7AD8"/>
    <w:rsid w:val="3A0C0C54"/>
    <w:rsid w:val="3A431E7C"/>
    <w:rsid w:val="3C5E2926"/>
    <w:rsid w:val="3C7019B2"/>
    <w:rsid w:val="3D7E7C9E"/>
    <w:rsid w:val="3DBBD6B4"/>
    <w:rsid w:val="3DCC6A35"/>
    <w:rsid w:val="3E1672E6"/>
    <w:rsid w:val="3E6918DD"/>
    <w:rsid w:val="3F5579C2"/>
    <w:rsid w:val="3F5B7984"/>
    <w:rsid w:val="40950555"/>
    <w:rsid w:val="41322966"/>
    <w:rsid w:val="415F08D8"/>
    <w:rsid w:val="41AE398F"/>
    <w:rsid w:val="42F07593"/>
    <w:rsid w:val="433B52D2"/>
    <w:rsid w:val="43690154"/>
    <w:rsid w:val="43ED7E14"/>
    <w:rsid w:val="441867FA"/>
    <w:rsid w:val="4434078E"/>
    <w:rsid w:val="44C635B7"/>
    <w:rsid w:val="44E2230F"/>
    <w:rsid w:val="456A0F27"/>
    <w:rsid w:val="46B5006E"/>
    <w:rsid w:val="46E11476"/>
    <w:rsid w:val="46F9107C"/>
    <w:rsid w:val="486707C9"/>
    <w:rsid w:val="4881717A"/>
    <w:rsid w:val="48B51347"/>
    <w:rsid w:val="4A1B2E89"/>
    <w:rsid w:val="4A55216A"/>
    <w:rsid w:val="4B0E65C7"/>
    <w:rsid w:val="4BFD2870"/>
    <w:rsid w:val="4C4F4283"/>
    <w:rsid w:val="4D2907E5"/>
    <w:rsid w:val="4D4C56FF"/>
    <w:rsid w:val="4DC43E92"/>
    <w:rsid w:val="4FE0696A"/>
    <w:rsid w:val="50D34630"/>
    <w:rsid w:val="50F76058"/>
    <w:rsid w:val="50F91B2C"/>
    <w:rsid w:val="50FE6375"/>
    <w:rsid w:val="51FD19E1"/>
    <w:rsid w:val="528F2AA6"/>
    <w:rsid w:val="53773584"/>
    <w:rsid w:val="55673508"/>
    <w:rsid w:val="56FE7A11"/>
    <w:rsid w:val="57FCC004"/>
    <w:rsid w:val="59595A6F"/>
    <w:rsid w:val="599330CA"/>
    <w:rsid w:val="599504DA"/>
    <w:rsid w:val="59A60DC8"/>
    <w:rsid w:val="5B0D23FC"/>
    <w:rsid w:val="5B6C0F28"/>
    <w:rsid w:val="5DB076C2"/>
    <w:rsid w:val="5F76F0C1"/>
    <w:rsid w:val="5FF371E7"/>
    <w:rsid w:val="600865E8"/>
    <w:rsid w:val="603B6C1D"/>
    <w:rsid w:val="60D5009F"/>
    <w:rsid w:val="619D08BC"/>
    <w:rsid w:val="6261716A"/>
    <w:rsid w:val="6324384D"/>
    <w:rsid w:val="660721C9"/>
    <w:rsid w:val="661E6C75"/>
    <w:rsid w:val="67F75FF5"/>
    <w:rsid w:val="681715F8"/>
    <w:rsid w:val="681D4831"/>
    <w:rsid w:val="68434224"/>
    <w:rsid w:val="692A6C18"/>
    <w:rsid w:val="692E4B19"/>
    <w:rsid w:val="69513EF7"/>
    <w:rsid w:val="697D78BA"/>
    <w:rsid w:val="6AAF7917"/>
    <w:rsid w:val="6B0B09CB"/>
    <w:rsid w:val="6BF3256F"/>
    <w:rsid w:val="6CE7018A"/>
    <w:rsid w:val="6D08690D"/>
    <w:rsid w:val="6DA15568"/>
    <w:rsid w:val="6DD91D8B"/>
    <w:rsid w:val="6E3E3F2D"/>
    <w:rsid w:val="6E4A5A76"/>
    <w:rsid w:val="70D86EB2"/>
    <w:rsid w:val="713E4BF8"/>
    <w:rsid w:val="715B2F02"/>
    <w:rsid w:val="72F13750"/>
    <w:rsid w:val="730F557A"/>
    <w:rsid w:val="748C1146"/>
    <w:rsid w:val="74DA0D6F"/>
    <w:rsid w:val="75A62CFF"/>
    <w:rsid w:val="76A548F2"/>
    <w:rsid w:val="76CF5790"/>
    <w:rsid w:val="7765772E"/>
    <w:rsid w:val="77867685"/>
    <w:rsid w:val="77F04540"/>
    <w:rsid w:val="781F36B6"/>
    <w:rsid w:val="78ED5A1E"/>
    <w:rsid w:val="790627AD"/>
    <w:rsid w:val="7ABA7609"/>
    <w:rsid w:val="7ADC59FA"/>
    <w:rsid w:val="7AF74DBE"/>
    <w:rsid w:val="7BB71159"/>
    <w:rsid w:val="7C1A2432"/>
    <w:rsid w:val="7CC12815"/>
    <w:rsid w:val="7CD836C4"/>
    <w:rsid w:val="7D6742C1"/>
    <w:rsid w:val="7D9561BE"/>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autoRedefine/>
    <w:qFormat/>
    <w:uiPriority w:val="0"/>
    <w:pPr>
      <w:keepNext/>
      <w:keepLines/>
      <w:ind w:firstLine="643"/>
    </w:pPr>
    <w:rPr>
      <w:rFonts w:ascii="黑体" w:hAnsi="黑体" w:eastAsia="黑体"/>
      <w:b/>
      <w:kern w:val="44"/>
      <w:szCs w:val="24"/>
    </w:rPr>
  </w:style>
  <w:style w:type="paragraph" w:styleId="4">
    <w:name w:val="heading 2"/>
    <w:basedOn w:val="1"/>
    <w:next w:val="1"/>
    <w:autoRedefine/>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autoRedefine/>
    <w:qFormat/>
    <w:uiPriority w:val="0"/>
    <w:rPr>
      <w:rFonts w:eastAsia="仿宋_GB2312"/>
      <w:kern w:val="2"/>
      <w:sz w:val="18"/>
      <w:szCs w:val="18"/>
    </w:rPr>
  </w:style>
  <w:style w:type="character" w:customStyle="1" w:styleId="13">
    <w:name w:val="批注框文本 字符"/>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autoRedefine/>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924</Words>
  <Characters>1007</Characters>
  <Lines>7</Lines>
  <Paragraphs>2</Paragraphs>
  <TotalTime>0</TotalTime>
  <ScaleCrop>false</ScaleCrop>
  <LinksUpToDate>false</LinksUpToDate>
  <CharactersWithSpaces>1009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2024-04-08T09:30:23Z</dcterms:modified>
  <dc:title>财政支出绩效评价报告</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