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安置地块4、5周边配套路网项目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/>
    <w:p>
      <w:pPr>
        <w:pStyle w:val="2"/>
        <w:ind w:firstLine="640"/>
      </w:pPr>
    </w:p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widowControl/>
        <w:jc w:val="left"/>
        <w:rPr>
          <w:rFonts w:ascii="仿宋" w:hAnsi="仿宋" w:cs="仿宋"/>
          <w:szCs w:val="32"/>
        </w:rPr>
      </w:pPr>
      <w:r>
        <w:rPr>
          <w:rFonts w:hint="eastAsia"/>
        </w:rPr>
        <w:t>安置地块4、5周边配套路网项目业主为</w:t>
      </w:r>
      <w:r>
        <w:rPr>
          <w:rFonts w:hint="eastAsia"/>
          <w:lang w:val="en-US" w:eastAsia="zh-CN"/>
        </w:rPr>
        <w:t>海口市恒慧基础建设有限公司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变更前名称：</w:t>
      </w:r>
      <w:r>
        <w:rPr>
          <w:rFonts w:hint="eastAsia"/>
        </w:rPr>
        <w:t>海口江东新区基础建设有限公司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，项目位于海口市江东新区。项目包含4 条市政道路，路线总长约1.723km，其中乐阳横路西起规划文礼西路，东至顺达路长约0.646km，红线宽度24m，为城市次干路；泰华街西段西起顺达路，东至规划金岳路，长约 0.408km，红线宽度12m，为城市支路；美庄街西段西起顺达路，东至规划金岳路，长约0.409km，红线宽度12m，为城市支路；金岳西路北段北起泰华街西段，南至美庄街西段，长约0.26km，红线宽度 12m，为城市支路。工程建设内容包含道路工程、交通工程、桥梁工程、给排水工程、照明工程、缆线型管廊工程、绿化工程等。项目概算总投资为</w:t>
      </w:r>
      <w:r>
        <w:rPr>
          <w:rFonts w:hint="eastAsia" w:hAnsi="宋体" w:cs="仿宋_GB2312"/>
          <w:kern w:val="0"/>
          <w:sz w:val="31"/>
          <w:szCs w:val="31"/>
          <w:lang w:val="en-US" w:eastAsia="zh-CN" w:bidi="ar"/>
        </w:rPr>
        <w:t>32500</w:t>
      </w:r>
      <w:r>
        <w:rPr>
          <w:rFonts w:hint="eastAsia"/>
        </w:rPr>
        <w:t>万元。</w:t>
      </w:r>
    </w:p>
    <w:p>
      <w:pPr>
        <w:pStyle w:val="3"/>
        <w:spacing w:line="500" w:lineRule="exact"/>
      </w:pPr>
      <w:r>
        <w:rPr>
          <w:rFonts w:hint="eastAsia"/>
        </w:rPr>
        <w:t>（二）项目资金情况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16400</w:t>
      </w:r>
      <w:r>
        <w:rPr>
          <w:rFonts w:hint="eastAsia"/>
          <w:sz w:val="32"/>
          <w:szCs w:val="36"/>
        </w:rPr>
        <w:t>万元，</w:t>
      </w:r>
      <w:r>
        <w:rPr>
          <w:rFonts w:hint="eastAsia"/>
          <w:color w:val="auto"/>
          <w:sz w:val="32"/>
          <w:szCs w:val="36"/>
        </w:rPr>
        <w:t>其中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地债资金</w:t>
      </w:r>
      <w:r>
        <w:rPr>
          <w:rFonts w:hint="eastAsia"/>
          <w:lang w:val="en-US" w:eastAsia="zh-CN"/>
        </w:rPr>
        <w:t>16400</w:t>
      </w:r>
      <w:r>
        <w:rPr>
          <w:rFonts w:hint="eastAsia"/>
        </w:rPr>
        <w:t>万元。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16400</w:t>
      </w:r>
      <w:r>
        <w:rPr>
          <w:rFonts w:hint="eastAsia"/>
          <w:sz w:val="32"/>
          <w:szCs w:val="36"/>
        </w:rPr>
        <w:t>万元，</w:t>
      </w:r>
      <w:r>
        <w:rPr>
          <w:rFonts w:hint="eastAsia"/>
          <w:color w:val="auto"/>
          <w:sz w:val="32"/>
          <w:szCs w:val="36"/>
        </w:rPr>
        <w:t>其中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地债资金</w:t>
      </w:r>
      <w:r>
        <w:rPr>
          <w:rFonts w:hint="eastAsia"/>
          <w:lang w:val="en-US" w:eastAsia="zh-CN"/>
        </w:rPr>
        <w:t>16400</w:t>
      </w:r>
      <w:r>
        <w:rPr>
          <w:rFonts w:hint="eastAsia"/>
        </w:rPr>
        <w:t>万元。在项目资金使用上，行业主管、业主单位严格执行政府投资项目和资金管理办法，严格落实资金审批程序，加快资金拨付，全面保障项目建设资金用款需要。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pPr>
        <w:spacing w:line="500" w:lineRule="exact"/>
        <w:rPr>
          <w:highlight w:val="yellow"/>
          <w:lang w:bidi="ar"/>
        </w:rPr>
      </w:pPr>
      <w:r>
        <w:rPr>
          <w:rFonts w:hint="eastAsia"/>
          <w:lang w:bidi="ar"/>
        </w:rPr>
        <w:t>项目年度目标为：完成年度固投50万。</w:t>
      </w:r>
    </w:p>
    <w:p>
      <w:pPr>
        <w:spacing w:line="500" w:lineRule="exact"/>
      </w:pPr>
      <w:r>
        <w:rPr>
          <w:rFonts w:hint="eastAsia"/>
          <w:lang w:bidi="ar"/>
        </w:rPr>
        <w:t>项目年度完成情况：</w:t>
      </w:r>
      <w:r>
        <w:rPr>
          <w:rFonts w:hint="eastAsia"/>
        </w:rPr>
        <w:t>完成年度固投</w:t>
      </w:r>
      <w:r>
        <w:rPr>
          <w:rFonts w:hint="eastAsia"/>
          <w:lang w:val="en-US" w:eastAsia="zh-CN"/>
        </w:rPr>
        <w:t>384</w:t>
      </w:r>
      <w:r>
        <w:rPr>
          <w:rFonts w:hint="eastAsia"/>
        </w:rPr>
        <w:t>万。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  <w:r>
        <w:t xml:space="preserve"> </w:t>
      </w:r>
    </w:p>
    <w:p>
      <w:pPr>
        <w:spacing w:line="500" w:lineRule="exact"/>
      </w:pPr>
      <w:r>
        <w:rPr>
          <w:rFonts w:hint="eastAsia"/>
        </w:rPr>
        <w:t>目标：</w:t>
      </w:r>
      <w:r>
        <w:rPr>
          <w:rFonts w:hint="eastAsia"/>
          <w:lang w:bidi="ar"/>
        </w:rPr>
        <w:t>完成年度固投≥50万</w:t>
      </w:r>
      <w:r>
        <w:rPr>
          <w:rFonts w:hint="eastAsia"/>
        </w:rPr>
        <w:t>。</w:t>
      </w:r>
    </w:p>
    <w:p>
      <w:pPr>
        <w:spacing w:line="500" w:lineRule="exact"/>
      </w:pPr>
      <w:r>
        <w:rPr>
          <w:rFonts w:hint="eastAsia"/>
        </w:rPr>
        <w:t>完成情况：</w:t>
      </w:r>
      <w:r>
        <w:rPr>
          <w:rFonts w:hint="eastAsia"/>
          <w:lang w:bidi="ar"/>
        </w:rPr>
        <w:t>完成年度固投</w:t>
      </w:r>
      <w:r>
        <w:rPr>
          <w:rFonts w:hint="eastAsia"/>
          <w:lang w:val="en-US" w:eastAsia="zh-CN" w:bidi="ar"/>
        </w:rPr>
        <w:t>384</w:t>
      </w:r>
      <w:r>
        <w:rPr>
          <w:rFonts w:hint="eastAsia"/>
          <w:lang w:bidi="ar"/>
        </w:rPr>
        <w:t>万</w:t>
      </w:r>
      <w:r>
        <w:rPr>
          <w:rFonts w:hint="eastAsia"/>
        </w:rPr>
        <w:t>。完成目标绩效。</w:t>
      </w:r>
    </w:p>
    <w:p>
      <w:pPr>
        <w:spacing w:line="500" w:lineRule="exact"/>
      </w:pPr>
      <w:r>
        <w:rPr>
          <w:rFonts w:hint="eastAsia"/>
        </w:rPr>
        <w:t xml:space="preserve">2.效益指标： 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000人。</w:t>
      </w:r>
    </w:p>
    <w:p>
      <w:pPr>
        <w:spacing w:line="500" w:lineRule="exact"/>
        <w:rPr>
          <w:rFonts w:hint="eastAsia"/>
          <w:lang w:eastAsia="zh-CN"/>
        </w:rPr>
      </w:pPr>
      <w:r>
        <w:rPr>
          <w:rFonts w:hint="eastAsia"/>
        </w:rPr>
        <w:t>完成情况：项目</w:t>
      </w:r>
      <w:r>
        <w:rPr>
          <w:rFonts w:hint="eastAsia"/>
          <w:lang w:val="en-US" w:eastAsia="zh-CN"/>
        </w:rPr>
        <w:t>收益</w:t>
      </w:r>
      <w:r>
        <w:rPr>
          <w:rFonts w:hint="eastAsia"/>
        </w:rPr>
        <w:t>人数超过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000人。完成目标绩效</w:t>
      </w:r>
      <w:r>
        <w:rPr>
          <w:rFonts w:hint="eastAsia"/>
          <w:lang w:eastAsia="zh-CN"/>
        </w:rPr>
        <w:t>。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spacing w:line="500" w:lineRule="exact"/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.成本指标：</w:t>
      </w:r>
      <w:bookmarkStart w:id="0" w:name="_GoBack"/>
      <w:bookmarkEnd w:id="0"/>
    </w:p>
    <w:p>
      <w:pPr>
        <w:spacing w:line="500" w:lineRule="exact"/>
      </w:pPr>
      <w:r>
        <w:rPr>
          <w:rFonts w:hint="eastAsia"/>
        </w:rPr>
        <w:t>目标：超概算比例≤5%。</w:t>
      </w:r>
    </w:p>
    <w:p>
      <w:pPr>
        <w:spacing w:line="500" w:lineRule="exact"/>
      </w:pPr>
      <w:r>
        <w:rPr>
          <w:rFonts w:hint="eastAsia"/>
        </w:rPr>
        <w:t>完成情况：未出现超概算情况，完成目标绩效。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该年度安置地块4、5周边配套路网项目整体效益目标已按时完成，绩效自评分数100分，自评等级优。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pStyle w:val="2"/>
        <w:ind w:firstLine="64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50"/>
  <w:drawingGridVerticalSpacing w:val="58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30E6"/>
    <w:rsid w:val="00164D84"/>
    <w:rsid w:val="001B795B"/>
    <w:rsid w:val="001C728E"/>
    <w:rsid w:val="001D628A"/>
    <w:rsid w:val="00211581"/>
    <w:rsid w:val="00250053"/>
    <w:rsid w:val="00276CCC"/>
    <w:rsid w:val="00287C3C"/>
    <w:rsid w:val="002904E7"/>
    <w:rsid w:val="002D0A98"/>
    <w:rsid w:val="002D522A"/>
    <w:rsid w:val="00336033"/>
    <w:rsid w:val="003370F3"/>
    <w:rsid w:val="00371982"/>
    <w:rsid w:val="0039432D"/>
    <w:rsid w:val="003C6374"/>
    <w:rsid w:val="00415F7C"/>
    <w:rsid w:val="004531B5"/>
    <w:rsid w:val="0047686C"/>
    <w:rsid w:val="004C5CEC"/>
    <w:rsid w:val="004D5A71"/>
    <w:rsid w:val="00503C12"/>
    <w:rsid w:val="00560E3E"/>
    <w:rsid w:val="00564536"/>
    <w:rsid w:val="00572153"/>
    <w:rsid w:val="00747904"/>
    <w:rsid w:val="00785AF7"/>
    <w:rsid w:val="007873EA"/>
    <w:rsid w:val="007A1DC2"/>
    <w:rsid w:val="007C1C0B"/>
    <w:rsid w:val="007E546A"/>
    <w:rsid w:val="008A20F2"/>
    <w:rsid w:val="008A22FA"/>
    <w:rsid w:val="0094341E"/>
    <w:rsid w:val="009739D9"/>
    <w:rsid w:val="00A1169D"/>
    <w:rsid w:val="00A50D72"/>
    <w:rsid w:val="00A92E5C"/>
    <w:rsid w:val="00AA2B82"/>
    <w:rsid w:val="00AB0AC6"/>
    <w:rsid w:val="00B00A27"/>
    <w:rsid w:val="00B13839"/>
    <w:rsid w:val="00B23861"/>
    <w:rsid w:val="00C428F2"/>
    <w:rsid w:val="00C55880"/>
    <w:rsid w:val="00CA5926"/>
    <w:rsid w:val="00CC152C"/>
    <w:rsid w:val="00CE3824"/>
    <w:rsid w:val="00CE55E9"/>
    <w:rsid w:val="00D0162C"/>
    <w:rsid w:val="00D200DC"/>
    <w:rsid w:val="00D61B1A"/>
    <w:rsid w:val="00D63908"/>
    <w:rsid w:val="00D72958"/>
    <w:rsid w:val="00D82388"/>
    <w:rsid w:val="00DB429F"/>
    <w:rsid w:val="00DD09A2"/>
    <w:rsid w:val="00DD16E3"/>
    <w:rsid w:val="00DD7CDE"/>
    <w:rsid w:val="00DF57C5"/>
    <w:rsid w:val="00ED6D53"/>
    <w:rsid w:val="00EF1E2A"/>
    <w:rsid w:val="00EF58BA"/>
    <w:rsid w:val="00F12685"/>
    <w:rsid w:val="00F22AE2"/>
    <w:rsid w:val="00F437B4"/>
    <w:rsid w:val="00F57F82"/>
    <w:rsid w:val="00F64E54"/>
    <w:rsid w:val="00F75963"/>
    <w:rsid w:val="00F9703A"/>
    <w:rsid w:val="00FA357A"/>
    <w:rsid w:val="00FC5730"/>
    <w:rsid w:val="029E5817"/>
    <w:rsid w:val="02C86339"/>
    <w:rsid w:val="037D0BC8"/>
    <w:rsid w:val="04076DA7"/>
    <w:rsid w:val="055025D2"/>
    <w:rsid w:val="07FA0264"/>
    <w:rsid w:val="0845082D"/>
    <w:rsid w:val="0848123F"/>
    <w:rsid w:val="08A1260D"/>
    <w:rsid w:val="096A663E"/>
    <w:rsid w:val="09E965F2"/>
    <w:rsid w:val="0A4A3A37"/>
    <w:rsid w:val="0A87714B"/>
    <w:rsid w:val="0BA35EC2"/>
    <w:rsid w:val="0EC63FED"/>
    <w:rsid w:val="0EFB5A0A"/>
    <w:rsid w:val="0FFFAAC1"/>
    <w:rsid w:val="109675FA"/>
    <w:rsid w:val="11D7196B"/>
    <w:rsid w:val="12CA3F9C"/>
    <w:rsid w:val="139840D3"/>
    <w:rsid w:val="143E091F"/>
    <w:rsid w:val="14865FC8"/>
    <w:rsid w:val="150C2DB0"/>
    <w:rsid w:val="167E787A"/>
    <w:rsid w:val="17C05E32"/>
    <w:rsid w:val="18F83E24"/>
    <w:rsid w:val="1CE94882"/>
    <w:rsid w:val="1E066C0F"/>
    <w:rsid w:val="1E761F05"/>
    <w:rsid w:val="1FC7205C"/>
    <w:rsid w:val="20BD1B38"/>
    <w:rsid w:val="21B57B1D"/>
    <w:rsid w:val="21DE5A03"/>
    <w:rsid w:val="21F00DBA"/>
    <w:rsid w:val="228B3D05"/>
    <w:rsid w:val="2591019E"/>
    <w:rsid w:val="25FE8923"/>
    <w:rsid w:val="27F34A6B"/>
    <w:rsid w:val="286D5E37"/>
    <w:rsid w:val="28723986"/>
    <w:rsid w:val="28E373DF"/>
    <w:rsid w:val="2A94137D"/>
    <w:rsid w:val="2CBB425E"/>
    <w:rsid w:val="2D8B4B0D"/>
    <w:rsid w:val="2F6F4467"/>
    <w:rsid w:val="2FAD4FCA"/>
    <w:rsid w:val="33E86A4E"/>
    <w:rsid w:val="34FC00AC"/>
    <w:rsid w:val="355571ED"/>
    <w:rsid w:val="368D368C"/>
    <w:rsid w:val="36B95C8B"/>
    <w:rsid w:val="38EF7AD8"/>
    <w:rsid w:val="3A0C0C54"/>
    <w:rsid w:val="3A431E7C"/>
    <w:rsid w:val="3C5E2926"/>
    <w:rsid w:val="3C7019B2"/>
    <w:rsid w:val="3D7E7C9E"/>
    <w:rsid w:val="3DBBD6B4"/>
    <w:rsid w:val="3E1672E6"/>
    <w:rsid w:val="3E6918DD"/>
    <w:rsid w:val="3F5579C2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6E11476"/>
    <w:rsid w:val="46F9107C"/>
    <w:rsid w:val="4881717A"/>
    <w:rsid w:val="48B51347"/>
    <w:rsid w:val="4A1B2E89"/>
    <w:rsid w:val="4A55216A"/>
    <w:rsid w:val="4B0E65C7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FD19E1"/>
    <w:rsid w:val="528F2AA6"/>
    <w:rsid w:val="53773584"/>
    <w:rsid w:val="55673508"/>
    <w:rsid w:val="56FE7A11"/>
    <w:rsid w:val="57FCC004"/>
    <w:rsid w:val="59595A6F"/>
    <w:rsid w:val="599330CA"/>
    <w:rsid w:val="59A60DC8"/>
    <w:rsid w:val="5B0D23FC"/>
    <w:rsid w:val="5B2532F4"/>
    <w:rsid w:val="5B6C0F28"/>
    <w:rsid w:val="5DB076C2"/>
    <w:rsid w:val="5F76F0C1"/>
    <w:rsid w:val="5FF371E7"/>
    <w:rsid w:val="600865E8"/>
    <w:rsid w:val="603B6C1D"/>
    <w:rsid w:val="60D5009F"/>
    <w:rsid w:val="619D08BC"/>
    <w:rsid w:val="6261716A"/>
    <w:rsid w:val="6324384D"/>
    <w:rsid w:val="650D2AAB"/>
    <w:rsid w:val="660721C9"/>
    <w:rsid w:val="661E6C75"/>
    <w:rsid w:val="67F75FF5"/>
    <w:rsid w:val="681715F8"/>
    <w:rsid w:val="681D4831"/>
    <w:rsid w:val="68434224"/>
    <w:rsid w:val="68D45A8F"/>
    <w:rsid w:val="692A6C18"/>
    <w:rsid w:val="692E4B19"/>
    <w:rsid w:val="69513EF7"/>
    <w:rsid w:val="697D78BA"/>
    <w:rsid w:val="6AAF7917"/>
    <w:rsid w:val="6B0B09CB"/>
    <w:rsid w:val="6BF3256F"/>
    <w:rsid w:val="6C6E1A4A"/>
    <w:rsid w:val="6CE7018A"/>
    <w:rsid w:val="6D08690D"/>
    <w:rsid w:val="6DA15568"/>
    <w:rsid w:val="6E3E3F2D"/>
    <w:rsid w:val="70D86EB2"/>
    <w:rsid w:val="715B2F02"/>
    <w:rsid w:val="72F13750"/>
    <w:rsid w:val="730F557A"/>
    <w:rsid w:val="748C1146"/>
    <w:rsid w:val="75A62CFF"/>
    <w:rsid w:val="76A548F2"/>
    <w:rsid w:val="76CC6371"/>
    <w:rsid w:val="7765772E"/>
    <w:rsid w:val="77867685"/>
    <w:rsid w:val="77D520F2"/>
    <w:rsid w:val="77F04540"/>
    <w:rsid w:val="781F36B6"/>
    <w:rsid w:val="78ED5A1E"/>
    <w:rsid w:val="790627AD"/>
    <w:rsid w:val="7ABA7609"/>
    <w:rsid w:val="7ADC59FA"/>
    <w:rsid w:val="7BB71159"/>
    <w:rsid w:val="7C1A2432"/>
    <w:rsid w:val="7CD836C4"/>
    <w:rsid w:val="7D6742C1"/>
    <w:rsid w:val="7DBDD65E"/>
    <w:rsid w:val="7DDD794F"/>
    <w:rsid w:val="7DE94201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autoRedefine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5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autoRedefine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autoRedefine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autoRedefine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  <w:style w:type="character" w:customStyle="1" w:styleId="17">
    <w:name w:val="15"/>
    <w:basedOn w:val="10"/>
    <w:autoRedefine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994</Words>
  <Characters>1088</Characters>
  <Lines>7</Lines>
  <Paragraphs>2</Paragraphs>
  <TotalTime>0</TotalTime>
  <ScaleCrop>false</ScaleCrop>
  <LinksUpToDate>false</LinksUpToDate>
  <CharactersWithSpaces>1094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2024-04-08T13:09:06Z</dcterms:modified>
  <dc:title>财政支出绩效评价报告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198557A26C83406CA6ECA1D5A128AFF0</vt:lpwstr>
  </property>
</Properties>
</file>