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江东新区塔市支渠（中游）水系修复工程项目</w:t>
      </w:r>
    </w:p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  <w:lang w:eastAsia="zh-CN"/>
        </w:rPr>
        <w:t>2023年</w:t>
      </w:r>
      <w:r>
        <w:rPr>
          <w:rFonts w:hint="eastAsia" w:ascii="方正小标宋简体" w:eastAsia="方正小标宋简体"/>
          <w:sz w:val="40"/>
          <w:szCs w:val="40"/>
        </w:rPr>
        <w:t>度绩效自评报告</w:t>
      </w:r>
    </w:p>
    <w:p/>
    <w:p/>
    <w:p>
      <w:pPr>
        <w:pStyle w:val="3"/>
        <w:spacing w:line="500" w:lineRule="exact"/>
      </w:pPr>
      <w:r>
        <w:rPr>
          <w:rFonts w:hint="eastAsia"/>
        </w:rPr>
        <w:t>一、基本情况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（一）项目概况</w:t>
      </w:r>
    </w:p>
    <w:p>
      <w:pPr>
        <w:widowControl/>
        <w:jc w:val="left"/>
        <w:rPr>
          <w:rFonts w:ascii="仿宋" w:hAnsi="仿宋" w:cs="仿宋"/>
          <w:szCs w:val="32"/>
        </w:rPr>
      </w:pPr>
      <w:r>
        <w:rPr>
          <w:rFonts w:hint="eastAsia"/>
        </w:rPr>
        <w:t>江东新区塔市支渠（中游）水系修复工程项目业主为</w:t>
      </w:r>
      <w:r>
        <w:rPr>
          <w:rFonts w:hint="eastAsia"/>
          <w:lang w:val="en-US" w:eastAsia="zh-CN"/>
        </w:rPr>
        <w:t>海口市君实综合开发有限责任公司（变更前名称：</w:t>
      </w:r>
      <w:r>
        <w:rPr>
          <w:rFonts w:hint="eastAsia"/>
        </w:rPr>
        <w:t>海口江东新区开发建设有限责任公司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，位于海南省海口市美兰区江东新区。</w:t>
      </w:r>
      <w:r>
        <w:rPr>
          <w:rFonts w:hint="eastAsia" w:ascii="仿宋" w:hAnsi="仿宋" w:eastAsia="仿宋" w:cs="仿宋"/>
          <w:szCs w:val="32"/>
        </w:rPr>
        <w:t>工程治理河道全长3767m，其中塔市支渠（中游）3463m、振家溪151m、三大排153m，拆除重建桥梁2座、漫水涵2座；上游为规划横向六路（桩号TS3+463.15），由南至北穿海涛大道，流经桂林洋高校区后至现状桂林洋大道东南侧分流口处（桩号TS0+000.00）。本年度下游段施工计划工程主要建设内容包括：测量清表、河道开挖回填、清淤疏浚、导流围堰、河岸干砌石护坡护脚、生态护岸、零星扫尾工程等</w:t>
      </w:r>
      <w:r>
        <w:rPr>
          <w:rFonts w:hint="eastAsia"/>
        </w:rPr>
        <w:t>。项目总投资为</w:t>
      </w:r>
      <w:r>
        <w:rPr>
          <w:rFonts w:hAnsi="宋体" w:cs="仿宋_GB2312"/>
          <w:color w:val="000000"/>
          <w:kern w:val="0"/>
          <w:sz w:val="31"/>
          <w:szCs w:val="31"/>
          <w:lang w:bidi="ar"/>
        </w:rPr>
        <w:t>1</w:t>
      </w:r>
      <w:r>
        <w:rPr>
          <w:rFonts w:hint="eastAsia" w:hAnsi="宋体" w:cs="仿宋_GB2312"/>
          <w:color w:val="000000"/>
          <w:kern w:val="0"/>
          <w:sz w:val="31"/>
          <w:szCs w:val="31"/>
          <w:lang w:val="en-US" w:eastAsia="zh-CN" w:bidi="ar"/>
        </w:rPr>
        <w:t>5789</w:t>
      </w:r>
      <w:r>
        <w:rPr>
          <w:rFonts w:hint="eastAsia"/>
        </w:rPr>
        <w:t>万元.</w:t>
      </w:r>
    </w:p>
    <w:p>
      <w:pPr>
        <w:pStyle w:val="3"/>
        <w:spacing w:line="500" w:lineRule="exact"/>
      </w:pPr>
      <w:r>
        <w:rPr>
          <w:rFonts w:hint="eastAsia"/>
        </w:rPr>
        <w:t>（二）项目资金情况</w:t>
      </w:r>
    </w:p>
    <w:p>
      <w:pPr>
        <w:spacing w:line="500" w:lineRule="exact"/>
      </w:pPr>
      <w:r>
        <w:rPr>
          <w:rFonts w:hint="eastAsia"/>
        </w:rPr>
        <w:t>该项目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共到位资金</w:t>
      </w:r>
      <w:r>
        <w:rPr>
          <w:rFonts w:hint="eastAsia"/>
          <w:lang w:val="en-US" w:eastAsia="zh-CN"/>
        </w:rPr>
        <w:t>1000</w:t>
      </w:r>
      <w:r>
        <w:rPr>
          <w:rFonts w:hint="eastAsia"/>
        </w:rPr>
        <w:t>万元，其中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地债资金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00万元。</w:t>
      </w:r>
    </w:p>
    <w:p>
      <w:pPr>
        <w:pStyle w:val="3"/>
        <w:spacing w:line="500" w:lineRule="exact"/>
      </w:pPr>
      <w:r>
        <w:rPr>
          <w:rFonts w:hint="eastAsia"/>
        </w:rPr>
        <w:t>二、绩效目标完成情况分析</w:t>
      </w:r>
    </w:p>
    <w:p>
      <w:pPr>
        <w:pStyle w:val="3"/>
        <w:spacing w:line="500" w:lineRule="exact"/>
      </w:pPr>
      <w:r>
        <w:rPr>
          <w:rFonts w:hint="eastAsia"/>
        </w:rPr>
        <w:t>（一）资金情况分析</w:t>
      </w:r>
    </w:p>
    <w:p>
      <w:pPr>
        <w:spacing w:line="500" w:lineRule="exact"/>
      </w:pPr>
      <w:r>
        <w:rPr>
          <w:rFonts w:hint="eastAsia"/>
        </w:rPr>
        <w:t>该项目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共到位资金</w:t>
      </w:r>
      <w:r>
        <w:rPr>
          <w:rFonts w:hint="eastAsia"/>
          <w:lang w:val="en-US" w:eastAsia="zh-CN"/>
        </w:rPr>
        <w:t>1000</w:t>
      </w:r>
      <w:r>
        <w:rPr>
          <w:rFonts w:hint="eastAsia"/>
        </w:rPr>
        <w:t>万元，其中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地债资金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00万元。在项目资金使用上，行业主管、业主单位严格执行政府投资项目和资金管理办法，严格落实资金审批程序，加快资金拨付，全面保障项目建设资金用款需要。</w:t>
      </w:r>
    </w:p>
    <w:p>
      <w:pPr>
        <w:pStyle w:val="3"/>
        <w:numPr>
          <w:ilvl w:val="0"/>
          <w:numId w:val="1"/>
        </w:numPr>
        <w:spacing w:line="500" w:lineRule="exact"/>
      </w:pPr>
      <w:r>
        <w:rPr>
          <w:rFonts w:hint="eastAsia"/>
        </w:rPr>
        <w:t>总体目标完成情况分析</w:t>
      </w:r>
    </w:p>
    <w:p>
      <w:pPr>
        <w:spacing w:line="500" w:lineRule="exact"/>
        <w:rPr>
          <w:lang w:bidi="ar"/>
        </w:rPr>
      </w:pPr>
      <w:r>
        <w:rPr>
          <w:rFonts w:hint="eastAsia"/>
          <w:lang w:bidi="ar"/>
        </w:rPr>
        <w:t>项目年度目标为：提交300米工作面，并完成施工工作面300米。</w:t>
      </w:r>
    </w:p>
    <w:p>
      <w:pPr>
        <w:spacing w:line="440" w:lineRule="exact"/>
      </w:pPr>
      <w:r>
        <w:rPr>
          <w:rFonts w:hint="eastAsia"/>
          <w:lang w:bidi="ar"/>
        </w:rPr>
        <w:t>项目年度完成情况：</w:t>
      </w:r>
      <w:r>
        <w:rPr>
          <w:rFonts w:hint="eastAsia" w:ascii="仿宋" w:hAnsi="仿宋" w:eastAsia="仿宋" w:cs="仿宋"/>
          <w:szCs w:val="32"/>
        </w:rPr>
        <w:t>项目已实际完成提交300米工作面，并完成施工工作面300米</w:t>
      </w:r>
      <w:r>
        <w:rPr>
          <w:rFonts w:hint="eastAsia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（三）绩效指标完成情况分析</w:t>
      </w:r>
    </w:p>
    <w:p>
      <w:pPr>
        <w:spacing w:line="500" w:lineRule="exact"/>
      </w:pPr>
      <w:r>
        <w:rPr>
          <w:rFonts w:hint="eastAsia"/>
        </w:rPr>
        <w:t>1.产出指标：</w:t>
      </w:r>
    </w:p>
    <w:p>
      <w:pPr>
        <w:spacing w:line="500" w:lineRule="exact"/>
      </w:pPr>
      <w:r>
        <w:rPr>
          <w:rFonts w:hint="eastAsia"/>
        </w:rPr>
        <w:t>目标：获得工作面长度≥</w:t>
      </w:r>
      <w:r>
        <w:rPr>
          <w:rFonts w:hint="eastAsia"/>
          <w:lang w:val="en-US" w:eastAsia="zh-CN"/>
        </w:rPr>
        <w:t>300米</w:t>
      </w:r>
      <w:r>
        <w:rPr>
          <w:rFonts w:hint="eastAsia"/>
        </w:rPr>
        <w:t>。</w:t>
      </w:r>
    </w:p>
    <w:p>
      <w:pPr>
        <w:spacing w:line="500" w:lineRule="exact"/>
      </w:pPr>
      <w:r>
        <w:rPr>
          <w:rFonts w:hint="eastAsia"/>
        </w:rPr>
        <w:t>完成情况：完成施工工作面</w:t>
      </w:r>
      <w:r>
        <w:rPr>
          <w:rFonts w:hint="eastAsia"/>
          <w:lang w:val="en-US" w:eastAsia="zh-CN"/>
        </w:rPr>
        <w:t>300米</w:t>
      </w:r>
      <w:r>
        <w:rPr>
          <w:rFonts w:hint="eastAsia"/>
        </w:rPr>
        <w:t>。完成目标绩效</w:t>
      </w:r>
      <w:r>
        <w:rPr>
          <w:rFonts w:hint="eastAsia" w:hAnsi="仿宋_GB2312" w:cs="仿宋_GB2312"/>
          <w:szCs w:val="32"/>
        </w:rPr>
        <w:t>。</w:t>
      </w:r>
    </w:p>
    <w:p>
      <w:pPr>
        <w:spacing w:line="500" w:lineRule="exact"/>
      </w:pPr>
      <w:r>
        <w:rPr>
          <w:rFonts w:hint="eastAsia"/>
        </w:rPr>
        <w:t>2.效益指标：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目标：项目受益人数≥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000人。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完成情况：项目周边群众收益，受益人数已超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000人，完成目标绩效。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目标：安全事故发生数</w:t>
      </w:r>
      <w:r>
        <w:rPr>
          <w:rFonts w:hint="eastAsia"/>
          <w:lang w:val="en-US" w:eastAsia="zh-CN"/>
        </w:rPr>
        <w:t>=0起</w:t>
      </w:r>
      <w:r>
        <w:rPr>
          <w:rFonts w:hint="eastAsia"/>
        </w:rPr>
        <w:t>。</w:t>
      </w:r>
    </w:p>
    <w:p>
      <w:pPr>
        <w:pStyle w:val="2"/>
      </w:pPr>
      <w:r>
        <w:rPr>
          <w:rFonts w:hint="eastAsia"/>
        </w:rPr>
        <w:t>完成情况：项目安全事故</w:t>
      </w:r>
      <w:bookmarkStart w:id="0" w:name="_GoBack"/>
      <w:bookmarkEnd w:id="0"/>
      <w:r>
        <w:rPr>
          <w:rFonts w:hint="eastAsia"/>
        </w:rPr>
        <w:t>发生数</w:t>
      </w:r>
      <w:r>
        <w:rPr>
          <w:rFonts w:hint="eastAsia"/>
          <w:lang w:val="en-US" w:eastAsia="zh-CN"/>
        </w:rPr>
        <w:t>0起</w:t>
      </w:r>
      <w:r>
        <w:rPr>
          <w:rFonts w:hint="eastAsia"/>
        </w:rPr>
        <w:t>，完成目标绩效。</w:t>
      </w:r>
    </w:p>
    <w:p>
      <w:pPr>
        <w:spacing w:line="500" w:lineRule="exact"/>
      </w:pPr>
      <w:r>
        <w:rPr>
          <w:rFonts w:hint="eastAsia"/>
        </w:rPr>
        <w:t>3.</w:t>
      </w:r>
      <w:r>
        <w:rPr>
          <w:rFonts w:hint="eastAsia"/>
          <w:lang w:val="en-US" w:eastAsia="zh-CN"/>
        </w:rPr>
        <w:t>成本</w:t>
      </w:r>
      <w:r>
        <w:rPr>
          <w:rFonts w:hint="eastAsia"/>
        </w:rPr>
        <w:t>指标：</w:t>
      </w:r>
    </w:p>
    <w:p>
      <w:pPr>
        <w:spacing w:line="500" w:lineRule="exact"/>
      </w:pPr>
      <w:r>
        <w:rPr>
          <w:rFonts w:hint="eastAsia"/>
        </w:rPr>
        <w:t>目标：超概算项目比例≤5%。</w:t>
      </w:r>
    </w:p>
    <w:p>
      <w:pPr>
        <w:spacing w:line="500" w:lineRule="exact"/>
      </w:pPr>
      <w:r>
        <w:rPr>
          <w:rFonts w:hint="eastAsia"/>
        </w:rPr>
        <w:t>完成情况：未超出概算批复。完成目标绩效。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（四）整体绩效自评</w:t>
      </w:r>
    </w:p>
    <w:p>
      <w:pPr>
        <w:spacing w:line="500" w:lineRule="exact"/>
      </w:pPr>
      <w:r>
        <w:rPr>
          <w:rFonts w:hint="eastAsia"/>
          <w:lang w:bidi="ar"/>
        </w:rPr>
        <w:t>该年度江东新区塔市支渠（中游）水系修复工程项目整体效益目标已按时完成，绩效自评分数100分，自评等级优。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三、发现的主要问题和改进措施</w:t>
      </w:r>
    </w:p>
    <w:p>
      <w:pPr>
        <w:spacing w:line="500" w:lineRule="exact"/>
      </w:pPr>
      <w:r>
        <w:rPr>
          <w:rFonts w:hint="eastAsia"/>
        </w:rPr>
        <w:t>无</w:t>
      </w:r>
    </w:p>
    <w:p>
      <w:pPr>
        <w:pStyle w:val="3"/>
        <w:spacing w:line="500" w:lineRule="exact"/>
      </w:pPr>
      <w:r>
        <w:rPr>
          <w:rFonts w:hint="eastAsia"/>
        </w:rPr>
        <w:t>四、绩效自评结果拟应用和公开情况</w:t>
      </w:r>
    </w:p>
    <w:p>
      <w:pPr>
        <w:spacing w:line="500" w:lineRule="exact"/>
      </w:pPr>
      <w:r>
        <w:rPr>
          <w:rFonts w:hint="eastAsia"/>
        </w:rPr>
        <w:t>拟将绩效自评结果用于后续对于建设、施工等单位的履职尽责以及专业胜任能力的考核，可作为后续相关合作的考虑因素。</w:t>
      </w:r>
    </w:p>
    <w:p>
      <w:pPr>
        <w:pStyle w:val="3"/>
        <w:spacing w:line="500" w:lineRule="exact"/>
      </w:pPr>
      <w:r>
        <w:rPr>
          <w:rFonts w:hint="eastAsia"/>
        </w:rPr>
        <w:t>五、绩效自评工作开展情况</w:t>
      </w:r>
    </w:p>
    <w:p>
      <w:pPr>
        <w:spacing w:line="500" w:lineRule="exact"/>
      </w:pPr>
      <w:r>
        <w:rPr>
          <w:rFonts w:hint="eastAsia" w:ascii="Arial" w:hAnsi="Arial" w:cs="Arial"/>
          <w:color w:val="191919"/>
          <w:shd w:val="clear" w:color="auto" w:fill="FFFFFF"/>
        </w:rPr>
        <w:t>根据</w:t>
      </w:r>
      <w:r>
        <w:rPr>
          <w:rFonts w:ascii="Arial" w:hAnsi="Arial" w:cs="Arial"/>
          <w:color w:val="191919"/>
          <w:shd w:val="clear" w:color="auto" w:fill="FFFFFF"/>
        </w:rPr>
        <w:t>《中共中央国务院关于全面实施预算绩效管理的意见》，</w:t>
      </w:r>
      <w:r>
        <w:rPr>
          <w:rFonts w:hint="eastAsia" w:ascii="Arial" w:hAnsi="Arial" w:cs="Arial"/>
          <w:color w:val="191919"/>
          <w:shd w:val="clear" w:color="auto" w:fill="FFFFFF"/>
        </w:rPr>
        <w:t>我单位</w:t>
      </w:r>
      <w:r>
        <w:rPr>
          <w:rFonts w:ascii="Arial" w:hAnsi="Arial" w:cs="Arial"/>
          <w:color w:val="191919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六、其他需要说明的问题</w:t>
      </w:r>
    </w:p>
    <w:p>
      <w:pPr>
        <w:spacing w:line="500" w:lineRule="exact"/>
      </w:pPr>
      <w:r>
        <w:rPr>
          <w:rFonts w:hint="eastAsia"/>
        </w:rPr>
        <w:t>暂无。</w:t>
      </w:r>
    </w:p>
    <w:p>
      <w:pPr>
        <w:pStyle w:val="2"/>
        <w:ind w:firstLine="640"/>
      </w:pPr>
    </w:p>
    <w:p>
      <w:pPr>
        <w:pStyle w:val="2"/>
        <w:ind w:firstLine="64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50"/>
  <w:drawingGridVerticalSpacing w:val="58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00F57F82"/>
    <w:rsid w:val="000101E1"/>
    <w:rsid w:val="00017298"/>
    <w:rsid w:val="00020084"/>
    <w:rsid w:val="000329D9"/>
    <w:rsid w:val="00041321"/>
    <w:rsid w:val="000732DA"/>
    <w:rsid w:val="00075CDC"/>
    <w:rsid w:val="000B1E8F"/>
    <w:rsid w:val="00103D16"/>
    <w:rsid w:val="001214D7"/>
    <w:rsid w:val="00136702"/>
    <w:rsid w:val="00146CDD"/>
    <w:rsid w:val="00164D84"/>
    <w:rsid w:val="001D628A"/>
    <w:rsid w:val="00211581"/>
    <w:rsid w:val="00214476"/>
    <w:rsid w:val="0022673C"/>
    <w:rsid w:val="00250053"/>
    <w:rsid w:val="00276CCC"/>
    <w:rsid w:val="00287C3C"/>
    <w:rsid w:val="002D0A98"/>
    <w:rsid w:val="002D5CFA"/>
    <w:rsid w:val="002E4610"/>
    <w:rsid w:val="003370F3"/>
    <w:rsid w:val="00371982"/>
    <w:rsid w:val="0039432D"/>
    <w:rsid w:val="003C6374"/>
    <w:rsid w:val="00415F7C"/>
    <w:rsid w:val="004531B5"/>
    <w:rsid w:val="004C5CEC"/>
    <w:rsid w:val="004D5A71"/>
    <w:rsid w:val="00503C12"/>
    <w:rsid w:val="00560E3E"/>
    <w:rsid w:val="00572153"/>
    <w:rsid w:val="005D0D51"/>
    <w:rsid w:val="006C34B3"/>
    <w:rsid w:val="00747904"/>
    <w:rsid w:val="0078294F"/>
    <w:rsid w:val="00785AF7"/>
    <w:rsid w:val="007873EA"/>
    <w:rsid w:val="007A1DC2"/>
    <w:rsid w:val="007C1C0B"/>
    <w:rsid w:val="007E546A"/>
    <w:rsid w:val="008A20F2"/>
    <w:rsid w:val="00900A0F"/>
    <w:rsid w:val="00A1169D"/>
    <w:rsid w:val="00A92E5C"/>
    <w:rsid w:val="00AA2B82"/>
    <w:rsid w:val="00AF5F0C"/>
    <w:rsid w:val="00B13839"/>
    <w:rsid w:val="00B23861"/>
    <w:rsid w:val="00B4196B"/>
    <w:rsid w:val="00C55880"/>
    <w:rsid w:val="00CC152C"/>
    <w:rsid w:val="00CE3824"/>
    <w:rsid w:val="00CE55E9"/>
    <w:rsid w:val="00D200DC"/>
    <w:rsid w:val="00D61B1A"/>
    <w:rsid w:val="00D63908"/>
    <w:rsid w:val="00D72958"/>
    <w:rsid w:val="00D82388"/>
    <w:rsid w:val="00DB429F"/>
    <w:rsid w:val="00DD09A2"/>
    <w:rsid w:val="00DD16E3"/>
    <w:rsid w:val="00DF57C5"/>
    <w:rsid w:val="00ED6D53"/>
    <w:rsid w:val="00F22AE2"/>
    <w:rsid w:val="00F437B4"/>
    <w:rsid w:val="00F57F82"/>
    <w:rsid w:val="00F64E54"/>
    <w:rsid w:val="00F75963"/>
    <w:rsid w:val="00FA357A"/>
    <w:rsid w:val="029E5817"/>
    <w:rsid w:val="02C86339"/>
    <w:rsid w:val="037D0BC8"/>
    <w:rsid w:val="04076DA7"/>
    <w:rsid w:val="055025D2"/>
    <w:rsid w:val="07FA0264"/>
    <w:rsid w:val="0845082D"/>
    <w:rsid w:val="0848123F"/>
    <w:rsid w:val="08A1260D"/>
    <w:rsid w:val="096A663E"/>
    <w:rsid w:val="09E965F2"/>
    <w:rsid w:val="0A4A3A37"/>
    <w:rsid w:val="0A87714B"/>
    <w:rsid w:val="0EC63FED"/>
    <w:rsid w:val="0ED148ED"/>
    <w:rsid w:val="0EFB5A0A"/>
    <w:rsid w:val="0FD06B9F"/>
    <w:rsid w:val="0FFFAAC1"/>
    <w:rsid w:val="109675FA"/>
    <w:rsid w:val="11D7196B"/>
    <w:rsid w:val="12CA3F9C"/>
    <w:rsid w:val="139840D3"/>
    <w:rsid w:val="143E091F"/>
    <w:rsid w:val="14865FC8"/>
    <w:rsid w:val="150C2DB0"/>
    <w:rsid w:val="17C05E32"/>
    <w:rsid w:val="18F83E24"/>
    <w:rsid w:val="1CE94882"/>
    <w:rsid w:val="1E761F05"/>
    <w:rsid w:val="1FC7205C"/>
    <w:rsid w:val="20BD1B38"/>
    <w:rsid w:val="21B57B1D"/>
    <w:rsid w:val="21DE5A03"/>
    <w:rsid w:val="21F00DBA"/>
    <w:rsid w:val="228B3D05"/>
    <w:rsid w:val="23F52286"/>
    <w:rsid w:val="24736B34"/>
    <w:rsid w:val="25FE8923"/>
    <w:rsid w:val="27F34A6B"/>
    <w:rsid w:val="28043432"/>
    <w:rsid w:val="286D5E37"/>
    <w:rsid w:val="28E373DF"/>
    <w:rsid w:val="2A94137D"/>
    <w:rsid w:val="2CBB425E"/>
    <w:rsid w:val="2D8B4B0D"/>
    <w:rsid w:val="2F6F4467"/>
    <w:rsid w:val="2FAD4FCA"/>
    <w:rsid w:val="33E86A4E"/>
    <w:rsid w:val="355571ED"/>
    <w:rsid w:val="368D368C"/>
    <w:rsid w:val="36B95C8B"/>
    <w:rsid w:val="38EF7AD8"/>
    <w:rsid w:val="393912F0"/>
    <w:rsid w:val="3A0C0C54"/>
    <w:rsid w:val="3A431E7C"/>
    <w:rsid w:val="3C0644B8"/>
    <w:rsid w:val="3C5E2926"/>
    <w:rsid w:val="3C7019B2"/>
    <w:rsid w:val="3CF211F7"/>
    <w:rsid w:val="3D7E7C9E"/>
    <w:rsid w:val="3DBBD6B4"/>
    <w:rsid w:val="3E1672E6"/>
    <w:rsid w:val="3E6918DD"/>
    <w:rsid w:val="3F5579C2"/>
    <w:rsid w:val="40950555"/>
    <w:rsid w:val="415F08D8"/>
    <w:rsid w:val="41AE398F"/>
    <w:rsid w:val="41F94B43"/>
    <w:rsid w:val="42CB26D0"/>
    <w:rsid w:val="42F07593"/>
    <w:rsid w:val="433B52D2"/>
    <w:rsid w:val="43690154"/>
    <w:rsid w:val="43ED7E14"/>
    <w:rsid w:val="441867FA"/>
    <w:rsid w:val="4434078E"/>
    <w:rsid w:val="44C635B7"/>
    <w:rsid w:val="44E2230F"/>
    <w:rsid w:val="46E11476"/>
    <w:rsid w:val="46F9107C"/>
    <w:rsid w:val="4881717A"/>
    <w:rsid w:val="48B51347"/>
    <w:rsid w:val="4A1B2E89"/>
    <w:rsid w:val="4A55216A"/>
    <w:rsid w:val="4B0E65C7"/>
    <w:rsid w:val="4BFD2870"/>
    <w:rsid w:val="4C4F4283"/>
    <w:rsid w:val="4D2907E5"/>
    <w:rsid w:val="4D4C56FF"/>
    <w:rsid w:val="4DC43E92"/>
    <w:rsid w:val="4FE0696A"/>
    <w:rsid w:val="50B9275C"/>
    <w:rsid w:val="50D34630"/>
    <w:rsid w:val="50F76058"/>
    <w:rsid w:val="50F91B2C"/>
    <w:rsid w:val="50FE6375"/>
    <w:rsid w:val="51FD19E1"/>
    <w:rsid w:val="528F2AA6"/>
    <w:rsid w:val="53773584"/>
    <w:rsid w:val="53EC2CC8"/>
    <w:rsid w:val="55673508"/>
    <w:rsid w:val="56FE7A11"/>
    <w:rsid w:val="57FCC004"/>
    <w:rsid w:val="59595A6F"/>
    <w:rsid w:val="599330CA"/>
    <w:rsid w:val="59A60DC8"/>
    <w:rsid w:val="5B0D23FC"/>
    <w:rsid w:val="5B6C0F28"/>
    <w:rsid w:val="5DB076C2"/>
    <w:rsid w:val="5F685A79"/>
    <w:rsid w:val="5F76F0C1"/>
    <w:rsid w:val="5FF371E7"/>
    <w:rsid w:val="600865E8"/>
    <w:rsid w:val="603B6C1D"/>
    <w:rsid w:val="60D5009F"/>
    <w:rsid w:val="619D08BC"/>
    <w:rsid w:val="6261716A"/>
    <w:rsid w:val="6324384D"/>
    <w:rsid w:val="65041F0D"/>
    <w:rsid w:val="660721C9"/>
    <w:rsid w:val="661E6C75"/>
    <w:rsid w:val="67F75FF5"/>
    <w:rsid w:val="681715F8"/>
    <w:rsid w:val="681D4831"/>
    <w:rsid w:val="68434224"/>
    <w:rsid w:val="692A6C18"/>
    <w:rsid w:val="692E4B19"/>
    <w:rsid w:val="69513EF7"/>
    <w:rsid w:val="697D78BA"/>
    <w:rsid w:val="6AAF7917"/>
    <w:rsid w:val="6B0B09CB"/>
    <w:rsid w:val="6BF3256F"/>
    <w:rsid w:val="6CE7018A"/>
    <w:rsid w:val="6D08690D"/>
    <w:rsid w:val="6DA15568"/>
    <w:rsid w:val="6E3E3F2D"/>
    <w:rsid w:val="70D86EB2"/>
    <w:rsid w:val="715B2F02"/>
    <w:rsid w:val="719F2CCF"/>
    <w:rsid w:val="72B1108D"/>
    <w:rsid w:val="72F13750"/>
    <w:rsid w:val="730F557A"/>
    <w:rsid w:val="748C1146"/>
    <w:rsid w:val="75A62CFF"/>
    <w:rsid w:val="764B2BF0"/>
    <w:rsid w:val="76625255"/>
    <w:rsid w:val="76A548F2"/>
    <w:rsid w:val="7765772E"/>
    <w:rsid w:val="77867685"/>
    <w:rsid w:val="77F04540"/>
    <w:rsid w:val="781F36B6"/>
    <w:rsid w:val="78ED5A1E"/>
    <w:rsid w:val="790627AD"/>
    <w:rsid w:val="7ABA7609"/>
    <w:rsid w:val="7ADC59FA"/>
    <w:rsid w:val="7BB53A0B"/>
    <w:rsid w:val="7BB71159"/>
    <w:rsid w:val="7C1A2432"/>
    <w:rsid w:val="7CD836C4"/>
    <w:rsid w:val="7D6742C1"/>
    <w:rsid w:val="7DBDD65E"/>
    <w:rsid w:val="7DDD794F"/>
    <w:rsid w:val="7E5A664C"/>
    <w:rsid w:val="7EF834F2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3">
    <w:name w:val="heading 1"/>
    <w:basedOn w:val="1"/>
    <w:next w:val="1"/>
    <w:link w:val="16"/>
    <w:autoRedefine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4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  <w:style w:type="paragraph" w:styleId="5">
    <w:name w:val="Balloon Text"/>
    <w:basedOn w:val="1"/>
    <w:link w:val="13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5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1">
    <w:name w:val="页脚 字符"/>
    <w:basedOn w:val="10"/>
    <w:link w:val="6"/>
    <w:autoRedefine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眉 字符"/>
    <w:basedOn w:val="10"/>
    <w:link w:val="7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批注框文本 字符"/>
    <w:basedOn w:val="10"/>
    <w:link w:val="5"/>
    <w:autoRedefine/>
    <w:qFormat/>
    <w:uiPriority w:val="0"/>
    <w:rPr>
      <w:rFonts w:eastAsia="仿宋_GB2312"/>
      <w:kern w:val="2"/>
      <w:sz w:val="18"/>
      <w:szCs w:val="18"/>
    </w:rPr>
  </w:style>
  <w:style w:type="paragraph" w:styleId="14">
    <w:name w:val="List Paragraph"/>
    <w:basedOn w:val="1"/>
    <w:autoRedefine/>
    <w:qFormat/>
    <w:uiPriority w:val="99"/>
    <w:pPr>
      <w:ind w:firstLine="420"/>
    </w:pPr>
  </w:style>
  <w:style w:type="character" w:customStyle="1" w:styleId="15">
    <w:name w:val="标题 字符"/>
    <w:basedOn w:val="10"/>
    <w:link w:val="8"/>
    <w:autoRedefine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6">
    <w:name w:val="标题 1 字符"/>
    <w:basedOn w:val="10"/>
    <w:link w:val="3"/>
    <w:autoRedefine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1211</Words>
  <Characters>1363</Characters>
  <Lines>10</Lines>
  <Paragraphs>2</Paragraphs>
  <TotalTime>0</TotalTime>
  <ScaleCrop>false</ScaleCrop>
  <LinksUpToDate>false</LinksUpToDate>
  <CharactersWithSpaces>1363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清风拂柳</cp:lastModifiedBy>
  <cp:lastPrinted>2020-02-29T13:55:00Z</cp:lastPrinted>
  <dcterms:modified xsi:type="dcterms:W3CDTF">2024-04-08T12:14:00Z</dcterms:modified>
  <dc:title>财政支出绩效评价报告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198557A26C83406CA6ECA1D5A128AFF0</vt:lpwstr>
  </property>
</Properties>
</file>