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ind w:firstLine="0" w:firstLineChars="0"/>
        <w:rPr>
          <w:rFonts w:ascii="方正小标宋简体" w:eastAsia="方正小标宋简体"/>
          <w:sz w:val="40"/>
          <w:szCs w:val="40"/>
        </w:rPr>
      </w:pPr>
      <w:r>
        <w:rPr>
          <w:rFonts w:hint="eastAsia" w:ascii="方正小标宋简体" w:eastAsia="方正小标宋简体"/>
          <w:sz w:val="40"/>
          <w:szCs w:val="40"/>
        </w:rPr>
        <w:t>海口市海上综合执法码头及配套路网项目</w:t>
      </w:r>
    </w:p>
    <w:p>
      <w:pPr>
        <w:pStyle w:val="8"/>
        <w:ind w:firstLine="0" w:firstLineChars="0"/>
        <w:rPr>
          <w:rFonts w:ascii="方正小标宋简体" w:eastAsia="方正小标宋简体"/>
          <w:sz w:val="40"/>
          <w:szCs w:val="40"/>
        </w:rPr>
      </w:pPr>
      <w:r>
        <w:rPr>
          <w:rFonts w:hint="eastAsia" w:ascii="方正小标宋简体" w:eastAsia="方正小标宋简体"/>
          <w:sz w:val="40"/>
          <w:szCs w:val="40"/>
          <w:lang w:eastAsia="zh-CN"/>
        </w:rPr>
        <w:t>2023年</w:t>
      </w:r>
      <w:r>
        <w:rPr>
          <w:rFonts w:hint="eastAsia" w:ascii="方正小标宋简体" w:eastAsia="方正小标宋简体"/>
          <w:sz w:val="40"/>
          <w:szCs w:val="40"/>
        </w:rPr>
        <w:t>度绩效自评报告</w:t>
      </w:r>
    </w:p>
    <w:p>
      <w:pPr>
        <w:pStyle w:val="2"/>
        <w:ind w:firstLine="0" w:firstLineChars="0"/>
      </w:pPr>
    </w:p>
    <w:p>
      <w:pPr>
        <w:pStyle w:val="2"/>
        <w:ind w:firstLine="0" w:firstLineChars="0"/>
      </w:pPr>
    </w:p>
    <w:p>
      <w:pPr>
        <w:pStyle w:val="3"/>
        <w:spacing w:line="500" w:lineRule="exact"/>
      </w:pPr>
      <w:r>
        <w:rPr>
          <w:rFonts w:hint="eastAsia"/>
        </w:rPr>
        <w:t>一、基本情况</w:t>
      </w:r>
    </w:p>
    <w:p>
      <w:pPr>
        <w:pStyle w:val="3"/>
        <w:spacing w:line="500" w:lineRule="exact"/>
        <w:rPr>
          <w:color w:val="FF0000"/>
        </w:rPr>
      </w:pPr>
      <w:r>
        <w:rPr>
          <w:rFonts w:hint="eastAsia"/>
        </w:rPr>
        <w:t>（一）项目概况</w:t>
      </w:r>
    </w:p>
    <w:p>
      <w:pPr>
        <w:autoSpaceDE w:val="0"/>
        <w:adjustRightInd w:val="0"/>
        <w:snapToGrid w:val="0"/>
        <w:spacing w:line="576" w:lineRule="exact"/>
        <w:rPr>
          <w:rFonts w:ascii="仿宋" w:hAnsi="仿宋" w:cs="仿宋"/>
          <w:szCs w:val="32"/>
        </w:rPr>
      </w:pPr>
      <w:r>
        <w:rPr>
          <w:rFonts w:hint="eastAsia"/>
        </w:rPr>
        <w:t>海口市海上综合执法码头及配套路网项目业主为</w:t>
      </w:r>
      <w:r>
        <w:rPr>
          <w:rFonts w:hint="eastAsia" w:ascii="仿宋_GB2312" w:hAnsi="Times New Roman" w:eastAsia="仿宋_GB2312" w:cs="仿宋_GB2312"/>
          <w:sz w:val="32"/>
          <w:szCs w:val="32"/>
          <w:highlight w:val="none"/>
          <w:lang w:val="en-US" w:eastAsia="zh-CN" w:bidi="ar"/>
        </w:rPr>
        <w:t>海口市恒慧基础建设有限公司（变更前名称：海口江东新区基础建设有限公司）</w:t>
      </w:r>
      <w:bookmarkStart w:id="0" w:name="_GoBack"/>
      <w:bookmarkEnd w:id="0"/>
      <w:r>
        <w:rPr>
          <w:rFonts w:hint="eastAsia"/>
        </w:rPr>
        <w:t>，</w:t>
      </w:r>
      <w:r>
        <w:rPr>
          <w:rFonts w:hint="eastAsia" w:hAnsi="Calibri" w:cs="仿宋_GB2312"/>
          <w:color w:val="333333"/>
          <w:spacing w:val="8"/>
          <w:kern w:val="0"/>
          <w:szCs w:val="32"/>
          <w:shd w:val="clear" w:color="auto" w:fill="FFFFFF"/>
          <w:lang w:bidi="ar"/>
        </w:rPr>
        <w:t>项目新建码头岸线总长度为896m（其中执法码头区岸线824m，保障区岸线50m，保障船提升区岸线22m），共形成31个泊位。码头前沿作业地带面积约为1.62万m2，码头后方陆域总面积约8.04万m2，布置综合执法基地（总用地面积6830.00m2、总建筑面积9455.10m2）、消防救援支队基地（总用地面积12002.00m2、总建筑面积10553.47m2）、海警基地（总用地面积16522.28m2、总建筑面积5029.75m2）及船舶保障区、进港/港内道路、港区绿化以及其他水电配套设施，总建筑面积约26907.2m2，道路总长约2071.3m，围墙总长约1324m。主要建设内容包括新建码头工程、疏浚工程、建筑工程、安装工程、道路工程以及室外水电、停车场、港区绿化、导助航等附属设施工程。</w:t>
      </w:r>
      <w:r>
        <w:rPr>
          <w:rFonts w:hint="eastAsia"/>
        </w:rPr>
        <w:t>项目概算总投资</w:t>
      </w:r>
      <w:r>
        <w:rPr>
          <w:rFonts w:hint="eastAsia" w:hAnsi="Calibri" w:cs="仿宋_GB2312"/>
          <w:color w:val="333333"/>
          <w:spacing w:val="8"/>
          <w:kern w:val="0"/>
          <w:szCs w:val="32"/>
          <w:shd w:val="clear" w:color="auto" w:fill="FFFFFF"/>
          <w:lang w:bidi="ar"/>
        </w:rPr>
        <w:t>65630.54</w:t>
      </w:r>
      <w:r>
        <w:rPr>
          <w:rFonts w:hint="eastAsia"/>
        </w:rPr>
        <w:t>万元。</w:t>
      </w:r>
    </w:p>
    <w:p>
      <w:pPr>
        <w:pStyle w:val="3"/>
        <w:spacing w:line="500" w:lineRule="exact"/>
      </w:pPr>
      <w:r>
        <w:rPr>
          <w:rFonts w:hint="eastAsia"/>
        </w:rPr>
        <w:t>（二）项目资金情况</w:t>
      </w:r>
    </w:p>
    <w:p>
      <w:pPr>
        <w:spacing w:line="500" w:lineRule="exact"/>
      </w:pPr>
      <w:r>
        <w:rPr>
          <w:rFonts w:hint="eastAsia"/>
        </w:rPr>
        <w:t>该项目</w:t>
      </w:r>
      <w:r>
        <w:rPr>
          <w:rFonts w:hint="eastAsia"/>
          <w:lang w:eastAsia="zh-CN"/>
        </w:rPr>
        <w:t>2023年</w:t>
      </w:r>
      <w:r>
        <w:rPr>
          <w:rFonts w:hint="eastAsia"/>
        </w:rPr>
        <w:t>共到位资金4276</w:t>
      </w:r>
      <w:r>
        <w:rPr>
          <w:rFonts w:hint="eastAsia"/>
          <w:lang w:val="en-US" w:eastAsia="zh-CN"/>
        </w:rPr>
        <w:t>.</w:t>
      </w:r>
      <w:r>
        <w:rPr>
          <w:rFonts w:hint="eastAsia"/>
        </w:rPr>
        <w:t>4</w:t>
      </w:r>
      <w:r>
        <w:rPr>
          <w:rFonts w:hint="eastAsia"/>
          <w:lang w:val="en-US" w:eastAsia="zh-CN"/>
        </w:rPr>
        <w:t>4</w:t>
      </w:r>
      <w:r>
        <w:rPr>
          <w:rFonts w:hint="eastAsia"/>
        </w:rPr>
        <w:t>万元，其中</w:t>
      </w:r>
      <w:r>
        <w:rPr>
          <w:rFonts w:hint="eastAsia"/>
          <w:lang w:eastAsia="zh-CN"/>
        </w:rPr>
        <w:t>2023年</w:t>
      </w:r>
      <w:r>
        <w:rPr>
          <w:rFonts w:hint="eastAsia"/>
        </w:rPr>
        <w:t>地债资金3500万元</w:t>
      </w:r>
      <w:r>
        <w:rPr>
          <w:rFonts w:hint="eastAsia"/>
          <w:lang w:eastAsia="zh-CN"/>
        </w:rPr>
        <w:t>，</w:t>
      </w:r>
      <w:r>
        <w:rPr>
          <w:rFonts w:hint="eastAsia"/>
          <w:lang w:val="en-US" w:eastAsia="zh-CN"/>
        </w:rPr>
        <w:t>财政部门预算资金776.44万元</w:t>
      </w:r>
      <w:r>
        <w:rPr>
          <w:rFonts w:hint="eastAsia"/>
        </w:rPr>
        <w:t>。</w:t>
      </w:r>
    </w:p>
    <w:p>
      <w:pPr>
        <w:pStyle w:val="3"/>
        <w:spacing w:line="500" w:lineRule="exact"/>
      </w:pPr>
      <w:r>
        <w:rPr>
          <w:rFonts w:hint="eastAsia"/>
        </w:rPr>
        <w:t>二、绩效目标完成情况分析</w:t>
      </w:r>
    </w:p>
    <w:p>
      <w:pPr>
        <w:pStyle w:val="3"/>
        <w:spacing w:line="500" w:lineRule="exact"/>
      </w:pPr>
      <w:r>
        <w:rPr>
          <w:rFonts w:hint="eastAsia"/>
        </w:rPr>
        <w:t>（一）资金情况分析</w:t>
      </w:r>
    </w:p>
    <w:p>
      <w:pPr>
        <w:spacing w:line="500" w:lineRule="exact"/>
      </w:pPr>
      <w:r>
        <w:rPr>
          <w:rFonts w:hint="eastAsia"/>
        </w:rPr>
        <w:t>该项目</w:t>
      </w:r>
      <w:r>
        <w:rPr>
          <w:rFonts w:hint="eastAsia"/>
          <w:lang w:eastAsia="zh-CN"/>
        </w:rPr>
        <w:t>2023年</w:t>
      </w:r>
      <w:r>
        <w:rPr>
          <w:rFonts w:hint="eastAsia"/>
        </w:rPr>
        <w:t>共到位资金4276</w:t>
      </w:r>
      <w:r>
        <w:rPr>
          <w:rFonts w:hint="eastAsia"/>
          <w:lang w:val="en-US" w:eastAsia="zh-CN"/>
        </w:rPr>
        <w:t>.</w:t>
      </w:r>
      <w:r>
        <w:rPr>
          <w:rFonts w:hint="eastAsia"/>
        </w:rPr>
        <w:t>4</w:t>
      </w:r>
      <w:r>
        <w:rPr>
          <w:rFonts w:hint="eastAsia"/>
          <w:lang w:val="en-US" w:eastAsia="zh-CN"/>
        </w:rPr>
        <w:t>4</w:t>
      </w:r>
      <w:r>
        <w:rPr>
          <w:rFonts w:hint="eastAsia"/>
        </w:rPr>
        <w:t>万元，其中</w:t>
      </w:r>
      <w:r>
        <w:rPr>
          <w:rFonts w:hint="eastAsia"/>
          <w:lang w:eastAsia="zh-CN"/>
        </w:rPr>
        <w:t>2023年</w:t>
      </w:r>
      <w:r>
        <w:rPr>
          <w:rFonts w:hint="eastAsia"/>
        </w:rPr>
        <w:t>地债资金3500万元</w:t>
      </w:r>
      <w:r>
        <w:rPr>
          <w:rFonts w:hint="eastAsia"/>
          <w:lang w:eastAsia="zh-CN"/>
        </w:rPr>
        <w:t>，</w:t>
      </w:r>
      <w:r>
        <w:rPr>
          <w:rFonts w:hint="eastAsia"/>
          <w:lang w:val="en-US" w:eastAsia="zh-CN"/>
        </w:rPr>
        <w:t>财政部门预算资金776.44万元</w:t>
      </w:r>
      <w:r>
        <w:rPr>
          <w:rFonts w:hint="eastAsia"/>
        </w:rPr>
        <w:t>。在项目资金使用上，行业主管、业主单位严格执行政府投资项目和资金管理办法，严格落实资金审批程序，加快资金拨付，全面保障项目建设资金用款需要。</w:t>
      </w:r>
    </w:p>
    <w:p>
      <w:pPr>
        <w:pStyle w:val="3"/>
        <w:numPr>
          <w:ilvl w:val="0"/>
          <w:numId w:val="1"/>
        </w:numPr>
        <w:spacing w:line="500" w:lineRule="exact"/>
      </w:pPr>
      <w:r>
        <w:rPr>
          <w:rFonts w:hint="eastAsia"/>
        </w:rPr>
        <w:t>总体目标完成情况分析</w:t>
      </w:r>
    </w:p>
    <w:p>
      <w:pPr>
        <w:spacing w:line="500" w:lineRule="exact"/>
        <w:rPr>
          <w:lang w:bidi="ar"/>
        </w:rPr>
      </w:pPr>
      <w:r>
        <w:rPr>
          <w:rFonts w:hint="eastAsia"/>
          <w:lang w:bidi="ar"/>
        </w:rPr>
        <w:t>项目年度目标为：项目完成进港道路提交施工工作面1200m。</w:t>
      </w:r>
    </w:p>
    <w:p>
      <w:pPr>
        <w:spacing w:line="500" w:lineRule="exact"/>
        <w:rPr>
          <w:lang w:bidi="ar"/>
        </w:rPr>
      </w:pPr>
      <w:r>
        <w:rPr>
          <w:rFonts w:hint="eastAsia"/>
          <w:lang w:bidi="ar"/>
        </w:rPr>
        <w:t>项目年度完成情况：根据项目推进计划，</w:t>
      </w:r>
      <w:r>
        <w:rPr>
          <w:rFonts w:hint="eastAsia"/>
          <w:lang w:val="en-US" w:eastAsia="zh-CN" w:bidi="ar"/>
        </w:rPr>
        <w:t>实际完成</w:t>
      </w:r>
      <w:r>
        <w:rPr>
          <w:rFonts w:hint="eastAsia"/>
          <w:lang w:bidi="ar"/>
        </w:rPr>
        <w:t>进港道路提交施工工作面1200m。</w:t>
      </w:r>
    </w:p>
    <w:p>
      <w:pPr>
        <w:pStyle w:val="3"/>
        <w:spacing w:line="500" w:lineRule="exact"/>
      </w:pPr>
      <w:r>
        <w:rPr>
          <w:rFonts w:hint="eastAsia"/>
        </w:rPr>
        <w:t>（三）绩效指标完成情况分析</w:t>
      </w:r>
    </w:p>
    <w:p>
      <w:pPr>
        <w:spacing w:line="500" w:lineRule="exact"/>
      </w:pPr>
      <w:r>
        <w:rPr>
          <w:rFonts w:hint="eastAsia"/>
        </w:rPr>
        <w:t>1.产出指标：</w:t>
      </w:r>
    </w:p>
    <w:p>
      <w:pPr>
        <w:spacing w:line="500" w:lineRule="exact"/>
      </w:pPr>
      <w:r>
        <w:rPr>
          <w:rFonts w:hint="eastAsia"/>
        </w:rPr>
        <w:t>目标：</w:t>
      </w:r>
      <w:r>
        <w:rPr>
          <w:rFonts w:hint="eastAsia"/>
          <w:lang w:val="en-US" w:eastAsia="zh-CN"/>
        </w:rPr>
        <w:t>提交工作面</w:t>
      </w:r>
      <w:r>
        <w:rPr>
          <w:rFonts w:hint="eastAsia"/>
        </w:rPr>
        <w:t>≥</w:t>
      </w:r>
      <w:r>
        <w:rPr>
          <w:rFonts w:hint="eastAsia"/>
          <w:lang w:val="en-US" w:eastAsia="zh-CN"/>
        </w:rPr>
        <w:t>12</w:t>
      </w:r>
      <w:r>
        <w:rPr>
          <w:rFonts w:hint="eastAsia"/>
        </w:rPr>
        <w:t>00米。</w:t>
      </w:r>
    </w:p>
    <w:p>
      <w:pPr>
        <w:spacing w:line="500" w:lineRule="exact"/>
        <w:rPr>
          <w:rFonts w:hint="default" w:eastAsia="仿宋_GB2312"/>
          <w:lang w:val="en-US" w:eastAsia="zh-CN" w:bidi="ar"/>
        </w:rPr>
      </w:pPr>
      <w:r>
        <w:rPr>
          <w:rFonts w:hint="eastAsia"/>
        </w:rPr>
        <w:t>完成情况：</w:t>
      </w:r>
      <w:r>
        <w:rPr>
          <w:rFonts w:hint="eastAsia"/>
          <w:lang w:val="en-US" w:eastAsia="zh-CN"/>
        </w:rPr>
        <w:t>实际</w:t>
      </w:r>
      <w:r>
        <w:rPr>
          <w:rFonts w:hint="eastAsia"/>
        </w:rPr>
        <w:t>完成提交</w:t>
      </w:r>
      <w:r>
        <w:rPr>
          <w:rFonts w:hint="eastAsia"/>
          <w:lang w:val="en-US" w:eastAsia="zh-CN"/>
        </w:rPr>
        <w:t>12</w:t>
      </w:r>
      <w:r>
        <w:rPr>
          <w:rFonts w:hint="eastAsia"/>
        </w:rPr>
        <w:t>00米工作面</w:t>
      </w:r>
      <w:r>
        <w:rPr>
          <w:rFonts w:hint="eastAsia"/>
          <w:lang w:bidi="ar"/>
        </w:rPr>
        <w:t>。</w:t>
      </w:r>
      <w:r>
        <w:rPr>
          <w:rFonts w:hint="eastAsia"/>
          <w:lang w:val="en-US" w:eastAsia="zh-CN" w:bidi="ar"/>
        </w:rPr>
        <w:t>完成目标绩效。</w:t>
      </w:r>
    </w:p>
    <w:p>
      <w:pPr>
        <w:spacing w:line="500" w:lineRule="exact"/>
      </w:pPr>
      <w:r>
        <w:rPr>
          <w:rFonts w:hint="eastAsia"/>
        </w:rPr>
        <w:t>2.效益指标：</w:t>
      </w:r>
    </w:p>
    <w:p>
      <w:pPr>
        <w:spacing w:line="500" w:lineRule="exact"/>
      </w:pPr>
      <w:r>
        <w:rPr>
          <w:rFonts w:hint="eastAsia"/>
          <w:lang w:eastAsia="zh-CN"/>
        </w:rPr>
        <w:t>（</w:t>
      </w:r>
      <w:r>
        <w:rPr>
          <w:rFonts w:hint="eastAsia"/>
          <w:lang w:val="en-US" w:eastAsia="zh-CN"/>
        </w:rPr>
        <w:t>1</w:t>
      </w:r>
      <w:r>
        <w:rPr>
          <w:rFonts w:hint="eastAsia"/>
          <w:lang w:eastAsia="zh-CN"/>
        </w:rPr>
        <w:t>）</w:t>
      </w:r>
      <w:r>
        <w:rPr>
          <w:rFonts w:hint="eastAsia"/>
        </w:rPr>
        <w:t>目标：项目受益人数≥</w:t>
      </w:r>
      <w:r>
        <w:rPr>
          <w:rFonts w:hint="eastAsia"/>
          <w:lang w:val="en-US" w:eastAsia="zh-CN"/>
        </w:rPr>
        <w:t>30</w:t>
      </w:r>
      <w:r>
        <w:rPr>
          <w:rFonts w:hint="eastAsia"/>
        </w:rPr>
        <w:t>00人。</w:t>
      </w:r>
    </w:p>
    <w:p>
      <w:pPr>
        <w:spacing w:line="500" w:lineRule="exact"/>
        <w:rPr>
          <w:rFonts w:hint="eastAsia"/>
        </w:rPr>
      </w:pPr>
      <w:r>
        <w:rPr>
          <w:rFonts w:hint="eastAsia"/>
        </w:rPr>
        <w:t>完成情况：项目周边群众收益，受益人数已超</w:t>
      </w:r>
      <w:r>
        <w:rPr>
          <w:rFonts w:hint="eastAsia"/>
          <w:lang w:val="en-US" w:eastAsia="zh-CN"/>
        </w:rPr>
        <w:t>30</w:t>
      </w:r>
      <w:r>
        <w:rPr>
          <w:rFonts w:hint="eastAsia"/>
        </w:rPr>
        <w:t>00人，完成目标绩效。</w:t>
      </w:r>
    </w:p>
    <w:p>
      <w:pPr>
        <w:spacing w:line="500" w:lineRule="exact"/>
      </w:pPr>
      <w:r>
        <w:rPr>
          <w:rFonts w:hint="eastAsia"/>
          <w:lang w:eastAsia="zh-CN"/>
        </w:rPr>
        <w:t>（</w:t>
      </w:r>
      <w:r>
        <w:rPr>
          <w:rFonts w:hint="eastAsia"/>
          <w:lang w:val="en-US" w:eastAsia="zh-CN"/>
        </w:rPr>
        <w:t>2</w:t>
      </w:r>
      <w:r>
        <w:rPr>
          <w:rFonts w:hint="eastAsia"/>
          <w:lang w:eastAsia="zh-CN"/>
        </w:rPr>
        <w:t>）</w:t>
      </w:r>
      <w:r>
        <w:rPr>
          <w:rFonts w:hint="eastAsia"/>
        </w:rPr>
        <w:t>目标：安全事故发生数</w:t>
      </w:r>
      <w:r>
        <w:rPr>
          <w:rFonts w:hint="eastAsia"/>
          <w:lang w:val="en-US" w:eastAsia="zh-CN"/>
        </w:rPr>
        <w:t>=0起</w:t>
      </w:r>
      <w:r>
        <w:rPr>
          <w:rFonts w:hint="eastAsia"/>
        </w:rPr>
        <w:t>。</w:t>
      </w:r>
    </w:p>
    <w:p>
      <w:pPr>
        <w:pStyle w:val="2"/>
      </w:pPr>
      <w:r>
        <w:rPr>
          <w:rFonts w:hint="eastAsia"/>
        </w:rPr>
        <w:t>完成情况：项目安全事故发生数</w:t>
      </w:r>
      <w:r>
        <w:rPr>
          <w:rFonts w:hint="eastAsia"/>
          <w:lang w:val="en-US" w:eastAsia="zh-CN"/>
        </w:rPr>
        <w:t>0起</w:t>
      </w:r>
      <w:r>
        <w:rPr>
          <w:rFonts w:hint="eastAsia"/>
        </w:rPr>
        <w:t>，完成目标绩效。</w:t>
      </w:r>
    </w:p>
    <w:p>
      <w:pPr>
        <w:spacing w:line="500" w:lineRule="exact"/>
      </w:pPr>
      <w:r>
        <w:rPr>
          <w:rFonts w:hint="eastAsia"/>
        </w:rPr>
        <w:t>3.成本指标：</w:t>
      </w:r>
    </w:p>
    <w:p>
      <w:pPr>
        <w:spacing w:line="500" w:lineRule="exact"/>
      </w:pPr>
      <w:r>
        <w:rPr>
          <w:rFonts w:hint="eastAsia"/>
        </w:rPr>
        <w:t>目标：超概算项目比例≤5%。</w:t>
      </w:r>
    </w:p>
    <w:p>
      <w:pPr>
        <w:spacing w:line="500" w:lineRule="exact"/>
      </w:pPr>
      <w:r>
        <w:rPr>
          <w:rFonts w:hint="eastAsia"/>
        </w:rPr>
        <w:t>完成情况：未超出概算批复。完成目标绩效。</w:t>
      </w:r>
    </w:p>
    <w:p>
      <w:pPr>
        <w:pStyle w:val="3"/>
        <w:spacing w:line="500" w:lineRule="exact"/>
        <w:rPr>
          <w:color w:val="FF0000"/>
        </w:rPr>
      </w:pPr>
      <w:r>
        <w:rPr>
          <w:rFonts w:hint="eastAsia"/>
        </w:rPr>
        <w:t>（四）整体绩效自评</w:t>
      </w:r>
    </w:p>
    <w:p>
      <w:pPr>
        <w:spacing w:line="500" w:lineRule="exact"/>
      </w:pPr>
      <w:r>
        <w:rPr>
          <w:rFonts w:hint="eastAsia"/>
          <w:lang w:bidi="ar"/>
        </w:rPr>
        <w:t>该年度海口市海上综合执法码头及配套路网项目整体效益目标已按时完成，绩效自评分数</w:t>
      </w:r>
      <w:r>
        <w:rPr>
          <w:rFonts w:hint="eastAsia"/>
          <w:lang w:val="en-US" w:eastAsia="zh-CN" w:bidi="ar"/>
        </w:rPr>
        <w:t>100</w:t>
      </w:r>
      <w:r>
        <w:rPr>
          <w:rFonts w:hint="eastAsia"/>
          <w:lang w:bidi="ar"/>
        </w:rPr>
        <w:t>分，自评等级</w:t>
      </w:r>
      <w:r>
        <w:rPr>
          <w:rFonts w:hint="eastAsia"/>
          <w:lang w:eastAsia="zh-CN" w:bidi="ar"/>
        </w:rPr>
        <w:t>优</w:t>
      </w:r>
      <w:r>
        <w:rPr>
          <w:rFonts w:hint="eastAsia"/>
          <w:lang w:bidi="ar"/>
        </w:rPr>
        <w:t>。</w:t>
      </w:r>
    </w:p>
    <w:p>
      <w:pPr>
        <w:pStyle w:val="3"/>
        <w:spacing w:line="500" w:lineRule="exact"/>
        <w:rPr>
          <w:color w:val="FF0000"/>
        </w:rPr>
      </w:pPr>
      <w:r>
        <w:rPr>
          <w:rFonts w:hint="eastAsia"/>
        </w:rPr>
        <w:t>三、发现的主要问题和改进措施</w:t>
      </w:r>
    </w:p>
    <w:p>
      <w:pPr>
        <w:spacing w:line="500" w:lineRule="exact"/>
      </w:pPr>
      <w:r>
        <w:rPr>
          <w:rFonts w:hint="eastAsia"/>
        </w:rPr>
        <w:t>无</w:t>
      </w:r>
    </w:p>
    <w:p>
      <w:pPr>
        <w:pStyle w:val="3"/>
        <w:spacing w:line="500" w:lineRule="exact"/>
      </w:pPr>
      <w:r>
        <w:rPr>
          <w:rFonts w:hint="eastAsia"/>
        </w:rPr>
        <w:t>四、绩效自评结果拟应用和公开情况</w:t>
      </w:r>
    </w:p>
    <w:p>
      <w:pPr>
        <w:spacing w:line="500" w:lineRule="exact"/>
      </w:pPr>
      <w:r>
        <w:rPr>
          <w:rFonts w:hint="eastAsia"/>
        </w:rPr>
        <w:t>拟将绩效自评结果用于后续对于建设、施工等单位的履职尽责以及专业胜任能力的考核，可作为后续相关合作的考虑因素。</w:t>
      </w:r>
    </w:p>
    <w:p>
      <w:pPr>
        <w:pStyle w:val="3"/>
        <w:spacing w:line="500" w:lineRule="exact"/>
      </w:pPr>
      <w:r>
        <w:rPr>
          <w:rFonts w:hint="eastAsia"/>
        </w:rPr>
        <w:t>五、绩效自评工作开展情况</w:t>
      </w:r>
    </w:p>
    <w:p>
      <w:pPr>
        <w:spacing w:line="500" w:lineRule="exact"/>
      </w:pPr>
      <w:r>
        <w:rPr>
          <w:rFonts w:hint="eastAsia" w:ascii="Arial" w:hAnsi="Arial" w:cs="Arial"/>
          <w:color w:val="191919"/>
          <w:shd w:val="clear" w:color="auto" w:fill="FFFFFF"/>
        </w:rPr>
        <w:t>根据</w:t>
      </w:r>
      <w:r>
        <w:rPr>
          <w:rFonts w:ascii="Arial" w:hAnsi="Arial" w:cs="Arial"/>
          <w:color w:val="191919"/>
          <w:shd w:val="clear" w:color="auto" w:fill="FFFFFF"/>
        </w:rPr>
        <w:t>《中共中央国务院关于全面实施预算绩效管理的意见》，</w:t>
      </w:r>
      <w:r>
        <w:rPr>
          <w:rFonts w:hint="eastAsia" w:ascii="Arial" w:hAnsi="Arial" w:cs="Arial"/>
          <w:color w:val="191919"/>
          <w:shd w:val="clear" w:color="auto" w:fill="FFFFFF"/>
        </w:rPr>
        <w:t>我单位</w:t>
      </w:r>
      <w:r>
        <w:rPr>
          <w:rFonts w:ascii="Arial" w:hAnsi="Arial" w:cs="Arial"/>
          <w:color w:val="191919"/>
          <w:shd w:val="clear" w:color="auto" w:fill="FFFFFF"/>
        </w:rPr>
        <w:t>以全面实施预算绩效管理为关键点和突破口，推动财政资金聚力增效，提高公共服务供给质量，增强政府公信力和执行力。</w:t>
      </w:r>
      <w:r>
        <w:rPr>
          <w:rFonts w:hint="eastAsia" w:ascii="Arial" w:hAnsi="Arial" w:cs="Arial"/>
          <w:color w:val="191919"/>
          <w:shd w:val="clear" w:color="auto" w:fill="FFFFFF"/>
        </w:rPr>
        <w:t>按照“预算花钱必问效”的原则，我单位持续对政府投资项目，尤其是获得中央资金的项目开展绩效自评工作，</w:t>
      </w:r>
      <w:r>
        <w:rPr>
          <w:rFonts w:ascii="Arial" w:hAnsi="Arial" w:cs="Arial"/>
          <w:color w:val="191919"/>
          <w:shd w:val="clear" w:color="auto" w:fill="FFFFFF"/>
        </w:rPr>
        <w:t>强化绩效目标管理，做好绩效运行监控，并开展绩效评价和结果应用</w:t>
      </w:r>
      <w:r>
        <w:rPr>
          <w:rFonts w:hint="eastAsia" w:ascii="Arial" w:hAnsi="Arial" w:cs="Arial"/>
          <w:color w:val="191919"/>
          <w:shd w:val="clear" w:color="auto" w:fill="FFFFFF"/>
        </w:rPr>
        <w:t>。</w:t>
      </w:r>
    </w:p>
    <w:p>
      <w:pPr>
        <w:pStyle w:val="3"/>
        <w:spacing w:line="500" w:lineRule="exact"/>
      </w:pPr>
      <w:r>
        <w:rPr>
          <w:rFonts w:hint="eastAsia"/>
        </w:rPr>
        <w:t>六、其他需要说明的问题</w:t>
      </w:r>
    </w:p>
    <w:p>
      <w:pPr>
        <w:spacing w:line="500" w:lineRule="exact"/>
      </w:pPr>
      <w:r>
        <w:rPr>
          <w:rFonts w:hint="eastAsia"/>
        </w:rPr>
        <w:t>暂无。</w:t>
      </w:r>
    </w:p>
    <w:p>
      <w:pPr>
        <w:pStyle w:val="2"/>
        <w:ind w:firstLine="640"/>
      </w:pPr>
    </w:p>
    <w:p>
      <w:pPr>
        <w:spacing w:line="500" w:lineRule="exact"/>
        <w:ind w:firstLine="0" w:firstLineChars="0"/>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jc w:val="center"/>
    </w:pPr>
    <w:r>
      <w:fldChar w:fldCharType="begin"/>
    </w:r>
    <w:r>
      <w:instrText xml:space="preserve"> PAGE   \* MERGEFORMAT </w:instrText>
    </w:r>
    <w:r>
      <w:fldChar w:fldCharType="separate"/>
    </w:r>
    <w:r>
      <w:rPr>
        <w:lang w:val="zh-CN"/>
      </w:rPr>
      <w:t>1</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436A"/>
    <w:multiLevelType w:val="singleLevel"/>
    <w:tmpl w:val="B826436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50"/>
  <w:drawingGridVerticalSpacing w:val="58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iYzkyMzRiM2UzM2VhZTBkNzAzYmRlODMyNzQ0ZTMifQ=="/>
  </w:docVars>
  <w:rsids>
    <w:rsidRoot w:val="00F57F82"/>
    <w:rsid w:val="00007476"/>
    <w:rsid w:val="000101E1"/>
    <w:rsid w:val="00017298"/>
    <w:rsid w:val="00020084"/>
    <w:rsid w:val="000329D9"/>
    <w:rsid w:val="000732DA"/>
    <w:rsid w:val="00075CDC"/>
    <w:rsid w:val="000A4604"/>
    <w:rsid w:val="000B1E8F"/>
    <w:rsid w:val="00103D16"/>
    <w:rsid w:val="001214D7"/>
    <w:rsid w:val="00136702"/>
    <w:rsid w:val="00164D84"/>
    <w:rsid w:val="001D628A"/>
    <w:rsid w:val="00211581"/>
    <w:rsid w:val="00250053"/>
    <w:rsid w:val="0027532B"/>
    <w:rsid w:val="00276CCC"/>
    <w:rsid w:val="00287C3C"/>
    <w:rsid w:val="002D0A98"/>
    <w:rsid w:val="003047E8"/>
    <w:rsid w:val="003370F3"/>
    <w:rsid w:val="00371982"/>
    <w:rsid w:val="0039432D"/>
    <w:rsid w:val="003C6374"/>
    <w:rsid w:val="00415F7C"/>
    <w:rsid w:val="004531B5"/>
    <w:rsid w:val="004C5CEC"/>
    <w:rsid w:val="004D5A71"/>
    <w:rsid w:val="00503C12"/>
    <w:rsid w:val="00560E3E"/>
    <w:rsid w:val="00572153"/>
    <w:rsid w:val="006A6006"/>
    <w:rsid w:val="00747904"/>
    <w:rsid w:val="00785AF7"/>
    <w:rsid w:val="007873EA"/>
    <w:rsid w:val="007A1DC2"/>
    <w:rsid w:val="007C1C0B"/>
    <w:rsid w:val="007E546A"/>
    <w:rsid w:val="0087393E"/>
    <w:rsid w:val="008A20F2"/>
    <w:rsid w:val="00A1169D"/>
    <w:rsid w:val="00A376F3"/>
    <w:rsid w:val="00A92E5C"/>
    <w:rsid w:val="00AA2B82"/>
    <w:rsid w:val="00AE4661"/>
    <w:rsid w:val="00AE6A05"/>
    <w:rsid w:val="00B13839"/>
    <w:rsid w:val="00B23861"/>
    <w:rsid w:val="00B522A8"/>
    <w:rsid w:val="00BC4CBB"/>
    <w:rsid w:val="00C46E04"/>
    <w:rsid w:val="00C55880"/>
    <w:rsid w:val="00CC152C"/>
    <w:rsid w:val="00CE3824"/>
    <w:rsid w:val="00CE55E9"/>
    <w:rsid w:val="00D200DC"/>
    <w:rsid w:val="00D61B1A"/>
    <w:rsid w:val="00D63908"/>
    <w:rsid w:val="00D72958"/>
    <w:rsid w:val="00D82388"/>
    <w:rsid w:val="00D91948"/>
    <w:rsid w:val="00DB429F"/>
    <w:rsid w:val="00DD09A2"/>
    <w:rsid w:val="00DD16E3"/>
    <w:rsid w:val="00DE0659"/>
    <w:rsid w:val="00DF57C5"/>
    <w:rsid w:val="00ED6D53"/>
    <w:rsid w:val="00F22AE2"/>
    <w:rsid w:val="00F437B4"/>
    <w:rsid w:val="00F57F82"/>
    <w:rsid w:val="00F64E54"/>
    <w:rsid w:val="00F75963"/>
    <w:rsid w:val="00FA357A"/>
    <w:rsid w:val="029E5817"/>
    <w:rsid w:val="02C86339"/>
    <w:rsid w:val="037D0BC8"/>
    <w:rsid w:val="04076DA7"/>
    <w:rsid w:val="055025D2"/>
    <w:rsid w:val="07FA0264"/>
    <w:rsid w:val="0845082D"/>
    <w:rsid w:val="0848123F"/>
    <w:rsid w:val="08A1260D"/>
    <w:rsid w:val="096A663E"/>
    <w:rsid w:val="09E965F2"/>
    <w:rsid w:val="0A4A3A37"/>
    <w:rsid w:val="0A87714B"/>
    <w:rsid w:val="0EC63FED"/>
    <w:rsid w:val="0EFB5A0A"/>
    <w:rsid w:val="0FFFAAC1"/>
    <w:rsid w:val="109675FA"/>
    <w:rsid w:val="11D7196B"/>
    <w:rsid w:val="12CA3F9C"/>
    <w:rsid w:val="139840D3"/>
    <w:rsid w:val="143E091F"/>
    <w:rsid w:val="14865FC8"/>
    <w:rsid w:val="150C2DB0"/>
    <w:rsid w:val="17C05E32"/>
    <w:rsid w:val="18F83E24"/>
    <w:rsid w:val="1CE94882"/>
    <w:rsid w:val="1E761F05"/>
    <w:rsid w:val="1FC7205C"/>
    <w:rsid w:val="20BD1B38"/>
    <w:rsid w:val="21B57B1D"/>
    <w:rsid w:val="21DE5A03"/>
    <w:rsid w:val="21F00DBA"/>
    <w:rsid w:val="228B3D05"/>
    <w:rsid w:val="25FE8923"/>
    <w:rsid w:val="27BC6E05"/>
    <w:rsid w:val="27F34A6B"/>
    <w:rsid w:val="286D5E37"/>
    <w:rsid w:val="28E373DF"/>
    <w:rsid w:val="2A4B6B02"/>
    <w:rsid w:val="2A94137D"/>
    <w:rsid w:val="2CBB425E"/>
    <w:rsid w:val="2D8B4B0D"/>
    <w:rsid w:val="2F6F4467"/>
    <w:rsid w:val="2FAD4FCA"/>
    <w:rsid w:val="33E86A4E"/>
    <w:rsid w:val="355571ED"/>
    <w:rsid w:val="368D368C"/>
    <w:rsid w:val="36B95C8B"/>
    <w:rsid w:val="38EF7AD8"/>
    <w:rsid w:val="3A0C0C54"/>
    <w:rsid w:val="3A431E7C"/>
    <w:rsid w:val="3C0E3E49"/>
    <w:rsid w:val="3C5E2926"/>
    <w:rsid w:val="3C7019B2"/>
    <w:rsid w:val="3D7E7C9E"/>
    <w:rsid w:val="3DBBD6B4"/>
    <w:rsid w:val="3E1672E6"/>
    <w:rsid w:val="3E6918DD"/>
    <w:rsid w:val="3F5579C2"/>
    <w:rsid w:val="40950555"/>
    <w:rsid w:val="41432A02"/>
    <w:rsid w:val="415F08D8"/>
    <w:rsid w:val="41AE398F"/>
    <w:rsid w:val="41D41C6F"/>
    <w:rsid w:val="42F07593"/>
    <w:rsid w:val="433B52D2"/>
    <w:rsid w:val="43690154"/>
    <w:rsid w:val="43ED7E14"/>
    <w:rsid w:val="441867FA"/>
    <w:rsid w:val="4434078E"/>
    <w:rsid w:val="445B21D4"/>
    <w:rsid w:val="44C635B7"/>
    <w:rsid w:val="44E2230F"/>
    <w:rsid w:val="461D5619"/>
    <w:rsid w:val="46E11476"/>
    <w:rsid w:val="46F9107C"/>
    <w:rsid w:val="4881717A"/>
    <w:rsid w:val="48B51347"/>
    <w:rsid w:val="4A1B2E89"/>
    <w:rsid w:val="4A55216A"/>
    <w:rsid w:val="4B0E65C7"/>
    <w:rsid w:val="4BFD2870"/>
    <w:rsid w:val="4C4F4283"/>
    <w:rsid w:val="4D2907E5"/>
    <w:rsid w:val="4D4C56FF"/>
    <w:rsid w:val="4DC43E92"/>
    <w:rsid w:val="4FE0696A"/>
    <w:rsid w:val="50D34630"/>
    <w:rsid w:val="50F76058"/>
    <w:rsid w:val="50F91B2C"/>
    <w:rsid w:val="50FE6375"/>
    <w:rsid w:val="51FD19E1"/>
    <w:rsid w:val="524B3D19"/>
    <w:rsid w:val="528F2AA6"/>
    <w:rsid w:val="52F147FE"/>
    <w:rsid w:val="53773584"/>
    <w:rsid w:val="55673508"/>
    <w:rsid w:val="56293EE0"/>
    <w:rsid w:val="56FE7A11"/>
    <w:rsid w:val="57FCC004"/>
    <w:rsid w:val="59595A6F"/>
    <w:rsid w:val="599330CA"/>
    <w:rsid w:val="59A60DC8"/>
    <w:rsid w:val="5B0D23FC"/>
    <w:rsid w:val="5B6C0F28"/>
    <w:rsid w:val="5DB076C2"/>
    <w:rsid w:val="5F76F0C1"/>
    <w:rsid w:val="5FF371E7"/>
    <w:rsid w:val="600865E8"/>
    <w:rsid w:val="603B6C1D"/>
    <w:rsid w:val="60D5009F"/>
    <w:rsid w:val="619D08BC"/>
    <w:rsid w:val="61BD1E68"/>
    <w:rsid w:val="6261716A"/>
    <w:rsid w:val="6324384D"/>
    <w:rsid w:val="660721C9"/>
    <w:rsid w:val="661E6C75"/>
    <w:rsid w:val="67F75FF5"/>
    <w:rsid w:val="681715F8"/>
    <w:rsid w:val="681D4831"/>
    <w:rsid w:val="68434224"/>
    <w:rsid w:val="692A6C18"/>
    <w:rsid w:val="692E4B19"/>
    <w:rsid w:val="69513EF7"/>
    <w:rsid w:val="697D78BA"/>
    <w:rsid w:val="6AAF7917"/>
    <w:rsid w:val="6B0B09CB"/>
    <w:rsid w:val="6BF3256F"/>
    <w:rsid w:val="6CE7018A"/>
    <w:rsid w:val="6D08690D"/>
    <w:rsid w:val="6DA15568"/>
    <w:rsid w:val="6E3E3F2D"/>
    <w:rsid w:val="70D86EB2"/>
    <w:rsid w:val="715B2F02"/>
    <w:rsid w:val="72F13750"/>
    <w:rsid w:val="730F557A"/>
    <w:rsid w:val="748C1146"/>
    <w:rsid w:val="754F0E92"/>
    <w:rsid w:val="75A62CFF"/>
    <w:rsid w:val="76A548F2"/>
    <w:rsid w:val="7765772E"/>
    <w:rsid w:val="77867685"/>
    <w:rsid w:val="77F04540"/>
    <w:rsid w:val="781F36B6"/>
    <w:rsid w:val="78ED5A1E"/>
    <w:rsid w:val="790627AD"/>
    <w:rsid w:val="7ABA7609"/>
    <w:rsid w:val="7ADC59FA"/>
    <w:rsid w:val="7BB71159"/>
    <w:rsid w:val="7C1A2432"/>
    <w:rsid w:val="7CD836C4"/>
    <w:rsid w:val="7D6742C1"/>
    <w:rsid w:val="7DBDD65E"/>
    <w:rsid w:val="7DDD794F"/>
    <w:rsid w:val="7E5A664C"/>
    <w:rsid w:val="7EF834F2"/>
    <w:rsid w:val="7F957A64"/>
    <w:rsid w:val="7FA94C21"/>
    <w:rsid w:val="7FED4EEF"/>
    <w:rsid w:val="7FED9F9F"/>
    <w:rsid w:val="9FFF3766"/>
    <w:rsid w:val="B7F7950F"/>
    <w:rsid w:val="BECF1CFC"/>
    <w:rsid w:val="CADDA160"/>
    <w:rsid w:val="D7FBE5FA"/>
    <w:rsid w:val="DFDF27BD"/>
    <w:rsid w:val="F57B6F99"/>
    <w:rsid w:val="F7DFB8FF"/>
    <w:rsid w:val="FA7DCE76"/>
    <w:rsid w:val="FAEFC359"/>
    <w:rsid w:val="FB5ECFCA"/>
    <w:rsid w:val="FEAF114B"/>
    <w:rsid w:val="FEDC2866"/>
    <w:rsid w:val="FFC60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560" w:lineRule="exact"/>
      <w:ind w:firstLine="640" w:firstLineChars="200"/>
      <w:jc w:val="both"/>
      <w:outlineLvl w:val="0"/>
    </w:pPr>
    <w:rPr>
      <w:rFonts w:ascii="仿宋_GB2312" w:hAnsi="Times New Roman" w:eastAsia="仿宋_GB2312" w:cs="Times New Roman"/>
      <w:kern w:val="2"/>
      <w:sz w:val="32"/>
      <w:szCs w:val="36"/>
      <w:lang w:val="en-US" w:eastAsia="zh-CN" w:bidi="ar-SA"/>
    </w:rPr>
  </w:style>
  <w:style w:type="paragraph" w:styleId="3">
    <w:name w:val="heading 1"/>
    <w:basedOn w:val="1"/>
    <w:next w:val="1"/>
    <w:link w:val="16"/>
    <w:autoRedefine/>
    <w:qFormat/>
    <w:uiPriority w:val="0"/>
    <w:pPr>
      <w:keepNext/>
      <w:keepLines/>
      <w:ind w:firstLine="643"/>
    </w:pPr>
    <w:rPr>
      <w:rFonts w:ascii="黑体" w:hAnsi="黑体" w:eastAsia="黑体"/>
      <w:b/>
      <w:kern w:val="44"/>
      <w:szCs w:val="24"/>
    </w:rPr>
  </w:style>
  <w:style w:type="paragraph" w:styleId="4">
    <w:name w:val="heading 2"/>
    <w:basedOn w:val="1"/>
    <w:next w:val="1"/>
    <w:unhideWhenUsed/>
    <w:qFormat/>
    <w:uiPriority w:val="0"/>
    <w:pPr>
      <w:keepNext/>
      <w:keepLines/>
      <w:spacing w:before="260" w:after="260" w:line="413" w:lineRule="auto"/>
      <w:outlineLvl w:val="1"/>
    </w:pPr>
    <w:rPr>
      <w:rFonts w:ascii="Arial" w:hAnsi="Arial" w:eastAsia="黑体"/>
      <w:b/>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Normal Indent"/>
    <w:basedOn w:val="1"/>
    <w:qFormat/>
    <w:uiPriority w:val="0"/>
    <w:pPr>
      <w:ind w:firstLine="964"/>
    </w:pPr>
  </w:style>
  <w:style w:type="paragraph" w:styleId="5">
    <w:name w:val="Balloon Text"/>
    <w:basedOn w:val="1"/>
    <w:link w:val="13"/>
    <w:autoRedefine/>
    <w:qFormat/>
    <w:uiPriority w:val="0"/>
    <w:rPr>
      <w:sz w:val="18"/>
      <w:szCs w:val="18"/>
    </w:rPr>
  </w:style>
  <w:style w:type="paragraph" w:styleId="6">
    <w:name w:val="footer"/>
    <w:basedOn w:val="1"/>
    <w:link w:val="11"/>
    <w:autoRedefine/>
    <w:qFormat/>
    <w:uiPriority w:val="99"/>
    <w:pPr>
      <w:tabs>
        <w:tab w:val="center" w:pos="4153"/>
        <w:tab w:val="right" w:pos="8306"/>
      </w:tabs>
      <w:snapToGrid w:val="0"/>
      <w:jc w:val="left"/>
    </w:pPr>
    <w:rPr>
      <w:sz w:val="18"/>
      <w:szCs w:val="18"/>
    </w:rPr>
  </w:style>
  <w:style w:type="paragraph" w:styleId="7">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Title"/>
    <w:basedOn w:val="1"/>
    <w:next w:val="1"/>
    <w:link w:val="15"/>
    <w:autoRedefine/>
    <w:qFormat/>
    <w:uiPriority w:val="0"/>
    <w:pPr>
      <w:spacing w:before="240" w:after="60"/>
      <w:jc w:val="center"/>
    </w:pPr>
    <w:rPr>
      <w:rFonts w:asciiTheme="majorHAnsi" w:hAnsiTheme="majorHAnsi" w:eastAsiaTheme="majorEastAsia" w:cstheme="majorBidi"/>
      <w:b/>
      <w:bCs/>
      <w:szCs w:val="32"/>
    </w:rPr>
  </w:style>
  <w:style w:type="character" w:customStyle="1" w:styleId="11">
    <w:name w:val="页脚 字符"/>
    <w:basedOn w:val="10"/>
    <w:link w:val="6"/>
    <w:autoRedefine/>
    <w:qFormat/>
    <w:uiPriority w:val="99"/>
    <w:rPr>
      <w:rFonts w:eastAsia="仿宋_GB2312"/>
      <w:kern w:val="2"/>
      <w:sz w:val="18"/>
      <w:szCs w:val="18"/>
    </w:rPr>
  </w:style>
  <w:style w:type="character" w:customStyle="1" w:styleId="12">
    <w:name w:val="页眉 字符"/>
    <w:basedOn w:val="10"/>
    <w:link w:val="7"/>
    <w:autoRedefine/>
    <w:qFormat/>
    <w:uiPriority w:val="0"/>
    <w:rPr>
      <w:rFonts w:eastAsia="仿宋_GB2312"/>
      <w:kern w:val="2"/>
      <w:sz w:val="18"/>
      <w:szCs w:val="18"/>
    </w:rPr>
  </w:style>
  <w:style w:type="character" w:customStyle="1" w:styleId="13">
    <w:name w:val="批注框文本 字符"/>
    <w:basedOn w:val="10"/>
    <w:link w:val="5"/>
    <w:qFormat/>
    <w:uiPriority w:val="0"/>
    <w:rPr>
      <w:rFonts w:eastAsia="仿宋_GB2312"/>
      <w:kern w:val="2"/>
      <w:sz w:val="18"/>
      <w:szCs w:val="18"/>
    </w:rPr>
  </w:style>
  <w:style w:type="paragraph" w:styleId="14">
    <w:name w:val="List Paragraph"/>
    <w:basedOn w:val="1"/>
    <w:autoRedefine/>
    <w:qFormat/>
    <w:uiPriority w:val="99"/>
    <w:pPr>
      <w:ind w:firstLine="420"/>
    </w:pPr>
  </w:style>
  <w:style w:type="character" w:customStyle="1" w:styleId="15">
    <w:name w:val="标题 字符"/>
    <w:basedOn w:val="10"/>
    <w:link w:val="8"/>
    <w:autoRedefine/>
    <w:qFormat/>
    <w:uiPriority w:val="0"/>
    <w:rPr>
      <w:rFonts w:asciiTheme="majorHAnsi" w:hAnsiTheme="majorHAnsi" w:eastAsiaTheme="majorEastAsia" w:cstheme="majorBidi"/>
      <w:b/>
      <w:bCs/>
      <w:kern w:val="2"/>
      <w:sz w:val="32"/>
      <w:szCs w:val="32"/>
    </w:rPr>
  </w:style>
  <w:style w:type="character" w:customStyle="1" w:styleId="16">
    <w:name w:val="标题 1 字符"/>
    <w:basedOn w:val="10"/>
    <w:link w:val="3"/>
    <w:qFormat/>
    <w:uiPriority w:val="0"/>
    <w:rPr>
      <w:rFonts w:hint="eastAsia" w:ascii="黑体" w:hAnsi="宋体" w:eastAsia="黑体" w:cs="黑体"/>
      <w:b/>
      <w:kern w:val="44"/>
      <w:sz w:val="32"/>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1101</Words>
  <Characters>1242</Characters>
  <Lines>9</Lines>
  <Paragraphs>2</Paragraphs>
  <TotalTime>0</TotalTime>
  <ScaleCrop>false</ScaleCrop>
  <LinksUpToDate>false</LinksUpToDate>
  <CharactersWithSpaces>1257</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2011-03-03T08:16:00Z</dcterms:created>
  <dc:creator>lhn</dc:creator>
  <cp:lastModifiedBy>清风拂柳</cp:lastModifiedBy>
  <cp:lastPrinted>2020-02-29T13:55:00Z</cp:lastPrinted>
  <dcterms:modified xsi:type="dcterms:W3CDTF">2024-04-28T08:19:31Z</dcterms:modified>
  <dc:title>财政支出绩效评价报告</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198557A26C83406CA6ECA1D5A128AFF0</vt:lpwstr>
  </property>
</Properties>
</file>