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rPr>
          <w:highlight w:val="none"/>
        </w:rPr>
      </w:pP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  <w:highlight w:val="none"/>
        </w:rPr>
      </w:pPr>
      <w:r>
        <w:rPr>
          <w:rFonts w:hint="eastAsia" w:ascii="方正小标宋简体" w:eastAsia="方正小标宋简体"/>
          <w:sz w:val="40"/>
          <w:szCs w:val="40"/>
          <w:highlight w:val="none"/>
        </w:rPr>
        <w:t>桂秀路（白驹大道至</w:t>
      </w:r>
      <w:r>
        <w:rPr>
          <w:rFonts w:hint="eastAsia" w:ascii="方正小标宋简体" w:eastAsia="方正小标宋简体"/>
          <w:sz w:val="40"/>
          <w:szCs w:val="40"/>
          <w:highlight w:val="none"/>
          <w:lang w:val="en-US" w:eastAsia="zh-CN"/>
        </w:rPr>
        <w:t>江东</w:t>
      </w:r>
      <w:r>
        <w:rPr>
          <w:rFonts w:hint="eastAsia" w:ascii="方正小标宋简体" w:eastAsia="方正小标宋简体"/>
          <w:sz w:val="40"/>
          <w:szCs w:val="40"/>
          <w:highlight w:val="none"/>
        </w:rPr>
        <w:t>大道段）项目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  <w:highlight w:val="none"/>
        </w:rPr>
      </w:pPr>
      <w:r>
        <w:rPr>
          <w:rFonts w:hint="eastAsia" w:ascii="方正小标宋简体" w:eastAsia="方正小标宋简体"/>
          <w:sz w:val="40"/>
          <w:szCs w:val="40"/>
          <w:highlight w:val="none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  <w:highlight w:val="none"/>
        </w:rPr>
        <w:t>度绩效自评报告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一、基本情况</w:t>
      </w:r>
    </w:p>
    <w:p>
      <w:pPr>
        <w:pStyle w:val="3"/>
        <w:spacing w:line="500" w:lineRule="exact"/>
        <w:rPr>
          <w:color w:val="FF0000"/>
          <w:highlight w:val="none"/>
        </w:rPr>
      </w:pPr>
      <w:r>
        <w:rPr>
          <w:rFonts w:hint="eastAsia"/>
          <w:highlight w:val="none"/>
        </w:rPr>
        <w:t>（一）项目概况</w:t>
      </w:r>
    </w:p>
    <w:p>
      <w:pPr>
        <w:autoSpaceDE w:val="0"/>
        <w:adjustRightInd w:val="0"/>
        <w:snapToGrid w:val="0"/>
        <w:spacing w:line="576" w:lineRule="exact"/>
        <w:rPr>
          <w:rFonts w:hint="eastAsia" w:ascii="仿宋" w:hAnsi="仿宋" w:eastAsia="仿宋_GB2312" w:cs="仿宋"/>
          <w:szCs w:val="32"/>
          <w:highlight w:val="none"/>
          <w:lang w:eastAsia="zh-CN"/>
        </w:rPr>
      </w:pPr>
      <w:r>
        <w:rPr>
          <w:rFonts w:hint="eastAsia"/>
          <w:highlight w:val="none"/>
        </w:rPr>
        <w:t>海口江东新区产城融合示范区配套基础设施项目</w:t>
      </w: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>变更前名称：</w:t>
      </w:r>
      <w:r>
        <w:rPr>
          <w:rFonts w:hint="eastAsia"/>
          <w:highlight w:val="none"/>
        </w:rPr>
        <w:t>桂秀路（白驹大道至</w:t>
      </w:r>
      <w:r>
        <w:rPr>
          <w:rFonts w:hint="eastAsia"/>
          <w:highlight w:val="none"/>
          <w:lang w:val="en-US" w:eastAsia="zh-CN"/>
        </w:rPr>
        <w:t>江东</w:t>
      </w:r>
      <w:r>
        <w:rPr>
          <w:rFonts w:hint="eastAsia"/>
          <w:highlight w:val="none"/>
        </w:rPr>
        <w:t>大道段）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  <w:highlight w:val="none"/>
        </w:rPr>
        <w:t>项目业主为</w:t>
      </w:r>
      <w:r>
        <w:rPr>
          <w:rFonts w:hint="eastAsia"/>
          <w:highlight w:val="none"/>
          <w:lang w:val="en-US" w:eastAsia="zh-CN"/>
        </w:rPr>
        <w:t>海口市君实综合开发有限责任公司（变更前名称：</w:t>
      </w:r>
      <w:r>
        <w:rPr>
          <w:rFonts w:hint="eastAsia"/>
          <w:highlight w:val="none"/>
        </w:rPr>
        <w:t>海口江东新区开发建设有限责任公司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  <w:highlight w:val="none"/>
        </w:rPr>
        <w:t>，项目位于海南省重点园区海口江东新区内，起点与白驹大道衔接，终点至江东大道，长度约1.27km，建设内容包括道路工程、交通工程、桥梁工程等。项目概算总投资为</w:t>
      </w:r>
      <w:r>
        <w:rPr>
          <w:rFonts w:hint="eastAsia"/>
          <w:highlight w:val="none"/>
          <w:lang w:val="en-US" w:eastAsia="zh-CN"/>
        </w:rPr>
        <w:t>92379</w:t>
      </w:r>
      <w:r>
        <w:rPr>
          <w:rFonts w:hint="eastAsia"/>
          <w:highlight w:val="none"/>
        </w:rPr>
        <w:t>万元</w:t>
      </w:r>
      <w:r>
        <w:rPr>
          <w:rFonts w:hint="eastAsia"/>
          <w:highlight w:val="none"/>
          <w:lang w:eastAsia="zh-CN"/>
        </w:rPr>
        <w:t>。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（二）项目资金情况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该项目</w:t>
      </w:r>
      <w:r>
        <w:rPr>
          <w:rFonts w:hint="eastAsia"/>
          <w:highlight w:val="none"/>
          <w:lang w:eastAsia="zh-CN"/>
        </w:rPr>
        <w:t>2023年</w:t>
      </w:r>
      <w:r>
        <w:rPr>
          <w:rFonts w:hint="eastAsia"/>
          <w:highlight w:val="none"/>
        </w:rPr>
        <w:t>共到位资金</w:t>
      </w:r>
      <w:r>
        <w:rPr>
          <w:rFonts w:hint="eastAsia"/>
          <w:highlight w:val="none"/>
          <w:lang w:val="en-US" w:eastAsia="zh-CN"/>
        </w:rPr>
        <w:t>42087.2</w:t>
      </w:r>
      <w:r>
        <w:rPr>
          <w:rFonts w:hint="eastAsia"/>
          <w:highlight w:val="none"/>
        </w:rPr>
        <w:t>万元，其中</w:t>
      </w:r>
      <w:r>
        <w:rPr>
          <w:rFonts w:hint="eastAsia"/>
          <w:highlight w:val="none"/>
          <w:lang w:eastAsia="zh-CN"/>
        </w:rPr>
        <w:t>2023年</w:t>
      </w:r>
      <w:r>
        <w:rPr>
          <w:rFonts w:hint="eastAsia"/>
          <w:highlight w:val="none"/>
        </w:rPr>
        <w:t>地债资金</w:t>
      </w:r>
      <w:r>
        <w:rPr>
          <w:rFonts w:hint="eastAsia"/>
          <w:highlight w:val="none"/>
          <w:lang w:val="en-US" w:eastAsia="zh-CN"/>
        </w:rPr>
        <w:t>5000</w:t>
      </w:r>
      <w:r>
        <w:rPr>
          <w:rFonts w:hint="eastAsia"/>
          <w:highlight w:val="none"/>
        </w:rPr>
        <w:t>万元</w:t>
      </w:r>
      <w:r>
        <w:rPr>
          <w:rFonts w:hint="eastAsia"/>
          <w:highlight w:val="none"/>
          <w:lang w:eastAsia="zh-CN"/>
        </w:rPr>
        <w:t>，</w:t>
      </w:r>
      <w:r>
        <w:rPr>
          <w:rFonts w:hint="eastAsia"/>
          <w:highlight w:val="none"/>
          <w:lang w:val="en-US" w:eastAsia="zh-CN"/>
        </w:rPr>
        <w:t>财政部门预算资金37087.2万元</w:t>
      </w:r>
      <w:r>
        <w:rPr>
          <w:rFonts w:hint="eastAsia"/>
          <w:highlight w:val="none"/>
        </w:rPr>
        <w:t>。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二、绩效目标完成情况分析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（一）资金情况分析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该项目</w:t>
      </w:r>
      <w:r>
        <w:rPr>
          <w:rFonts w:hint="eastAsia"/>
          <w:highlight w:val="none"/>
          <w:lang w:eastAsia="zh-CN"/>
        </w:rPr>
        <w:t>2023年</w:t>
      </w:r>
      <w:r>
        <w:rPr>
          <w:rFonts w:hint="eastAsia"/>
          <w:highlight w:val="none"/>
        </w:rPr>
        <w:t>共到位资金</w:t>
      </w:r>
      <w:r>
        <w:rPr>
          <w:rFonts w:hint="eastAsia"/>
          <w:highlight w:val="none"/>
          <w:lang w:val="en-US" w:eastAsia="zh-CN"/>
        </w:rPr>
        <w:t>42087.2</w:t>
      </w:r>
      <w:r>
        <w:rPr>
          <w:rFonts w:hint="eastAsia"/>
          <w:highlight w:val="none"/>
        </w:rPr>
        <w:t>万元，其中</w:t>
      </w:r>
      <w:r>
        <w:rPr>
          <w:rFonts w:hint="eastAsia"/>
          <w:highlight w:val="none"/>
          <w:lang w:eastAsia="zh-CN"/>
        </w:rPr>
        <w:t>2023年</w:t>
      </w:r>
      <w:r>
        <w:rPr>
          <w:rFonts w:hint="eastAsia"/>
          <w:highlight w:val="none"/>
        </w:rPr>
        <w:t>地债资金</w:t>
      </w:r>
      <w:r>
        <w:rPr>
          <w:rFonts w:hint="eastAsia"/>
          <w:highlight w:val="none"/>
          <w:lang w:val="en-US" w:eastAsia="zh-CN"/>
        </w:rPr>
        <w:t>5000</w:t>
      </w:r>
      <w:r>
        <w:rPr>
          <w:rFonts w:hint="eastAsia"/>
          <w:highlight w:val="none"/>
        </w:rPr>
        <w:t>万元</w:t>
      </w:r>
      <w:r>
        <w:rPr>
          <w:rFonts w:hint="eastAsia"/>
          <w:highlight w:val="none"/>
          <w:lang w:eastAsia="zh-CN"/>
        </w:rPr>
        <w:t>，</w:t>
      </w:r>
      <w:r>
        <w:rPr>
          <w:rFonts w:hint="eastAsia"/>
          <w:highlight w:val="none"/>
          <w:lang w:val="en-US" w:eastAsia="zh-CN"/>
        </w:rPr>
        <w:t>财政部门预算资金37087.2万元</w:t>
      </w:r>
      <w:r>
        <w:rPr>
          <w:rFonts w:hint="eastAsia"/>
          <w:highlight w:val="none"/>
        </w:rPr>
        <w:t>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  <w:rPr>
          <w:highlight w:val="none"/>
        </w:rPr>
      </w:pPr>
      <w:r>
        <w:rPr>
          <w:rFonts w:hint="eastAsia"/>
          <w:highlight w:val="none"/>
        </w:rPr>
        <w:t>总体目标完成情况分析</w:t>
      </w:r>
    </w:p>
    <w:p>
      <w:pPr>
        <w:spacing w:line="500" w:lineRule="exact"/>
        <w:rPr>
          <w:highlight w:val="none"/>
          <w:lang w:bidi="ar"/>
        </w:rPr>
      </w:pPr>
      <w:r>
        <w:rPr>
          <w:rFonts w:hint="eastAsia"/>
          <w:highlight w:val="none"/>
          <w:lang w:bidi="ar"/>
        </w:rPr>
        <w:t>项目年度目标为：完成400米工作面路床施工。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  <w:lang w:bidi="ar"/>
        </w:rPr>
        <w:t>项目年度完成情况：实际完成400米工作面路床施工</w:t>
      </w:r>
      <w:r>
        <w:rPr>
          <w:rFonts w:hint="eastAsia"/>
          <w:highlight w:val="none"/>
        </w:rPr>
        <w:t>。严格执行预算，确保质量，未发生安全事故，保质保量完成任务。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（三）绩效指标完成情况分析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1.产出指标：</w:t>
      </w:r>
      <w:r>
        <w:rPr>
          <w:highlight w:val="none"/>
        </w:rPr>
        <w:t xml:space="preserve"> 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目标：</w:t>
      </w:r>
      <w:r>
        <w:rPr>
          <w:rFonts w:hint="eastAsia"/>
          <w:highlight w:val="none"/>
          <w:lang w:val="en-US" w:eastAsia="zh-CN"/>
        </w:rPr>
        <w:t>路床施工长度</w:t>
      </w:r>
      <w:r>
        <w:rPr>
          <w:rFonts w:hint="eastAsia"/>
          <w:highlight w:val="none"/>
        </w:rPr>
        <w:t>≥</w:t>
      </w:r>
      <w:r>
        <w:rPr>
          <w:rFonts w:hint="eastAsia"/>
          <w:highlight w:val="none"/>
          <w:lang w:val="en-US" w:eastAsia="zh-CN"/>
        </w:rPr>
        <w:t>400</w:t>
      </w:r>
      <w:r>
        <w:rPr>
          <w:rFonts w:hint="eastAsia"/>
          <w:highlight w:val="none"/>
        </w:rPr>
        <w:t>米。</w:t>
      </w:r>
    </w:p>
    <w:p>
      <w:pPr>
        <w:spacing w:line="500" w:lineRule="exact"/>
        <w:rPr>
          <w:highlight w:val="none"/>
          <w:lang w:bidi="ar"/>
        </w:rPr>
      </w:pPr>
      <w:r>
        <w:rPr>
          <w:rFonts w:hint="eastAsia"/>
          <w:highlight w:val="none"/>
        </w:rPr>
        <w:t>完成情况：</w:t>
      </w:r>
      <w:r>
        <w:rPr>
          <w:rFonts w:hint="eastAsia"/>
          <w:highlight w:val="none"/>
          <w:lang w:bidi="ar"/>
        </w:rPr>
        <w:t>完成</w:t>
      </w:r>
      <w:r>
        <w:rPr>
          <w:rFonts w:hint="eastAsia"/>
          <w:highlight w:val="none"/>
          <w:lang w:val="en-US" w:eastAsia="zh-CN" w:bidi="ar"/>
        </w:rPr>
        <w:t>路床施工长度400米</w:t>
      </w:r>
      <w:r>
        <w:rPr>
          <w:rFonts w:hint="eastAsia"/>
          <w:highlight w:val="none"/>
          <w:lang w:bidi="ar"/>
        </w:rPr>
        <w:t>。完成目标绩效。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 xml:space="preserve">2.效益指标： 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>1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  <w:highlight w:val="none"/>
        </w:rPr>
        <w:t>目标：项目受益人数</w:t>
      </w:r>
      <w:bookmarkStart w:id="0" w:name="_GoBack"/>
      <w:bookmarkEnd w:id="0"/>
      <w:r>
        <w:rPr>
          <w:rFonts w:hint="eastAsia"/>
          <w:highlight w:val="none"/>
        </w:rPr>
        <w:t>≥</w:t>
      </w:r>
      <w:r>
        <w:rPr>
          <w:rFonts w:hint="eastAsia"/>
          <w:highlight w:val="none"/>
          <w:lang w:val="en-US" w:eastAsia="zh-CN"/>
        </w:rPr>
        <w:t>20</w:t>
      </w:r>
      <w:r>
        <w:rPr>
          <w:rFonts w:hint="eastAsia"/>
          <w:highlight w:val="none"/>
        </w:rPr>
        <w:t>00人。</w:t>
      </w:r>
    </w:p>
    <w:p>
      <w:pPr>
        <w:spacing w:line="500" w:lineRule="exact"/>
        <w:rPr>
          <w:rFonts w:hint="eastAsia"/>
          <w:highlight w:val="none"/>
        </w:rPr>
      </w:pPr>
      <w:r>
        <w:rPr>
          <w:rFonts w:hint="eastAsia"/>
          <w:highlight w:val="none"/>
        </w:rPr>
        <w:t>完成情况：项目周边群众收益，受益人数已超</w:t>
      </w:r>
      <w:r>
        <w:rPr>
          <w:rFonts w:hint="eastAsia"/>
          <w:highlight w:val="none"/>
          <w:lang w:val="en-US" w:eastAsia="zh-CN"/>
        </w:rPr>
        <w:t>20</w:t>
      </w:r>
      <w:r>
        <w:rPr>
          <w:rFonts w:hint="eastAsia"/>
          <w:highlight w:val="none"/>
        </w:rPr>
        <w:t>00人，完成目标绩效。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</w:p>
    <w:p>
      <w:pPr>
        <w:pStyle w:val="2"/>
      </w:pPr>
      <w:r>
        <w:rPr>
          <w:rFonts w:hint="eastAsia"/>
        </w:rPr>
        <w:t>完成情况：项目安全事故发生数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  <w:lang w:val="en-US" w:eastAsia="zh-CN"/>
        </w:rPr>
        <w:t>3</w:t>
      </w:r>
      <w:r>
        <w:rPr>
          <w:rFonts w:hint="eastAsia"/>
          <w:highlight w:val="none"/>
        </w:rPr>
        <w:t>.成本指标：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目标：超概算项目比例≤5%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完成情况：未超出概算批复。完成目标绩效。</w:t>
      </w:r>
    </w:p>
    <w:p>
      <w:pPr>
        <w:pStyle w:val="3"/>
        <w:spacing w:line="500" w:lineRule="exact"/>
        <w:rPr>
          <w:color w:val="FF0000"/>
          <w:highlight w:val="none"/>
        </w:rPr>
      </w:pPr>
      <w:r>
        <w:rPr>
          <w:rFonts w:hint="eastAsia"/>
          <w:highlight w:val="none"/>
        </w:rPr>
        <w:t>（四）整体绩效自评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  <w:lang w:bidi="ar"/>
        </w:rPr>
        <w:t>该年度</w:t>
      </w:r>
      <w:r>
        <w:rPr>
          <w:rFonts w:hint="eastAsia"/>
          <w:highlight w:val="none"/>
        </w:rPr>
        <w:t>海口江东新区产城融合示范区配套基础设施项目</w:t>
      </w:r>
      <w:r>
        <w:rPr>
          <w:rFonts w:hint="eastAsia"/>
          <w:highlight w:val="none"/>
          <w:lang w:bidi="ar"/>
        </w:rPr>
        <w:t>整体效益目标已按时完成，绩效自评分数</w:t>
      </w:r>
      <w:r>
        <w:rPr>
          <w:rFonts w:hint="eastAsia"/>
          <w:highlight w:val="none"/>
          <w:lang w:val="en-US" w:eastAsia="zh-CN" w:bidi="ar"/>
        </w:rPr>
        <w:t>100</w:t>
      </w:r>
      <w:r>
        <w:rPr>
          <w:rFonts w:hint="eastAsia"/>
          <w:highlight w:val="none"/>
          <w:lang w:bidi="ar"/>
        </w:rPr>
        <w:t>分，自评等级优。</w:t>
      </w:r>
    </w:p>
    <w:p>
      <w:pPr>
        <w:pStyle w:val="3"/>
        <w:spacing w:line="500" w:lineRule="exact"/>
        <w:rPr>
          <w:color w:val="FF0000"/>
          <w:highlight w:val="none"/>
        </w:rPr>
      </w:pPr>
      <w:r>
        <w:rPr>
          <w:rFonts w:hint="eastAsia"/>
          <w:highlight w:val="none"/>
        </w:rPr>
        <w:t>三、发现的主要问题和改进措施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无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四、绩效自评结果拟应用和公开情况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五、绩效自评工作开展情况</w:t>
      </w:r>
    </w:p>
    <w:p>
      <w:pPr>
        <w:spacing w:line="500" w:lineRule="exact"/>
        <w:rPr>
          <w:highlight w:val="none"/>
        </w:rPr>
      </w:pPr>
      <w:r>
        <w:rPr>
          <w:rFonts w:hint="eastAsia" w:ascii="Arial" w:hAnsi="Arial" w:cs="Arial"/>
          <w:color w:val="191919"/>
          <w:highlight w:val="none"/>
          <w:shd w:val="clear" w:color="auto" w:fill="FFFFFF"/>
        </w:rPr>
        <w:t>根据</w:t>
      </w:r>
      <w:r>
        <w:rPr>
          <w:rFonts w:ascii="Arial" w:hAnsi="Arial" w:cs="Arial"/>
          <w:color w:val="191919"/>
          <w:highlight w:val="none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highlight w:val="none"/>
          <w:shd w:val="clear" w:color="auto" w:fill="FFFFFF"/>
        </w:rPr>
        <w:t>我单位</w:t>
      </w:r>
      <w:r>
        <w:rPr>
          <w:rFonts w:ascii="Arial" w:hAnsi="Arial" w:cs="Arial"/>
          <w:color w:val="191919"/>
          <w:highlight w:val="none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highlight w:val="none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highlight w:val="none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highlight w:val="none"/>
          <w:shd w:val="clear" w:color="auto" w:fill="FFFFFF"/>
        </w:rPr>
        <w:t>。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六、其他需要说明的问题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暂无。</w:t>
      </w:r>
    </w:p>
    <w:p>
      <w:pPr>
        <w:spacing w:line="500" w:lineRule="exact"/>
        <w:ind w:firstLine="0" w:firstLineChars="0"/>
        <w:rPr>
          <w:highlight w:val="none"/>
        </w:rPr>
      </w:pPr>
    </w:p>
    <w:p>
      <w:pPr>
        <w:pStyle w:val="2"/>
        <w:ind w:firstLine="640"/>
        <w:rPr>
          <w:highlight w:val="none"/>
        </w:rPr>
      </w:pPr>
    </w:p>
    <w:p>
      <w:pPr>
        <w:pStyle w:val="2"/>
        <w:ind w:firstLine="640"/>
        <w:rPr>
          <w:highlight w:val="none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trackRevisions w:val="1"/>
  <w:documentProtection w:enforcement="0"/>
  <w:defaultTabStop w:val="420"/>
  <w:drawingGridHorizontalSpacing w:val="150"/>
  <w:drawingGridVerticalSpacing w:val="5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71168"/>
    <w:rsid w:val="000732DA"/>
    <w:rsid w:val="00075CDC"/>
    <w:rsid w:val="000B1E8F"/>
    <w:rsid w:val="00103D16"/>
    <w:rsid w:val="001214D7"/>
    <w:rsid w:val="0012625D"/>
    <w:rsid w:val="00136702"/>
    <w:rsid w:val="00164D84"/>
    <w:rsid w:val="001D628A"/>
    <w:rsid w:val="00211581"/>
    <w:rsid w:val="0023667A"/>
    <w:rsid w:val="00250053"/>
    <w:rsid w:val="00276CCC"/>
    <w:rsid w:val="00287C3C"/>
    <w:rsid w:val="002D0A98"/>
    <w:rsid w:val="003370F3"/>
    <w:rsid w:val="00340575"/>
    <w:rsid w:val="00340C82"/>
    <w:rsid w:val="00371982"/>
    <w:rsid w:val="0039432D"/>
    <w:rsid w:val="003C5A69"/>
    <w:rsid w:val="003C6374"/>
    <w:rsid w:val="00415F7C"/>
    <w:rsid w:val="004531B5"/>
    <w:rsid w:val="00497D5A"/>
    <w:rsid w:val="004C5CEC"/>
    <w:rsid w:val="004D5A71"/>
    <w:rsid w:val="00503C12"/>
    <w:rsid w:val="00560E3E"/>
    <w:rsid w:val="00572153"/>
    <w:rsid w:val="006313DE"/>
    <w:rsid w:val="00747904"/>
    <w:rsid w:val="00785AF7"/>
    <w:rsid w:val="007873EA"/>
    <w:rsid w:val="007A1DC2"/>
    <w:rsid w:val="007C1C0B"/>
    <w:rsid w:val="007E546A"/>
    <w:rsid w:val="008A20F2"/>
    <w:rsid w:val="00A1169D"/>
    <w:rsid w:val="00A92E5C"/>
    <w:rsid w:val="00AA2B82"/>
    <w:rsid w:val="00B13839"/>
    <w:rsid w:val="00B23861"/>
    <w:rsid w:val="00B53B78"/>
    <w:rsid w:val="00C55880"/>
    <w:rsid w:val="00CC152C"/>
    <w:rsid w:val="00CC621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D6D53"/>
    <w:rsid w:val="00F22AE2"/>
    <w:rsid w:val="00F437B4"/>
    <w:rsid w:val="00F57F82"/>
    <w:rsid w:val="00F64E54"/>
    <w:rsid w:val="00F75963"/>
    <w:rsid w:val="00FA357A"/>
    <w:rsid w:val="00FC2DC3"/>
    <w:rsid w:val="029E5817"/>
    <w:rsid w:val="02C86339"/>
    <w:rsid w:val="037D0BC8"/>
    <w:rsid w:val="04076DA7"/>
    <w:rsid w:val="055025D2"/>
    <w:rsid w:val="07FA0264"/>
    <w:rsid w:val="0845082D"/>
    <w:rsid w:val="0848123F"/>
    <w:rsid w:val="08A1260D"/>
    <w:rsid w:val="096A663E"/>
    <w:rsid w:val="09E965F2"/>
    <w:rsid w:val="0A4A3A37"/>
    <w:rsid w:val="0A87714B"/>
    <w:rsid w:val="0EC63FED"/>
    <w:rsid w:val="0EFB5A0A"/>
    <w:rsid w:val="0FFFAAC1"/>
    <w:rsid w:val="109675FA"/>
    <w:rsid w:val="11D7196B"/>
    <w:rsid w:val="12CA3F9C"/>
    <w:rsid w:val="139840D3"/>
    <w:rsid w:val="143E091F"/>
    <w:rsid w:val="14865FC8"/>
    <w:rsid w:val="150C2DB0"/>
    <w:rsid w:val="17C05E32"/>
    <w:rsid w:val="18F83E24"/>
    <w:rsid w:val="1CE94882"/>
    <w:rsid w:val="1E761F05"/>
    <w:rsid w:val="1FC7205C"/>
    <w:rsid w:val="1FF70178"/>
    <w:rsid w:val="20BD1B38"/>
    <w:rsid w:val="210A5D83"/>
    <w:rsid w:val="21B57B1D"/>
    <w:rsid w:val="21DE5A03"/>
    <w:rsid w:val="21F00DBA"/>
    <w:rsid w:val="228B3D05"/>
    <w:rsid w:val="25FE8923"/>
    <w:rsid w:val="27F34A6B"/>
    <w:rsid w:val="286D5E37"/>
    <w:rsid w:val="28E373DF"/>
    <w:rsid w:val="2A94137D"/>
    <w:rsid w:val="2CBB425E"/>
    <w:rsid w:val="2D8B4B0D"/>
    <w:rsid w:val="2F6F4467"/>
    <w:rsid w:val="2FAD4FCA"/>
    <w:rsid w:val="324D4AB3"/>
    <w:rsid w:val="33E86A4E"/>
    <w:rsid w:val="354B3EC1"/>
    <w:rsid w:val="355571ED"/>
    <w:rsid w:val="368D368C"/>
    <w:rsid w:val="36B95C8B"/>
    <w:rsid w:val="38364DAC"/>
    <w:rsid w:val="38EF7AD8"/>
    <w:rsid w:val="3A0C0C54"/>
    <w:rsid w:val="3A431E7C"/>
    <w:rsid w:val="3BB30436"/>
    <w:rsid w:val="3C5E2926"/>
    <w:rsid w:val="3C7019B2"/>
    <w:rsid w:val="3D7E7C9E"/>
    <w:rsid w:val="3DBBD6B4"/>
    <w:rsid w:val="3E1672E6"/>
    <w:rsid w:val="3E3C0A23"/>
    <w:rsid w:val="3E6918DD"/>
    <w:rsid w:val="3F5579C2"/>
    <w:rsid w:val="40950555"/>
    <w:rsid w:val="415F08D8"/>
    <w:rsid w:val="41AE398F"/>
    <w:rsid w:val="41C85CBE"/>
    <w:rsid w:val="42F07593"/>
    <w:rsid w:val="433B52D2"/>
    <w:rsid w:val="43690154"/>
    <w:rsid w:val="43ED7E14"/>
    <w:rsid w:val="441867FA"/>
    <w:rsid w:val="4434078E"/>
    <w:rsid w:val="44C635B7"/>
    <w:rsid w:val="44E2230F"/>
    <w:rsid w:val="46C2249B"/>
    <w:rsid w:val="46CD5436"/>
    <w:rsid w:val="46E11476"/>
    <w:rsid w:val="46F9107C"/>
    <w:rsid w:val="4881717A"/>
    <w:rsid w:val="48B51347"/>
    <w:rsid w:val="4A1B2E89"/>
    <w:rsid w:val="4A55216A"/>
    <w:rsid w:val="4AEE728F"/>
    <w:rsid w:val="4B0E65C7"/>
    <w:rsid w:val="4BFD2870"/>
    <w:rsid w:val="4C4F4283"/>
    <w:rsid w:val="4D2907E5"/>
    <w:rsid w:val="4D4C56FF"/>
    <w:rsid w:val="4DC43E92"/>
    <w:rsid w:val="4E28048D"/>
    <w:rsid w:val="4ECC5EC5"/>
    <w:rsid w:val="4FE0696A"/>
    <w:rsid w:val="50D34630"/>
    <w:rsid w:val="50F76058"/>
    <w:rsid w:val="50F91B2C"/>
    <w:rsid w:val="50FE6375"/>
    <w:rsid w:val="51FD19E1"/>
    <w:rsid w:val="52250A31"/>
    <w:rsid w:val="528F2AA6"/>
    <w:rsid w:val="53773584"/>
    <w:rsid w:val="55673508"/>
    <w:rsid w:val="56FE7A11"/>
    <w:rsid w:val="57FCC004"/>
    <w:rsid w:val="59595A6F"/>
    <w:rsid w:val="599330CA"/>
    <w:rsid w:val="59A60DC8"/>
    <w:rsid w:val="5B0D23FC"/>
    <w:rsid w:val="5B6C0F28"/>
    <w:rsid w:val="5D4F42E6"/>
    <w:rsid w:val="5DB076C2"/>
    <w:rsid w:val="5E036AA4"/>
    <w:rsid w:val="5EE97738"/>
    <w:rsid w:val="5F76F0C1"/>
    <w:rsid w:val="5FF371E7"/>
    <w:rsid w:val="600865E8"/>
    <w:rsid w:val="603B6C1D"/>
    <w:rsid w:val="60D5009F"/>
    <w:rsid w:val="619D08BC"/>
    <w:rsid w:val="6261716A"/>
    <w:rsid w:val="6324384D"/>
    <w:rsid w:val="63B94D45"/>
    <w:rsid w:val="64306D81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F3256F"/>
    <w:rsid w:val="6C7A66FE"/>
    <w:rsid w:val="6CE7018A"/>
    <w:rsid w:val="6D08690D"/>
    <w:rsid w:val="6DA15568"/>
    <w:rsid w:val="6E3E3F2D"/>
    <w:rsid w:val="6ED8795F"/>
    <w:rsid w:val="70D86EB2"/>
    <w:rsid w:val="715B2F02"/>
    <w:rsid w:val="72F13750"/>
    <w:rsid w:val="730F557A"/>
    <w:rsid w:val="748C1146"/>
    <w:rsid w:val="75A62CFF"/>
    <w:rsid w:val="76A548F2"/>
    <w:rsid w:val="7765772E"/>
    <w:rsid w:val="77867685"/>
    <w:rsid w:val="77F04540"/>
    <w:rsid w:val="781F36B6"/>
    <w:rsid w:val="78ED5A1E"/>
    <w:rsid w:val="790627AD"/>
    <w:rsid w:val="7ABA7609"/>
    <w:rsid w:val="7ADC59FA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autoRedefine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5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autoRedefine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autoRedefine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autoRedefine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1038</Words>
  <Characters>1121</Characters>
  <Lines>8</Lines>
  <Paragraphs>2</Paragraphs>
  <TotalTime>6</TotalTime>
  <ScaleCrop>false</ScaleCrop>
  <LinksUpToDate>false</LinksUpToDate>
  <CharactersWithSpaces>1124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2024-04-08T12:09:30Z</dcterms:modified>
  <dc:title>财政支出绩效评价报告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198557A26C83406CA6ECA1D5A128AFF0</vt:lpwstr>
  </property>
</Properties>
</file>