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海口市第三人民医院江东新院区周边配套路网项目</w:t>
      </w:r>
    </w:p>
    <w:p>
      <w:pPr>
        <w:pStyle w:val="9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/>
    <w:p>
      <w:pPr>
        <w:pStyle w:val="2"/>
        <w:ind w:firstLine="640"/>
      </w:pPr>
    </w:p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autoSpaceDE w:val="0"/>
        <w:adjustRightInd w:val="0"/>
        <w:snapToGrid w:val="0"/>
        <w:spacing w:line="576" w:lineRule="exact"/>
        <w:rPr>
          <w:rFonts w:hint="eastAsia" w:ascii="仿宋" w:hAnsi="仿宋" w:eastAsia="仿宋_GB2312" w:cs="仿宋"/>
          <w:szCs w:val="32"/>
          <w:lang w:eastAsia="zh-CN"/>
        </w:rPr>
      </w:pPr>
      <w:r>
        <w:rPr>
          <w:rFonts w:hint="eastAsia"/>
        </w:rPr>
        <w:t>海口市第三人民医院江东新院区周边配套路网项目业主为</w:t>
      </w:r>
      <w:r>
        <w:rPr>
          <w:rFonts w:hint="eastAsia"/>
          <w:lang w:val="en-US" w:eastAsia="zh-CN"/>
        </w:rPr>
        <w:t>海口市恒慧基础建设有限公司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变更前名称：</w:t>
      </w:r>
      <w:r>
        <w:rPr>
          <w:rFonts w:hint="eastAsia"/>
        </w:rPr>
        <w:t>海口江东新区基础建设有限公司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，项目位于海南省重点园区海口江东新区，包含陶营西路东段、东营西二路南段2条道路，红线宽度12-25m；全长约1.9km，工程建设内容包括道路工程、给水工程、排水工程、交通工程、缆线管廊工程等</w:t>
      </w:r>
      <w:r>
        <w:rPr>
          <w:rFonts w:hint="eastAsia" w:hAnsi="Calibri" w:cs="仿宋_GB2312"/>
          <w:color w:val="333333"/>
          <w:spacing w:val="8"/>
          <w:kern w:val="0"/>
          <w:szCs w:val="32"/>
          <w:shd w:val="clear" w:color="auto" w:fill="FFFFFF"/>
          <w:lang w:bidi="ar"/>
        </w:rPr>
        <w:t>。</w:t>
      </w:r>
      <w:r>
        <w:rPr>
          <w:rFonts w:hint="eastAsia"/>
        </w:rPr>
        <w:t>项目概算总投资</w:t>
      </w:r>
      <w:r>
        <w:rPr>
          <w:rFonts w:hint="eastAsia"/>
          <w:lang w:val="en-US" w:eastAsia="zh-CN"/>
        </w:rPr>
        <w:t>30894</w:t>
      </w:r>
      <w:r>
        <w:rPr>
          <w:rFonts w:hint="eastAsia"/>
        </w:rPr>
        <w:t>万元</w:t>
      </w:r>
      <w:r>
        <w:rPr>
          <w:rFonts w:hint="eastAsia"/>
          <w:lang w:eastAsia="zh-CN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（二）项目资金情况</w:t>
      </w:r>
    </w:p>
    <w:p>
      <w:pPr>
        <w:spacing w:line="500" w:lineRule="exact"/>
        <w:rPr>
          <w:rFonts w:hint="default" w:eastAsia="仿宋_GB2312"/>
          <w:lang w:val="en-US" w:eastAsia="zh-CN"/>
        </w:rPr>
      </w:pPr>
      <w:r>
        <w:rPr>
          <w:rFonts w:hint="eastAsia"/>
        </w:rPr>
        <w:t>该项目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共到位</w:t>
      </w:r>
      <w:r>
        <w:rPr>
          <w:rFonts w:hint="eastAsia"/>
          <w:lang w:val="en-US" w:eastAsia="zh-CN"/>
        </w:rPr>
        <w:t>资金1900</w:t>
      </w:r>
      <w:r>
        <w:rPr>
          <w:rFonts w:hint="eastAsia"/>
        </w:rPr>
        <w:t>万元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其中2023年地债资金1900万元。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</w:t>
      </w:r>
    </w:p>
    <w:p>
      <w:pPr>
        <w:spacing w:line="500" w:lineRule="exact"/>
      </w:pPr>
      <w:r>
        <w:rPr>
          <w:rFonts w:hint="eastAsia"/>
        </w:rPr>
        <w:t>该项目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共到位</w:t>
      </w:r>
      <w:r>
        <w:rPr>
          <w:rFonts w:hint="eastAsia"/>
          <w:lang w:val="en-US" w:eastAsia="zh-CN"/>
        </w:rPr>
        <w:t>资金1900</w:t>
      </w:r>
      <w:r>
        <w:rPr>
          <w:rFonts w:hint="eastAsia"/>
        </w:rPr>
        <w:t>万元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其中2023年地债资金1900万元</w:t>
      </w:r>
      <w:r>
        <w:rPr>
          <w:rFonts w:hint="eastAsia"/>
        </w:rPr>
        <w:t>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pPr>
        <w:spacing w:line="500" w:lineRule="exact"/>
        <w:rPr>
          <w:lang w:bidi="ar"/>
        </w:rPr>
      </w:pPr>
      <w:r>
        <w:rPr>
          <w:rFonts w:hint="eastAsia"/>
          <w:lang w:bidi="ar"/>
        </w:rPr>
        <w:t>项目年度目标为：完成年度固投1</w:t>
      </w:r>
      <w:r>
        <w:rPr>
          <w:rFonts w:hint="eastAsia"/>
          <w:lang w:val="en-US" w:eastAsia="zh-CN" w:bidi="ar"/>
        </w:rPr>
        <w:t>600</w:t>
      </w:r>
      <w:r>
        <w:rPr>
          <w:rFonts w:hint="eastAsia"/>
          <w:lang w:bidi="ar"/>
        </w:rPr>
        <w:t>万元。</w:t>
      </w:r>
      <w:r>
        <w:rPr>
          <w:rFonts w:hint="eastAsia"/>
          <w:lang w:bidi="ar"/>
        </w:rPr>
        <w:tab/>
      </w:r>
    </w:p>
    <w:p>
      <w:pPr>
        <w:spacing w:line="500" w:lineRule="exact"/>
      </w:pPr>
      <w:r>
        <w:rPr>
          <w:rFonts w:hint="eastAsia"/>
          <w:lang w:bidi="ar"/>
        </w:rPr>
        <w:t>项目年度完成情况：根据计划要求完成年度固投</w:t>
      </w:r>
      <w:r>
        <w:rPr>
          <w:rFonts w:hint="eastAsia"/>
          <w:lang w:val="en-US" w:eastAsia="zh-CN" w:bidi="ar"/>
        </w:rPr>
        <w:t>1820</w:t>
      </w:r>
      <w:r>
        <w:rPr>
          <w:rFonts w:hint="eastAsia"/>
          <w:lang w:bidi="ar"/>
        </w:rPr>
        <w:t>万元</w:t>
      </w:r>
      <w:r>
        <w:rPr>
          <w:rFonts w:hint="eastAsia"/>
        </w:rPr>
        <w:t>。严格执行预算，确保质量，未发生安全事故，保质保量完成任务。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  <w:r>
        <w:t xml:space="preserve"> </w:t>
      </w:r>
    </w:p>
    <w:p>
      <w:pPr>
        <w:spacing w:line="500" w:lineRule="exact"/>
      </w:pPr>
      <w:r>
        <w:rPr>
          <w:rFonts w:hint="eastAsia"/>
        </w:rPr>
        <w:t>目标：</w:t>
      </w:r>
      <w:r>
        <w:rPr>
          <w:rFonts w:hint="eastAsia"/>
          <w:lang w:val="en-US" w:eastAsia="zh-CN"/>
        </w:rPr>
        <w:t>完成年度固投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1600万元</w:t>
      </w:r>
      <w:r>
        <w:rPr>
          <w:rFonts w:hint="eastAsia"/>
        </w:rPr>
        <w:t>。</w:t>
      </w:r>
    </w:p>
    <w:p>
      <w:pPr>
        <w:spacing w:line="500" w:lineRule="exact"/>
        <w:rPr>
          <w:rFonts w:hint="eastAsia" w:eastAsia="仿宋_GB2312"/>
          <w:lang w:eastAsia="zh-CN" w:bidi="ar"/>
        </w:rPr>
      </w:pPr>
      <w:r>
        <w:rPr>
          <w:rFonts w:hint="eastAsia"/>
        </w:rPr>
        <w:t>完成情况：</w:t>
      </w:r>
      <w:r>
        <w:rPr>
          <w:rFonts w:hint="eastAsia"/>
          <w:lang w:bidi="ar"/>
        </w:rPr>
        <w:t>根据计划要求完成</w:t>
      </w:r>
      <w:r>
        <w:rPr>
          <w:rFonts w:hint="eastAsia"/>
          <w:lang w:val="en-US" w:eastAsia="zh-CN" w:bidi="ar"/>
        </w:rPr>
        <w:t>年度固投</w:t>
      </w:r>
      <w:r>
        <w:rPr>
          <w:rFonts w:hint="eastAsia"/>
          <w:lang w:val="en-US" w:eastAsia="zh-CN"/>
        </w:rPr>
        <w:t>1820万元</w:t>
      </w:r>
      <w:r>
        <w:rPr>
          <w:rFonts w:hint="eastAsia"/>
          <w:lang w:eastAsia="zh-CN" w:bidi="ar"/>
        </w:rPr>
        <w:t>，</w:t>
      </w:r>
      <w:r>
        <w:rPr>
          <w:rFonts w:hint="eastAsia"/>
        </w:rPr>
        <w:t>完成目标绩效</w:t>
      </w:r>
      <w:r>
        <w:rPr>
          <w:rFonts w:hint="eastAsia"/>
          <w:lang w:eastAsia="zh-CN"/>
        </w:rPr>
        <w:t>。</w:t>
      </w:r>
    </w:p>
    <w:p>
      <w:pPr>
        <w:spacing w:line="500" w:lineRule="exact"/>
      </w:pPr>
      <w:r>
        <w:rPr>
          <w:rFonts w:hint="eastAsia"/>
        </w:rPr>
        <w:t xml:space="preserve">2.效益指标： 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30</w:t>
      </w:r>
      <w:r>
        <w:rPr>
          <w:rFonts w:hint="eastAsia"/>
        </w:rPr>
        <w:t>00人。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完成情况：项目周边群众收益，受益人数已超</w:t>
      </w:r>
      <w:r>
        <w:rPr>
          <w:rFonts w:hint="eastAsia"/>
          <w:lang w:val="en-US" w:eastAsia="zh-CN"/>
        </w:rPr>
        <w:t>30</w:t>
      </w:r>
      <w:r>
        <w:rPr>
          <w:rFonts w:hint="eastAsia"/>
        </w:rPr>
        <w:t>00人，完成目标绩效。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</w:p>
    <w:p>
      <w:pPr>
        <w:pStyle w:val="2"/>
      </w:pPr>
      <w:r>
        <w:rPr>
          <w:rFonts w:hint="eastAsia"/>
        </w:rPr>
        <w:t>完成情况：项目安全事故发生数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pPr>
        <w:spacing w:line="500" w:lineRule="exact"/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.成本指标：</w:t>
      </w:r>
    </w:p>
    <w:p>
      <w:pPr>
        <w:spacing w:line="500" w:lineRule="exact"/>
      </w:pPr>
      <w:r>
        <w:rPr>
          <w:rFonts w:hint="eastAsia"/>
        </w:rPr>
        <w:t>目标：超概算项目比例≤5%。</w:t>
      </w:r>
    </w:p>
    <w:p>
      <w:pPr>
        <w:spacing w:line="500" w:lineRule="exact"/>
      </w:pPr>
      <w:r>
        <w:rPr>
          <w:rFonts w:hint="eastAsia"/>
        </w:rPr>
        <w:t>完成情况：未超出概算批复,完成目标绩效。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  <w:lang w:bidi="ar"/>
        </w:rPr>
        <w:t>该年度</w:t>
      </w:r>
      <w:r>
        <w:rPr>
          <w:rFonts w:hint="eastAsia"/>
        </w:rPr>
        <w:t>海口市第三人民医院江东新院区周边配套路网</w:t>
      </w:r>
      <w:r>
        <w:rPr>
          <w:rFonts w:hint="eastAsia"/>
          <w:lang w:bidi="ar"/>
        </w:rPr>
        <w:t>项目整体效益目标已按时完成，绩效自评分数</w:t>
      </w:r>
      <w:r>
        <w:rPr>
          <w:rFonts w:hint="eastAsia"/>
          <w:lang w:val="en-US" w:eastAsia="zh-CN" w:bidi="ar"/>
        </w:rPr>
        <w:t>100</w:t>
      </w:r>
      <w:r>
        <w:rPr>
          <w:rFonts w:hint="eastAsia"/>
          <w:lang w:bidi="ar"/>
        </w:rPr>
        <w:t>分，</w:t>
      </w:r>
      <w:bookmarkStart w:id="0" w:name="_Hlk129599296"/>
      <w:r>
        <w:rPr>
          <w:rFonts w:hint="eastAsia"/>
          <w:lang w:bidi="ar"/>
        </w:rPr>
        <w:t>自评等级优</w:t>
      </w:r>
      <w:bookmarkEnd w:id="0"/>
      <w:r>
        <w:rPr>
          <w:rFonts w:hint="eastAsia"/>
          <w:lang w:bidi="ar"/>
        </w:rPr>
        <w:t>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</w:t>
      </w:r>
      <w:bookmarkStart w:id="1" w:name="_GoBack"/>
      <w:bookmarkEnd w:id="1"/>
      <w:r>
        <w:rPr>
          <w:rFonts w:hint="eastAsia"/>
        </w:rPr>
        <w:t>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spacing w:line="500" w:lineRule="exact"/>
      </w:pPr>
    </w:p>
    <w:p>
      <w:pPr>
        <w:pStyle w:val="2"/>
        <w:ind w:firstLine="640"/>
      </w:pPr>
    </w:p>
    <w:p>
      <w:pPr>
        <w:pStyle w:val="2"/>
        <w:ind w:firstLine="640"/>
        <w:jc w:val="center"/>
      </w:pPr>
      <w:r>
        <w:rPr>
          <w:rFonts w:hint="eastAsia"/>
        </w:rPr>
        <w:t xml:space="preserve">      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trackRevisions w:val="1"/>
  <w:documentProtection w:enforcement="0"/>
  <w:defaultTabStop w:val="420"/>
  <w:drawingGridHorizontalSpacing w:val="150"/>
  <w:drawingGridVerticalSpacing w:val="5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732DA"/>
    <w:rsid w:val="00075CDC"/>
    <w:rsid w:val="000A21A3"/>
    <w:rsid w:val="000B1E8F"/>
    <w:rsid w:val="000B7519"/>
    <w:rsid w:val="00103D16"/>
    <w:rsid w:val="001214D7"/>
    <w:rsid w:val="00136702"/>
    <w:rsid w:val="00164D84"/>
    <w:rsid w:val="00187036"/>
    <w:rsid w:val="001B795B"/>
    <w:rsid w:val="001C728E"/>
    <w:rsid w:val="001D628A"/>
    <w:rsid w:val="00207BE1"/>
    <w:rsid w:val="00211581"/>
    <w:rsid w:val="00250053"/>
    <w:rsid w:val="00276CCC"/>
    <w:rsid w:val="00287C3C"/>
    <w:rsid w:val="002904E7"/>
    <w:rsid w:val="002D0A98"/>
    <w:rsid w:val="002D522A"/>
    <w:rsid w:val="003370F3"/>
    <w:rsid w:val="003521BA"/>
    <w:rsid w:val="00371982"/>
    <w:rsid w:val="00384025"/>
    <w:rsid w:val="0039432D"/>
    <w:rsid w:val="003C6374"/>
    <w:rsid w:val="00415F7C"/>
    <w:rsid w:val="004531B5"/>
    <w:rsid w:val="00474401"/>
    <w:rsid w:val="0047668B"/>
    <w:rsid w:val="004C5CEC"/>
    <w:rsid w:val="004D5A71"/>
    <w:rsid w:val="004F293B"/>
    <w:rsid w:val="00503C12"/>
    <w:rsid w:val="00540CAF"/>
    <w:rsid w:val="00560E3E"/>
    <w:rsid w:val="005671CD"/>
    <w:rsid w:val="00572153"/>
    <w:rsid w:val="00746BD0"/>
    <w:rsid w:val="00747904"/>
    <w:rsid w:val="00785AF7"/>
    <w:rsid w:val="007873EA"/>
    <w:rsid w:val="007A1DC2"/>
    <w:rsid w:val="007C1C0B"/>
    <w:rsid w:val="007E546A"/>
    <w:rsid w:val="008A20F2"/>
    <w:rsid w:val="008A22FA"/>
    <w:rsid w:val="009739D9"/>
    <w:rsid w:val="00A1169D"/>
    <w:rsid w:val="00A50D72"/>
    <w:rsid w:val="00A92E5C"/>
    <w:rsid w:val="00AA2B82"/>
    <w:rsid w:val="00B13839"/>
    <w:rsid w:val="00B23861"/>
    <w:rsid w:val="00C55880"/>
    <w:rsid w:val="00C7727E"/>
    <w:rsid w:val="00CC152C"/>
    <w:rsid w:val="00CE3824"/>
    <w:rsid w:val="00CE55E9"/>
    <w:rsid w:val="00D0162C"/>
    <w:rsid w:val="00D200DC"/>
    <w:rsid w:val="00D61B1A"/>
    <w:rsid w:val="00D63908"/>
    <w:rsid w:val="00D72958"/>
    <w:rsid w:val="00D82388"/>
    <w:rsid w:val="00DB429F"/>
    <w:rsid w:val="00DD09A2"/>
    <w:rsid w:val="00DD16E3"/>
    <w:rsid w:val="00DD7CDE"/>
    <w:rsid w:val="00DF57C5"/>
    <w:rsid w:val="00ED6D53"/>
    <w:rsid w:val="00F22AE2"/>
    <w:rsid w:val="00F437B4"/>
    <w:rsid w:val="00F57F82"/>
    <w:rsid w:val="00F64E54"/>
    <w:rsid w:val="00F70D8F"/>
    <w:rsid w:val="00F75963"/>
    <w:rsid w:val="00FA357A"/>
    <w:rsid w:val="029E5817"/>
    <w:rsid w:val="02C86339"/>
    <w:rsid w:val="037D0BC8"/>
    <w:rsid w:val="04076DA7"/>
    <w:rsid w:val="04E21B2D"/>
    <w:rsid w:val="055025D2"/>
    <w:rsid w:val="07FA0264"/>
    <w:rsid w:val="0845082D"/>
    <w:rsid w:val="0848123F"/>
    <w:rsid w:val="08A1260D"/>
    <w:rsid w:val="096A663E"/>
    <w:rsid w:val="09BD6DA5"/>
    <w:rsid w:val="09E965F2"/>
    <w:rsid w:val="0A4A3A37"/>
    <w:rsid w:val="0A87714B"/>
    <w:rsid w:val="0EC63FED"/>
    <w:rsid w:val="0EFB5A0A"/>
    <w:rsid w:val="0FFFAAC1"/>
    <w:rsid w:val="109675FA"/>
    <w:rsid w:val="11D7196B"/>
    <w:rsid w:val="12CA3F9C"/>
    <w:rsid w:val="139840D3"/>
    <w:rsid w:val="143E091F"/>
    <w:rsid w:val="14865FC8"/>
    <w:rsid w:val="150C2DB0"/>
    <w:rsid w:val="1697108B"/>
    <w:rsid w:val="17C05E32"/>
    <w:rsid w:val="18F83E24"/>
    <w:rsid w:val="1CE94882"/>
    <w:rsid w:val="1E761F05"/>
    <w:rsid w:val="1FC7205C"/>
    <w:rsid w:val="20BD1B38"/>
    <w:rsid w:val="217B1617"/>
    <w:rsid w:val="21B57B1D"/>
    <w:rsid w:val="21DE5A03"/>
    <w:rsid w:val="21F00DBA"/>
    <w:rsid w:val="228B3D05"/>
    <w:rsid w:val="25FE8923"/>
    <w:rsid w:val="27F34A6B"/>
    <w:rsid w:val="286D5E37"/>
    <w:rsid w:val="28723986"/>
    <w:rsid w:val="28E373DF"/>
    <w:rsid w:val="29C72C34"/>
    <w:rsid w:val="2A94137D"/>
    <w:rsid w:val="2CBB425E"/>
    <w:rsid w:val="2D5F6EC5"/>
    <w:rsid w:val="2D8B4B0D"/>
    <w:rsid w:val="2F6F4467"/>
    <w:rsid w:val="2FAD4FCA"/>
    <w:rsid w:val="3104532E"/>
    <w:rsid w:val="33E86A4E"/>
    <w:rsid w:val="355571ED"/>
    <w:rsid w:val="368D368C"/>
    <w:rsid w:val="36B95C8B"/>
    <w:rsid w:val="38EF7AD8"/>
    <w:rsid w:val="3A0C0C54"/>
    <w:rsid w:val="3A431E7C"/>
    <w:rsid w:val="3C5E2926"/>
    <w:rsid w:val="3C7019B2"/>
    <w:rsid w:val="3D7E7C9E"/>
    <w:rsid w:val="3D8011F0"/>
    <w:rsid w:val="3DBBD6B4"/>
    <w:rsid w:val="3E1672E6"/>
    <w:rsid w:val="3E6918DD"/>
    <w:rsid w:val="3F5579C2"/>
    <w:rsid w:val="40950555"/>
    <w:rsid w:val="414B1A38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6E11476"/>
    <w:rsid w:val="46F9107C"/>
    <w:rsid w:val="4881717A"/>
    <w:rsid w:val="48B51347"/>
    <w:rsid w:val="4A1B2E89"/>
    <w:rsid w:val="4A55216A"/>
    <w:rsid w:val="4B0E65C7"/>
    <w:rsid w:val="4BFD2870"/>
    <w:rsid w:val="4C4F4283"/>
    <w:rsid w:val="4D2907E5"/>
    <w:rsid w:val="4D4C56FF"/>
    <w:rsid w:val="4DC43E92"/>
    <w:rsid w:val="4FE0696A"/>
    <w:rsid w:val="50D34630"/>
    <w:rsid w:val="50F76058"/>
    <w:rsid w:val="50F91B2C"/>
    <w:rsid w:val="50FE6375"/>
    <w:rsid w:val="51FD19E1"/>
    <w:rsid w:val="528F2AA6"/>
    <w:rsid w:val="53773584"/>
    <w:rsid w:val="55673508"/>
    <w:rsid w:val="56FE7A11"/>
    <w:rsid w:val="57FCC004"/>
    <w:rsid w:val="59595A6F"/>
    <w:rsid w:val="599330CA"/>
    <w:rsid w:val="59A60DC8"/>
    <w:rsid w:val="5B0D23FC"/>
    <w:rsid w:val="5B0D3F43"/>
    <w:rsid w:val="5B6C0F28"/>
    <w:rsid w:val="5C322EF6"/>
    <w:rsid w:val="5DB076C2"/>
    <w:rsid w:val="5F76F0C1"/>
    <w:rsid w:val="5FBB43A9"/>
    <w:rsid w:val="5FF371E7"/>
    <w:rsid w:val="600865E8"/>
    <w:rsid w:val="603B6C1D"/>
    <w:rsid w:val="60D5009F"/>
    <w:rsid w:val="619D08BC"/>
    <w:rsid w:val="6261716A"/>
    <w:rsid w:val="6324384D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F3256F"/>
    <w:rsid w:val="6CE7018A"/>
    <w:rsid w:val="6D08690D"/>
    <w:rsid w:val="6DA15568"/>
    <w:rsid w:val="6E3E3F2D"/>
    <w:rsid w:val="6F504799"/>
    <w:rsid w:val="70D86EB2"/>
    <w:rsid w:val="715B2F02"/>
    <w:rsid w:val="72F13750"/>
    <w:rsid w:val="730F557A"/>
    <w:rsid w:val="740769F9"/>
    <w:rsid w:val="748C1146"/>
    <w:rsid w:val="74BC02C2"/>
    <w:rsid w:val="75A62CFF"/>
    <w:rsid w:val="76A548F2"/>
    <w:rsid w:val="76CC6371"/>
    <w:rsid w:val="7765772E"/>
    <w:rsid w:val="77867685"/>
    <w:rsid w:val="77D520F2"/>
    <w:rsid w:val="77F04540"/>
    <w:rsid w:val="781F36B6"/>
    <w:rsid w:val="78ED5A1E"/>
    <w:rsid w:val="790627AD"/>
    <w:rsid w:val="7ABA7609"/>
    <w:rsid w:val="7ADC59FA"/>
    <w:rsid w:val="7BB71159"/>
    <w:rsid w:val="7C1A2432"/>
    <w:rsid w:val="7CD836C4"/>
    <w:rsid w:val="7D6742C1"/>
    <w:rsid w:val="7DBDD65E"/>
    <w:rsid w:val="7DDD794F"/>
    <w:rsid w:val="7DE94201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7"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alloon Text"/>
    <w:basedOn w:val="1"/>
    <w:link w:val="14"/>
    <w:qFormat/>
    <w:uiPriority w:val="0"/>
    <w:rPr>
      <w:sz w:val="18"/>
      <w:szCs w:val="18"/>
    </w:rPr>
  </w:style>
  <w:style w:type="paragraph" w:styleId="7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itle"/>
    <w:basedOn w:val="1"/>
    <w:next w:val="1"/>
    <w:link w:val="16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2">
    <w:name w:val="页脚 字符"/>
    <w:basedOn w:val="11"/>
    <w:link w:val="7"/>
    <w:qFormat/>
    <w:uiPriority w:val="99"/>
    <w:rPr>
      <w:rFonts w:eastAsia="仿宋_GB2312"/>
      <w:kern w:val="2"/>
      <w:sz w:val="18"/>
      <w:szCs w:val="18"/>
    </w:rPr>
  </w:style>
  <w:style w:type="character" w:customStyle="1" w:styleId="13">
    <w:name w:val="页眉 字符"/>
    <w:basedOn w:val="11"/>
    <w:link w:val="8"/>
    <w:qFormat/>
    <w:uiPriority w:val="0"/>
    <w:rPr>
      <w:rFonts w:eastAsia="仿宋_GB2312"/>
      <w:kern w:val="2"/>
      <w:sz w:val="18"/>
      <w:szCs w:val="18"/>
    </w:rPr>
  </w:style>
  <w:style w:type="character" w:customStyle="1" w:styleId="14">
    <w:name w:val="批注框文本 字符"/>
    <w:basedOn w:val="11"/>
    <w:link w:val="6"/>
    <w:qFormat/>
    <w:uiPriority w:val="0"/>
    <w:rPr>
      <w:rFonts w:eastAsia="仿宋_GB2312"/>
      <w:kern w:val="2"/>
      <w:sz w:val="18"/>
      <w:szCs w:val="18"/>
    </w:rPr>
  </w:style>
  <w:style w:type="paragraph" w:styleId="15">
    <w:name w:val="List Paragraph"/>
    <w:basedOn w:val="1"/>
    <w:qFormat/>
    <w:uiPriority w:val="99"/>
    <w:pPr>
      <w:ind w:firstLine="420"/>
    </w:pPr>
  </w:style>
  <w:style w:type="character" w:customStyle="1" w:styleId="16">
    <w:name w:val="标题 字符"/>
    <w:basedOn w:val="11"/>
    <w:link w:val="9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7">
    <w:name w:val="标题 1 字符"/>
    <w:basedOn w:val="11"/>
    <w:link w:val="3"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1081</Words>
  <Characters>1161</Characters>
  <Lines>8</Lines>
  <Paragraphs>2</Paragraphs>
  <TotalTime>4</TotalTime>
  <ScaleCrop>false</ScaleCrop>
  <LinksUpToDate>false</LinksUpToDate>
  <CharactersWithSpaces>1199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2024-04-08T13:20:32Z</dcterms:modified>
  <dc:title>财政支出绩效评价报告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198557A26C83406CA6ECA1D5A128AFF0</vt:lpwstr>
  </property>
</Properties>
</file>