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B3DB3">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firstLineChars="0"/>
        <w:jc w:val="left"/>
        <w:textAlignment w:val="auto"/>
        <w:outlineLvl w:val="0"/>
        <w:rPr>
          <w:rFonts w:hint="default" w:asciiTheme="minorEastAsia" w:hAnsiTheme="minorEastAsia" w:eastAsiaTheme="minorEastAsia" w:cstheme="minorEastAsia"/>
          <w:b/>
          <w:color w:val="auto"/>
          <w:sz w:val="21"/>
          <w:szCs w:val="21"/>
          <w:lang w:val="en-US" w:eastAsia="zh-CN"/>
        </w:rPr>
      </w:pPr>
    </w:p>
    <w:p w14:paraId="5735286C">
      <w:pPr>
        <w:pStyle w:val="1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bookmarkStart w:id="98" w:name="_GoBack"/>
    </w:p>
    <w:bookmarkEnd w:id="98"/>
    <w:p w14:paraId="1655AE40">
      <w:pPr>
        <w:pStyle w:val="1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52"/>
          <w:szCs w:val="52"/>
        </w:rPr>
      </w:pPr>
    </w:p>
    <w:p w14:paraId="5A8093C4">
      <w:pPr>
        <w:pageBreakBefore w:val="0"/>
        <w:wordWrap/>
        <w:topLinePunct w:val="0"/>
        <w:bidi w:val="0"/>
        <w:adjustRightInd w:val="0"/>
        <w:snapToGrid w:val="0"/>
        <w:spacing w:line="360" w:lineRule="auto"/>
        <w:jc w:val="center"/>
        <w:textAlignment w:val="auto"/>
        <w:rPr>
          <w:rFonts w:hint="default" w:asciiTheme="minorEastAsia" w:hAnsiTheme="minorEastAsia" w:eastAsiaTheme="minorEastAsia" w:cstheme="minorEastAsia"/>
          <w:b/>
          <w:color w:val="auto"/>
          <w:sz w:val="52"/>
          <w:szCs w:val="52"/>
          <w:lang w:val="en-US" w:eastAsia="zh-CN"/>
        </w:rPr>
      </w:pPr>
      <w:r>
        <w:rPr>
          <w:rFonts w:hint="eastAsia" w:asciiTheme="minorEastAsia" w:hAnsiTheme="minorEastAsia" w:eastAsiaTheme="minorEastAsia" w:cstheme="minorEastAsia"/>
          <w:b/>
          <w:color w:val="auto"/>
          <w:sz w:val="52"/>
          <w:szCs w:val="52"/>
        </w:rPr>
        <w:t>海口</w:t>
      </w:r>
      <w:r>
        <w:rPr>
          <w:rFonts w:hint="eastAsia" w:asciiTheme="minorEastAsia" w:hAnsiTheme="minorEastAsia" w:eastAsiaTheme="minorEastAsia" w:cstheme="minorEastAsia"/>
          <w:b/>
          <w:color w:val="auto"/>
          <w:sz w:val="52"/>
          <w:szCs w:val="52"/>
          <w:lang w:val="en-US" w:eastAsia="zh-CN"/>
        </w:rPr>
        <w:t>江东新区管理局</w:t>
      </w:r>
    </w:p>
    <w:p w14:paraId="3042FA92">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采购</w:t>
      </w:r>
      <w:r>
        <w:rPr>
          <w:rFonts w:hint="eastAsia" w:asciiTheme="minorEastAsia" w:hAnsiTheme="minorEastAsia" w:eastAsiaTheme="minorEastAsia" w:cstheme="minorEastAsia"/>
          <w:b/>
          <w:color w:val="auto"/>
          <w:sz w:val="52"/>
          <w:szCs w:val="52"/>
          <w:lang w:val="en-US" w:eastAsia="zh-CN"/>
        </w:rPr>
        <w:t>比选</w:t>
      </w:r>
      <w:r>
        <w:rPr>
          <w:rFonts w:hint="eastAsia" w:asciiTheme="minorEastAsia" w:hAnsiTheme="minorEastAsia" w:eastAsiaTheme="minorEastAsia" w:cstheme="minorEastAsia"/>
          <w:b/>
          <w:color w:val="auto"/>
          <w:sz w:val="52"/>
          <w:szCs w:val="52"/>
        </w:rPr>
        <w:t>文件</w:t>
      </w:r>
    </w:p>
    <w:p w14:paraId="5562D70E">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21"/>
          <w:szCs w:val="21"/>
        </w:rPr>
      </w:pPr>
    </w:p>
    <w:p w14:paraId="63E1DE2E">
      <w:pPr>
        <w:pageBreakBefore w:val="0"/>
        <w:wordWrap/>
        <w:topLinePunct w:val="0"/>
        <w:bidi w:val="0"/>
        <w:spacing w:line="360" w:lineRule="auto"/>
        <w:textAlignment w:val="auto"/>
        <w:rPr>
          <w:color w:val="auto"/>
          <w:sz w:val="21"/>
          <w:szCs w:val="21"/>
        </w:rPr>
      </w:pPr>
    </w:p>
    <w:p w14:paraId="4FA8F27F">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14:paraId="16D49A0A">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14:paraId="4DE13076">
      <w:pPr>
        <w:pStyle w:val="11"/>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14:paraId="1666D5F0">
      <w:pPr>
        <w:pStyle w:val="11"/>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highlight w:val="none"/>
          <w:lang w:val="en-US" w:eastAsia="zh-CN"/>
        </w:rPr>
      </w:pPr>
      <w:bookmarkStart w:id="0" w:name="_Toc246825786"/>
      <w:bookmarkStart w:id="1" w:name="_Toc245888257"/>
      <w:bookmarkStart w:id="2" w:name="_Toc245887524"/>
      <w:bookmarkStart w:id="3" w:name="_Toc246826091"/>
      <w:r>
        <w:rPr>
          <w:rFonts w:hint="eastAsia" w:asciiTheme="minorEastAsia" w:hAnsiTheme="minorEastAsia" w:eastAsiaTheme="minorEastAsia" w:cstheme="minorEastAsia"/>
          <w:b/>
          <w:bCs w:val="0"/>
          <w:color w:val="auto"/>
          <w:sz w:val="28"/>
          <w:szCs w:val="28"/>
          <w:highlight w:val="none"/>
        </w:rPr>
        <w:t>项目编号：</w:t>
      </w:r>
      <w:bookmarkEnd w:id="0"/>
      <w:bookmarkEnd w:id="1"/>
      <w:bookmarkEnd w:id="2"/>
      <w:bookmarkEnd w:id="3"/>
      <w:bookmarkStart w:id="4" w:name="_Toc246826092"/>
      <w:bookmarkStart w:id="5" w:name="_Toc246825787"/>
      <w:bookmarkStart w:id="6" w:name="_Toc245888258"/>
      <w:bookmarkStart w:id="7" w:name="_Toc245887525"/>
      <w:r>
        <w:rPr>
          <w:rFonts w:hint="eastAsia" w:asciiTheme="minorEastAsia" w:hAnsiTheme="minorEastAsia" w:eastAsiaTheme="minorEastAsia" w:cstheme="minorEastAsia"/>
          <w:b/>
          <w:bCs w:val="0"/>
          <w:color w:val="auto"/>
          <w:sz w:val="28"/>
          <w:szCs w:val="28"/>
          <w:highlight w:val="none"/>
          <w:lang w:val="en-US" w:eastAsia="zh-CN"/>
        </w:rPr>
        <w:t>zfcg-fw-20241127-002</w:t>
      </w:r>
      <w:r>
        <w:rPr>
          <w:rFonts w:hint="eastAsia" w:asciiTheme="minorEastAsia" w:hAnsiTheme="minorEastAsia" w:eastAsiaTheme="minorEastAsia" w:cstheme="minorEastAsia"/>
          <w:b/>
          <w:bCs w:val="0"/>
          <w:color w:val="auto"/>
          <w:sz w:val="28"/>
          <w:szCs w:val="28"/>
          <w:highlight w:val="none"/>
        </w:rPr>
        <w:t xml:space="preserve"> </w:t>
      </w:r>
    </w:p>
    <w:p w14:paraId="54F8A3DE">
      <w:pPr>
        <w:pStyle w:val="11"/>
        <w:pageBreakBefore w:val="0"/>
        <w:wordWrap/>
        <w:topLinePunct w:val="0"/>
        <w:bidi w:val="0"/>
        <w:spacing w:line="360" w:lineRule="auto"/>
        <w:ind w:left="3360" w:leftChars="931" w:hanging="1405" w:hangingChars="500"/>
        <w:jc w:val="left"/>
        <w:textAlignment w:val="auto"/>
        <w:outlineLvl w:val="0"/>
        <w:rPr>
          <w:rFonts w:hint="default"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项目名称：</w:t>
      </w:r>
      <w:bookmarkEnd w:id="4"/>
      <w:bookmarkEnd w:id="5"/>
      <w:bookmarkEnd w:id="6"/>
      <w:bookmarkEnd w:id="7"/>
      <w:bookmarkStart w:id="8" w:name="_Toc246826094"/>
      <w:bookmarkStart w:id="9" w:name="_Toc246825789"/>
      <w:bookmarkStart w:id="10" w:name="_Toc245887527"/>
      <w:bookmarkStart w:id="11" w:name="_Toc245888260"/>
      <w:r>
        <w:rPr>
          <w:rFonts w:hint="eastAsia" w:asciiTheme="minorEastAsia" w:hAnsiTheme="minorEastAsia" w:eastAsiaTheme="minorEastAsia" w:cstheme="minorEastAsia"/>
          <w:b/>
          <w:color w:val="auto"/>
          <w:sz w:val="28"/>
          <w:szCs w:val="28"/>
        </w:rPr>
        <w:t>海口江东新区政策研究咨询服务项目</w:t>
      </w:r>
    </w:p>
    <w:bookmarkEnd w:id="8"/>
    <w:bookmarkEnd w:id="9"/>
    <w:bookmarkEnd w:id="10"/>
    <w:bookmarkEnd w:id="11"/>
    <w:p w14:paraId="714FA3F9">
      <w:pPr>
        <w:pStyle w:val="11"/>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14:paraId="134AB55E">
      <w:pPr>
        <w:pStyle w:val="11"/>
        <w:pageBreakBefore w:val="0"/>
        <w:wordWrap/>
        <w:topLinePunct w:val="0"/>
        <w:bidi w:val="0"/>
        <w:spacing w:line="360" w:lineRule="auto"/>
        <w:jc w:val="both"/>
        <w:textAlignment w:val="auto"/>
        <w:outlineLvl w:val="0"/>
        <w:rPr>
          <w:rFonts w:asciiTheme="minorEastAsia" w:hAnsiTheme="minorEastAsia" w:eastAsiaTheme="minorEastAsia" w:cstheme="minorEastAsia"/>
          <w:b w:val="0"/>
          <w:bCs/>
          <w:color w:val="auto"/>
          <w:sz w:val="21"/>
          <w:szCs w:val="21"/>
        </w:rPr>
      </w:pPr>
    </w:p>
    <w:p w14:paraId="06E44802">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Cs/>
          <w:color w:val="auto"/>
          <w:sz w:val="21"/>
          <w:szCs w:val="21"/>
        </w:rPr>
      </w:pPr>
    </w:p>
    <w:p w14:paraId="755C04CD">
      <w:pPr>
        <w:pStyle w:val="7"/>
        <w:pageBreakBefore w:val="0"/>
        <w:wordWrap/>
        <w:topLinePunct w:val="0"/>
        <w:bidi w:val="0"/>
        <w:spacing w:line="360" w:lineRule="auto"/>
        <w:textAlignment w:val="auto"/>
        <w:rPr>
          <w:rFonts w:hint="eastAsia" w:asciiTheme="minorEastAsia" w:hAnsiTheme="minorEastAsia" w:eastAsiaTheme="minorEastAsia" w:cstheme="minorEastAsia"/>
          <w:b/>
          <w:color w:val="auto"/>
          <w:spacing w:val="40"/>
          <w:sz w:val="21"/>
          <w:szCs w:val="21"/>
        </w:rPr>
      </w:pPr>
    </w:p>
    <w:p w14:paraId="478C50E1">
      <w:pPr>
        <w:pStyle w:val="31"/>
        <w:pageBreakBefore w:val="0"/>
        <w:wordWrap/>
        <w:topLinePunct w:val="0"/>
        <w:bidi w:val="0"/>
        <w:spacing w:line="360" w:lineRule="auto"/>
        <w:textAlignment w:val="auto"/>
        <w:rPr>
          <w:rFonts w:hint="eastAsia"/>
          <w:color w:val="auto"/>
          <w:sz w:val="21"/>
          <w:szCs w:val="21"/>
        </w:rPr>
      </w:pPr>
    </w:p>
    <w:p w14:paraId="517B31D4">
      <w:pPr>
        <w:pStyle w:val="10"/>
        <w:ind w:left="0" w:leftChars="0" w:firstLine="0" w:firstLineChars="0"/>
        <w:rPr>
          <w:rFonts w:hint="eastAsia"/>
          <w:color w:val="auto"/>
          <w:sz w:val="21"/>
          <w:szCs w:val="21"/>
        </w:rPr>
      </w:pPr>
    </w:p>
    <w:p w14:paraId="76018AD2">
      <w:pPr>
        <w:pStyle w:val="10"/>
        <w:rPr>
          <w:rFonts w:hint="eastAsia"/>
          <w:color w:val="auto"/>
          <w:sz w:val="21"/>
          <w:szCs w:val="21"/>
        </w:rPr>
      </w:pPr>
    </w:p>
    <w:p w14:paraId="6D59DFF6">
      <w:pPr>
        <w:pStyle w:val="10"/>
        <w:rPr>
          <w:rFonts w:hint="eastAsia"/>
          <w:color w:val="auto"/>
          <w:sz w:val="21"/>
          <w:szCs w:val="21"/>
        </w:rPr>
      </w:pPr>
    </w:p>
    <w:p w14:paraId="1601091C">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14:paraId="3CFC4609">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14:paraId="3F13182D">
      <w:pPr>
        <w:pStyle w:val="11"/>
        <w:pageBreakBefore w:val="0"/>
        <w:wordWrap/>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pacing w:val="40"/>
          <w:sz w:val="28"/>
          <w:szCs w:val="28"/>
          <w:lang w:val="en-US" w:eastAsia="zh-CN"/>
        </w:rPr>
        <w:t xml:space="preserve">    2024</w:t>
      </w:r>
      <w:r>
        <w:rPr>
          <w:rFonts w:hint="eastAsia" w:asciiTheme="minorEastAsia" w:hAnsiTheme="minorEastAsia" w:eastAsiaTheme="minorEastAsia" w:cstheme="minorEastAsia"/>
          <w:b/>
          <w:color w:val="auto"/>
          <w:spacing w:val="40"/>
          <w:sz w:val="28"/>
          <w:szCs w:val="28"/>
        </w:rPr>
        <w:t>年</w:t>
      </w:r>
      <w:r>
        <w:rPr>
          <w:rFonts w:hint="eastAsia" w:asciiTheme="minorEastAsia" w:hAnsiTheme="minorEastAsia" w:eastAsiaTheme="minorEastAsia" w:cstheme="minorEastAsia"/>
          <w:b/>
          <w:color w:val="auto"/>
          <w:spacing w:val="40"/>
          <w:sz w:val="28"/>
          <w:szCs w:val="28"/>
          <w:lang w:val="en-US" w:eastAsia="zh-CN"/>
        </w:rPr>
        <w:t xml:space="preserve"> 12 </w:t>
      </w:r>
      <w:r>
        <w:rPr>
          <w:rFonts w:hint="eastAsia" w:asciiTheme="minorEastAsia" w:hAnsiTheme="minorEastAsia" w:eastAsiaTheme="minorEastAsia" w:cstheme="minorEastAsia"/>
          <w:b/>
          <w:color w:val="auto"/>
          <w:spacing w:val="40"/>
          <w:sz w:val="28"/>
          <w:szCs w:val="28"/>
        </w:rPr>
        <w:t xml:space="preserve">月  </w:t>
      </w:r>
    </w:p>
    <w:p w14:paraId="47C4CFC6">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1"/>
          <w:szCs w:val="21"/>
          <w:u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3083EF6">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1"/>
          <w:szCs w:val="21"/>
          <w:u w:val="none"/>
        </w:rPr>
      </w:pPr>
    </w:p>
    <w:p w14:paraId="720DB561">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4"/>
          <w:szCs w:val="24"/>
          <w:u w:val="none"/>
        </w:rPr>
      </w:pPr>
      <w:r>
        <w:rPr>
          <w:rStyle w:val="25"/>
          <w:rFonts w:hint="eastAsia" w:ascii="宋体" w:hAnsi="宋体" w:eastAsia="宋体" w:cs="宋体"/>
          <w:b/>
          <w:bCs w:val="0"/>
          <w:color w:val="auto"/>
          <w:sz w:val="24"/>
          <w:szCs w:val="24"/>
          <w:u w:val="none"/>
        </w:rPr>
        <w:t>目  录</w:t>
      </w:r>
    </w:p>
    <w:p w14:paraId="470BF5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u w:val="none"/>
          <w:lang w:val="en-US" w:eastAsia="zh-CN" w:bidi="ar-SA"/>
        </w:rPr>
      </w:pPr>
    </w:p>
    <w:p w14:paraId="386E5B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u w:val="none"/>
          <w:lang w:val="en-US" w:eastAsia="zh-CN" w:bidi="ar-SA"/>
        </w:rPr>
      </w:pPr>
    </w:p>
    <w:p w14:paraId="7F5955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TOC \o "1-3" \h \z \u </w:instrText>
      </w:r>
      <w:r>
        <w:rPr>
          <w:rFonts w:hint="eastAsia" w:ascii="宋体" w:hAnsi="宋体" w:cs="宋体"/>
          <w:b/>
          <w:bCs w:val="0"/>
          <w:color w:val="auto"/>
          <w:kern w:val="2"/>
          <w:sz w:val="24"/>
          <w:szCs w:val="24"/>
          <w:u w:val="none"/>
          <w:lang w:val="en-US" w:eastAsia="zh-CN" w:bidi="ar-SA"/>
        </w:rPr>
        <w:fldChar w:fldCharType="separate"/>
      </w:r>
    </w:p>
    <w:p w14:paraId="533373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p>
    <w:p w14:paraId="49425F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p>
    <w:p w14:paraId="702D92B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"_Toc246826096#_Toc246826096"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第一章  比选公告……………………………………………………</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……3-4</w:t>
      </w:r>
    </w:p>
    <w:p w14:paraId="5B11A49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"_Toc246826105#_Toc246826105"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第二章  采购需求……………………………………………………</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……5-7</w:t>
      </w:r>
    </w:p>
    <w:p w14:paraId="2295157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第三章  供应商须知………………………………………</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color w:val="auto"/>
          <w:sz w:val="24"/>
          <w:u w:val="none"/>
          <w:lang w:val="en-US" w:eastAsia="zh-CN"/>
        </w:rPr>
        <w:t>8</w:t>
      </w:r>
      <w:r>
        <w:rPr>
          <w:rFonts w:hint="eastAsia" w:ascii="宋体" w:hAnsi="宋体" w:cs="宋体"/>
          <w:b/>
          <w:bCs w:val="0"/>
          <w:color w:val="auto"/>
          <w:kern w:val="2"/>
          <w:sz w:val="24"/>
          <w:szCs w:val="24"/>
          <w:u w:val="none"/>
          <w:lang w:val="en-US" w:eastAsia="zh-CN" w:bidi="ar-SA"/>
        </w:rPr>
        <w:t>-21</w:t>
      </w:r>
    </w:p>
    <w:p w14:paraId="19C7130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"_Toc246826115#_Toc246826115"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第四章  评审标准……………………………………</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……………………22-24</w:t>
      </w:r>
    </w:p>
    <w:p w14:paraId="78F1A02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"_Toc246826104#_Toc246826104"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第五章  采购合同格式……………………………………………··…</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25-31</w:t>
      </w:r>
    </w:p>
    <w:p w14:paraId="1CAAEC9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第六章  响应文件格式及附件……………………………………………</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32-40</w:t>
      </w:r>
    </w:p>
    <w:p w14:paraId="602E4C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p>
    <w:p w14:paraId="1D38D310">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2CA9546E">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06C8422F">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189D1DFB">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25A65889">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41047662">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2032B2A1">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70149A13">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29AF5D83">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02C1D1A2">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3BB6ECFD">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06287969">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239019F8">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3A76CBDB">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5EBCFC36">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1E821ABF">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1EF0C08A">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5836D933">
      <w:pPr>
        <w:pStyle w:val="1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14:paraId="1C6593F6">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bCs w:val="0"/>
          <w:color w:val="auto"/>
          <w:sz w:val="21"/>
          <w:szCs w:val="21"/>
        </w:rPr>
        <w:t xml:space="preserve">第一章  </w:t>
      </w:r>
      <w:r>
        <w:rPr>
          <w:rFonts w:hint="eastAsia" w:asciiTheme="minorEastAsia" w:hAnsiTheme="minorEastAsia" w:eastAsiaTheme="minorEastAsia" w:cstheme="minorEastAsia"/>
          <w:b/>
          <w:bCs w:val="0"/>
          <w:color w:val="auto"/>
          <w:sz w:val="21"/>
          <w:szCs w:val="21"/>
          <w:lang w:val="en-US" w:eastAsia="zh-CN"/>
        </w:rPr>
        <w:t>比选公告</w:t>
      </w:r>
    </w:p>
    <w:p w14:paraId="0D203501">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一、项目基本情况</w:t>
      </w:r>
    </w:p>
    <w:p w14:paraId="68DA1094">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1、项目编号：</w:t>
      </w:r>
      <w:r>
        <w:rPr>
          <w:rFonts w:hint="eastAsia" w:asciiTheme="minorEastAsia" w:hAnsiTheme="minorEastAsia" w:eastAsiaTheme="minorEastAsia" w:cstheme="minorEastAsia"/>
          <w:bCs/>
          <w:color w:val="auto"/>
          <w:szCs w:val="21"/>
          <w:highlight w:val="none"/>
          <w:lang w:eastAsia="zh-CN"/>
        </w:rPr>
        <w:t>zfcg-fw-202</w:t>
      </w:r>
      <w:r>
        <w:rPr>
          <w:rFonts w:hint="eastAsia" w:asciiTheme="minorEastAsia" w:hAnsiTheme="minorEastAsia" w:eastAsiaTheme="minorEastAsia" w:cstheme="minorEastAsia"/>
          <w:bCs/>
          <w:color w:val="auto"/>
          <w:szCs w:val="21"/>
          <w:highlight w:val="none"/>
          <w:lang w:val="en-US" w:eastAsia="zh-CN"/>
        </w:rPr>
        <w:t>41127</w:t>
      </w:r>
      <w:r>
        <w:rPr>
          <w:rFonts w:hint="eastAsia" w:asciiTheme="minorEastAsia" w:hAnsiTheme="minorEastAsia" w:eastAsiaTheme="minorEastAsia" w:cstheme="minorEastAsia"/>
          <w:bCs/>
          <w:color w:val="auto"/>
          <w:szCs w:val="21"/>
          <w:highlight w:val="none"/>
          <w:lang w:eastAsia="zh-CN"/>
        </w:rPr>
        <w:t>-00</w:t>
      </w:r>
      <w:r>
        <w:rPr>
          <w:rFonts w:hint="eastAsia" w:asciiTheme="minorEastAsia" w:hAnsiTheme="minorEastAsia" w:eastAsiaTheme="minorEastAsia" w:cstheme="minorEastAsia"/>
          <w:bCs/>
          <w:color w:val="auto"/>
          <w:szCs w:val="21"/>
          <w:highlight w:val="none"/>
          <w:lang w:val="en-US" w:eastAsia="zh-CN"/>
        </w:rPr>
        <w:t>2</w:t>
      </w:r>
      <w:r>
        <w:rPr>
          <w:rFonts w:hint="eastAsia" w:asciiTheme="minorEastAsia" w:hAnsiTheme="minorEastAsia" w:eastAsiaTheme="minorEastAsia" w:cstheme="minorEastAsia"/>
          <w:bCs/>
          <w:color w:val="auto"/>
          <w:szCs w:val="21"/>
          <w:highlight w:val="none"/>
          <w:lang w:eastAsia="zh-CN"/>
        </w:rPr>
        <w:t xml:space="preserve"> </w:t>
      </w:r>
      <w:r>
        <w:rPr>
          <w:rFonts w:hint="eastAsia" w:asciiTheme="minorEastAsia" w:hAnsiTheme="minorEastAsia" w:eastAsiaTheme="minorEastAsia" w:cstheme="minorEastAsia"/>
          <w:b w:val="0"/>
          <w:bCs/>
          <w:color w:val="auto"/>
          <w:sz w:val="21"/>
          <w:szCs w:val="21"/>
          <w:highlight w:val="none"/>
        </w:rPr>
        <w:t xml:space="preserve">   </w:t>
      </w:r>
    </w:p>
    <w:p w14:paraId="031BCA79">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Cs w:val="21"/>
          <w:highlight w:val="none"/>
          <w:lang w:eastAsia="zh-CN"/>
        </w:rPr>
      </w:pPr>
      <w:r>
        <w:rPr>
          <w:rFonts w:hint="eastAsia" w:asciiTheme="minorEastAsia" w:hAnsiTheme="minorEastAsia" w:eastAsiaTheme="minorEastAsia" w:cstheme="minorEastAsia"/>
          <w:b w:val="0"/>
          <w:bCs/>
          <w:color w:val="auto"/>
          <w:sz w:val="21"/>
          <w:szCs w:val="21"/>
          <w:highlight w:val="none"/>
        </w:rPr>
        <w:t>2、项目名称：</w:t>
      </w:r>
      <w:r>
        <w:rPr>
          <w:rFonts w:hint="eastAsia" w:asciiTheme="minorEastAsia" w:hAnsiTheme="minorEastAsia" w:eastAsiaTheme="minorEastAsia" w:cstheme="minorEastAsia"/>
          <w:b w:val="0"/>
          <w:bCs/>
          <w:color w:val="auto"/>
          <w:sz w:val="21"/>
          <w:szCs w:val="21"/>
          <w:highlight w:val="none"/>
          <w:lang w:val="en-US" w:eastAsia="zh-CN"/>
        </w:rPr>
        <w:t xml:space="preserve"> </w:t>
      </w:r>
      <w:r>
        <w:rPr>
          <w:rFonts w:hint="eastAsia" w:asciiTheme="minorEastAsia" w:hAnsiTheme="minorEastAsia" w:eastAsiaTheme="minorEastAsia" w:cstheme="minorEastAsia"/>
          <w:b w:val="0"/>
          <w:bCs/>
          <w:color w:val="auto"/>
          <w:szCs w:val="21"/>
          <w:highlight w:val="none"/>
          <w:lang w:eastAsia="zh-CN"/>
        </w:rPr>
        <w:t>海口江东新区政策研究咨询服务项目</w:t>
      </w:r>
    </w:p>
    <w:p w14:paraId="4387AF57">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3、预算金额：</w:t>
      </w:r>
      <w:r>
        <w:rPr>
          <w:rFonts w:hint="eastAsia" w:asciiTheme="minorEastAsia" w:hAnsiTheme="minorEastAsia" w:eastAsiaTheme="minorEastAsia" w:cstheme="minorEastAsia"/>
          <w:b w:val="0"/>
          <w:bCs/>
          <w:color w:val="auto"/>
          <w:sz w:val="21"/>
          <w:szCs w:val="21"/>
          <w:highlight w:val="none"/>
          <w:lang w:val="en-US" w:eastAsia="zh-CN"/>
        </w:rPr>
        <w:t>人民币40万元</w:t>
      </w:r>
    </w:p>
    <w:p w14:paraId="2152F13D">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color w:val="auto"/>
          <w:sz w:val="21"/>
          <w:szCs w:val="21"/>
          <w:highlight w:val="none"/>
          <w:lang w:eastAsia="zh-CN"/>
        </w:rPr>
      </w:pPr>
      <w:r>
        <w:rPr>
          <w:rFonts w:hint="eastAsia" w:hAnsi="宋体" w:cs="宋体"/>
          <w:color w:val="auto"/>
          <w:kern w:val="28"/>
          <w:sz w:val="21"/>
          <w:szCs w:val="21"/>
          <w:highlight w:val="none"/>
          <w:lang w:val="en-US" w:eastAsia="zh-CN"/>
        </w:rPr>
        <w:t xml:space="preserve">  </w:t>
      </w:r>
      <w:r>
        <w:rPr>
          <w:rFonts w:hint="eastAsia" w:asciiTheme="minorEastAsia" w:hAnsiTheme="minorEastAsia" w:eastAsiaTheme="minorEastAsia" w:cstheme="minorEastAsia"/>
          <w:b w:val="0"/>
          <w:bCs/>
          <w:color w:val="auto"/>
          <w:sz w:val="21"/>
          <w:szCs w:val="21"/>
          <w:highlight w:val="none"/>
          <w:lang w:eastAsia="zh-CN"/>
        </w:rPr>
        <w:t>最高限价</w:t>
      </w:r>
      <w:r>
        <w:rPr>
          <w:rFonts w:hint="eastAsia" w:asciiTheme="minorEastAsia" w:hAnsiTheme="minorEastAsia" w:eastAsiaTheme="minorEastAsia" w:cstheme="minorEastAsia"/>
          <w:bCs/>
          <w:color w:val="auto"/>
          <w:szCs w:val="21"/>
          <w:highlight w:val="none"/>
        </w:rPr>
        <w:t>人民币</w:t>
      </w:r>
      <w:r>
        <w:rPr>
          <w:rFonts w:hint="eastAsia" w:asciiTheme="minorEastAsia" w:hAnsiTheme="minorEastAsia" w:eastAsiaTheme="minorEastAsia" w:cstheme="minorEastAsia"/>
          <w:bCs/>
          <w:color w:val="auto"/>
          <w:szCs w:val="21"/>
          <w:highlight w:val="none"/>
          <w:lang w:val="en-US" w:eastAsia="zh-CN"/>
        </w:rPr>
        <w:t>40</w:t>
      </w:r>
      <w:r>
        <w:rPr>
          <w:rFonts w:hint="eastAsia" w:asciiTheme="minorEastAsia" w:hAnsiTheme="minorEastAsia" w:eastAsiaTheme="minorEastAsia" w:cstheme="minorEastAsia"/>
          <w:bCs/>
          <w:color w:val="auto"/>
          <w:szCs w:val="21"/>
          <w:highlight w:val="none"/>
        </w:rPr>
        <w:t>万元</w:t>
      </w:r>
    </w:p>
    <w:p w14:paraId="242B72B9">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lang w:val="en-US" w:eastAsia="zh-CN" w:bidi="ar-SA"/>
        </w:rPr>
        <w:t>、采购需求：</w:t>
      </w:r>
      <w:r>
        <w:rPr>
          <w:rFonts w:hint="eastAsia" w:ascii="宋体" w:hAnsi="宋体" w:eastAsia="宋体" w:cs="宋体"/>
          <w:b w:val="0"/>
          <w:bCs/>
          <w:color w:val="auto"/>
          <w:sz w:val="21"/>
          <w:szCs w:val="21"/>
          <w:highlight w:val="none"/>
        </w:rPr>
        <w:t>详细需求详见第二章《采购需求》</w:t>
      </w:r>
    </w:p>
    <w:p w14:paraId="370C7F99">
      <w:pPr>
        <w:keepNext w:val="0"/>
        <w:keepLines w:val="0"/>
        <w:pageBreakBefore w:val="0"/>
        <w:widowControl w:val="0"/>
        <w:kinsoku/>
        <w:wordWrap/>
        <w:overflowPunct/>
        <w:topLinePunct w:val="0"/>
        <w:autoSpaceDE/>
        <w:autoSpaceDN/>
        <w:bidi w:val="0"/>
        <w:spacing w:line="400" w:lineRule="exact"/>
        <w:ind w:right="-197" w:rightChars="-94" w:firstLine="420" w:firstLineChars="200"/>
        <w:textAlignment w:val="auto"/>
        <w:rPr>
          <w:rFonts w:hint="default" w:ascii="宋体" w:hAnsi="宋体"/>
          <w:b w:val="0"/>
          <w:bCs/>
          <w:color w:val="auto"/>
          <w:sz w:val="21"/>
          <w:szCs w:val="21"/>
          <w:highlight w:val="none"/>
          <w:lang w:val="en-US"/>
        </w:rPr>
      </w:pPr>
      <w:r>
        <w:rPr>
          <w:rFonts w:hint="eastAsia" w:asciiTheme="minorEastAsia" w:hAnsiTheme="minorEastAsia" w:eastAsiaTheme="minorEastAsia" w:cstheme="minorEastAsia"/>
          <w:b w:val="0"/>
          <w:bCs/>
          <w:color w:val="auto"/>
          <w:sz w:val="21"/>
          <w:szCs w:val="21"/>
          <w:highlight w:val="none"/>
          <w:lang w:val="en-US" w:eastAsia="zh-CN"/>
        </w:rPr>
        <w:t>5、</w:t>
      </w:r>
      <w:r>
        <w:rPr>
          <w:rFonts w:hint="eastAsia" w:asciiTheme="minorEastAsia" w:hAnsiTheme="minorEastAsia" w:eastAsiaTheme="minorEastAsia" w:cstheme="minorEastAsia"/>
          <w:b w:val="0"/>
          <w:bCs/>
          <w:color w:val="auto"/>
          <w:sz w:val="21"/>
          <w:szCs w:val="21"/>
          <w:highlight w:val="none"/>
        </w:rPr>
        <w:t>服务期限</w:t>
      </w:r>
      <w:bookmarkStart w:id="12" w:name="_Toc35393791"/>
      <w:bookmarkStart w:id="13" w:name="_Toc35393622"/>
      <w:bookmarkStart w:id="14" w:name="_Toc28359003"/>
      <w:bookmarkStart w:id="15" w:name="_Toc28359080"/>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Cs/>
          <w:color w:val="auto"/>
          <w:szCs w:val="21"/>
          <w:highlight w:val="none"/>
        </w:rPr>
        <w:t>合同服务时限为合同签订之日起</w:t>
      </w:r>
      <w:r>
        <w:rPr>
          <w:rFonts w:hint="eastAsia" w:asciiTheme="minorEastAsia" w:hAnsiTheme="minorEastAsia" w:eastAsiaTheme="minorEastAsia" w:cstheme="minorEastAsia"/>
          <w:bCs/>
          <w:color w:val="auto"/>
          <w:szCs w:val="21"/>
          <w:highlight w:val="none"/>
          <w:lang w:val="en-US" w:eastAsia="zh-CN"/>
        </w:rPr>
        <w:t>至项目成果通过海口江东新区管理局验收确认</w:t>
      </w:r>
      <w:r>
        <w:rPr>
          <w:rFonts w:hint="eastAsia" w:asciiTheme="minorEastAsia" w:hAnsiTheme="minorEastAsia" w:eastAsiaTheme="minorEastAsia" w:cstheme="minorEastAsia"/>
          <w:bCs/>
          <w:color w:val="auto"/>
          <w:szCs w:val="21"/>
          <w:highlight w:val="none"/>
        </w:rPr>
        <w:t>止</w:t>
      </w:r>
      <w:r>
        <w:rPr>
          <w:rFonts w:hint="eastAsia" w:asciiTheme="minorEastAsia" w:hAnsiTheme="minorEastAsia" w:eastAsiaTheme="minorEastAsia" w:cstheme="minorEastAsia"/>
          <w:bCs/>
          <w:color w:val="auto"/>
          <w:szCs w:val="21"/>
          <w:highlight w:val="none"/>
          <w:lang w:eastAsia="zh-CN"/>
        </w:rPr>
        <w:t>。</w:t>
      </w:r>
    </w:p>
    <w:p w14:paraId="06CF3F0C">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6</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kern w:val="2"/>
          <w:sz w:val="21"/>
          <w:szCs w:val="21"/>
          <w:highlight w:val="none"/>
          <w:lang w:val="en-US" w:eastAsia="zh-CN" w:bidi="ar-SA"/>
        </w:rPr>
        <w:t>服务地点：海口江东新区</w:t>
      </w:r>
    </w:p>
    <w:p w14:paraId="33968FAB">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二、</w:t>
      </w:r>
      <w:r>
        <w:rPr>
          <w:rFonts w:hint="eastAsia" w:asciiTheme="minorEastAsia" w:hAnsiTheme="minorEastAsia" w:eastAsiaTheme="minorEastAsia" w:cstheme="minorEastAsia"/>
          <w:b/>
          <w:bCs w:val="0"/>
          <w:color w:val="auto"/>
          <w:sz w:val="21"/>
          <w:szCs w:val="21"/>
          <w:highlight w:val="none"/>
          <w:lang w:eastAsia="zh-CN"/>
        </w:rPr>
        <w:t>供应商</w:t>
      </w:r>
      <w:r>
        <w:rPr>
          <w:rFonts w:hint="eastAsia" w:asciiTheme="minorEastAsia" w:hAnsiTheme="minorEastAsia" w:eastAsiaTheme="minorEastAsia" w:cstheme="minorEastAsia"/>
          <w:b/>
          <w:bCs w:val="0"/>
          <w:color w:val="auto"/>
          <w:sz w:val="21"/>
          <w:szCs w:val="21"/>
          <w:highlight w:val="none"/>
        </w:rPr>
        <w:t>的资格要求：</w:t>
      </w:r>
      <w:bookmarkEnd w:id="12"/>
      <w:bookmarkEnd w:id="13"/>
      <w:bookmarkEnd w:id="14"/>
      <w:bookmarkEnd w:id="15"/>
    </w:p>
    <w:p w14:paraId="1D99A491">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highlight w:val="none"/>
        </w:rPr>
      </w:pPr>
      <w:bookmarkStart w:id="16" w:name="_Toc35393623"/>
      <w:bookmarkStart w:id="17" w:name="_Toc28359004"/>
      <w:bookmarkStart w:id="18" w:name="_Toc28359081"/>
      <w:bookmarkStart w:id="19" w:name="_Toc35393792"/>
      <w:r>
        <w:rPr>
          <w:rFonts w:hint="eastAsia" w:ascii="宋体" w:hAnsi="宋体" w:eastAsia="宋体" w:cs="宋体"/>
          <w:b w:val="0"/>
          <w:bCs/>
          <w:color w:val="auto"/>
          <w:sz w:val="21"/>
          <w:szCs w:val="21"/>
          <w:highlight w:val="none"/>
        </w:rPr>
        <w:t>1、满足《中华人民共和国政府采购法》第二十二条规定；</w:t>
      </w:r>
    </w:p>
    <w:p w14:paraId="77F9F7F5">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2、落实政府采购政策需满足的资格要求：</w:t>
      </w:r>
      <w:r>
        <w:rPr>
          <w:rFonts w:hint="eastAsia" w:hAnsi="宋体" w:cs="宋体"/>
          <w:b w:val="0"/>
          <w:bCs/>
          <w:color w:val="auto"/>
          <w:sz w:val="21"/>
          <w:szCs w:val="21"/>
          <w:highlight w:val="none"/>
          <w:lang w:val="en-US" w:eastAsia="zh-CN"/>
        </w:rPr>
        <w:t>\</w:t>
      </w:r>
    </w:p>
    <w:p w14:paraId="6C4956C9">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3、符合采购人根据采购项目实际情况要求的特定资格条件和其他法律法规规定的条件，具体如下：</w:t>
      </w:r>
    </w:p>
    <w:p w14:paraId="5CC875F5">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未被列入失信被执行人、重大税收违法案件当事人名单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和政府采购严重违法失信行为记录名单（须提供“信用中国”网站（www.creditchina.gov.cn)查询失信被执行人、重大税收违法案件当事人名单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的查询结果截图并加盖公章；和“中国政府采购网”网站（http://www.ccgp.gov.cn/）查询政府采购严重违法失信行为记录名单的查询结果截图并加盖公章），如相关失信记录已失效，</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须提供相关证明资料并加盖公章；</w:t>
      </w:r>
    </w:p>
    <w:p w14:paraId="71071859">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hAnsi="宋体" w:cs="宋体"/>
          <w:b w:val="0"/>
          <w:bCs/>
          <w:color w:val="auto"/>
          <w:sz w:val="21"/>
          <w:szCs w:val="21"/>
          <w:lang w:val="en-US" w:eastAsia="zh-CN"/>
        </w:rPr>
        <w:t>3.2、</w:t>
      </w:r>
      <w:r>
        <w:rPr>
          <w:rFonts w:hint="eastAsia" w:ascii="宋体" w:hAnsi="宋体" w:eastAsia="宋体" w:cs="宋体"/>
          <w:b w:val="0"/>
          <w:bCs/>
          <w:color w:val="auto"/>
          <w:sz w:val="21"/>
          <w:szCs w:val="21"/>
        </w:rPr>
        <w:t>本项目不接受联合体</w:t>
      </w:r>
      <w:r>
        <w:rPr>
          <w:rFonts w:hint="eastAsia" w:hAnsi="宋体" w:cs="宋体"/>
          <w:b w:val="0"/>
          <w:bCs/>
          <w:color w:val="auto"/>
          <w:sz w:val="21"/>
          <w:szCs w:val="21"/>
          <w:lang w:val="en-US" w:eastAsia="zh-CN"/>
        </w:rPr>
        <w:t>响应</w:t>
      </w:r>
      <w:r>
        <w:rPr>
          <w:rFonts w:hint="eastAsia" w:ascii="宋体" w:hAnsi="宋体" w:eastAsia="宋体" w:cs="宋体"/>
          <w:b w:val="0"/>
          <w:bCs/>
          <w:color w:val="auto"/>
          <w:sz w:val="21"/>
          <w:szCs w:val="21"/>
        </w:rPr>
        <w:t>。</w:t>
      </w:r>
    </w:p>
    <w:p w14:paraId="55E16DA4">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rPr>
        <w:t>三、</w:t>
      </w:r>
      <w:bookmarkEnd w:id="16"/>
      <w:bookmarkEnd w:id="17"/>
      <w:bookmarkEnd w:id="18"/>
      <w:bookmarkEnd w:id="19"/>
      <w:r>
        <w:rPr>
          <w:rFonts w:hint="eastAsia" w:asciiTheme="minorEastAsia" w:hAnsiTheme="minorEastAsia" w:eastAsiaTheme="minorEastAsia" w:cstheme="minorEastAsia"/>
          <w:b/>
          <w:bCs w:val="0"/>
          <w:color w:val="auto"/>
          <w:sz w:val="21"/>
          <w:szCs w:val="21"/>
        </w:rPr>
        <w:t>采购文件获取办法</w:t>
      </w:r>
    </w:p>
    <w:p w14:paraId="1684E191">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 w:val="0"/>
          <w:bCs/>
          <w:color w:val="auto"/>
          <w:sz w:val="21"/>
          <w:szCs w:val="21"/>
          <w:highlight w:val="none"/>
        </w:rPr>
        <w:t>1、</w:t>
      </w:r>
      <w:r>
        <w:rPr>
          <w:rFonts w:hint="eastAsia" w:asciiTheme="minorEastAsia" w:hAnsiTheme="minorEastAsia" w:eastAsiaTheme="minorEastAsia" w:cstheme="minorEastAsia"/>
          <w:b w:val="0"/>
          <w:bCs/>
          <w:color w:val="auto"/>
          <w:sz w:val="21"/>
          <w:szCs w:val="21"/>
          <w:highlight w:val="none"/>
          <w:lang w:val="en-US" w:eastAsia="zh-CN"/>
        </w:rPr>
        <w:t>采购比选文件获取时间： 2024年12月4日00时00分至2024年12月8日23点59分（北京时间）</w:t>
      </w:r>
      <w:r>
        <w:rPr>
          <w:rFonts w:hint="eastAsia" w:asciiTheme="minorEastAsia" w:hAnsiTheme="minorEastAsia" w:eastAsiaTheme="minorEastAsia" w:cstheme="minorEastAsia"/>
          <w:bCs/>
          <w:color w:val="auto"/>
          <w:szCs w:val="21"/>
        </w:rPr>
        <w:t>；</w:t>
      </w:r>
    </w:p>
    <w:p w14:paraId="5C21D400">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w:t>
      </w:r>
      <w:r>
        <w:rPr>
          <w:rFonts w:hint="eastAsia" w:asciiTheme="minorEastAsia" w:hAnsiTheme="minorEastAsia" w:eastAsiaTheme="minorEastAsia" w:cstheme="minorEastAsia"/>
          <w:b w:val="0"/>
          <w:bCs/>
          <w:color w:val="auto"/>
          <w:sz w:val="21"/>
          <w:szCs w:val="21"/>
          <w:lang w:val="en-US" w:eastAsia="zh-CN"/>
        </w:rPr>
        <w:t>采购</w:t>
      </w:r>
      <w:r>
        <w:rPr>
          <w:rFonts w:hint="eastAsia" w:asciiTheme="minorEastAsia" w:hAnsiTheme="minorEastAsia" w:eastAsiaTheme="minorEastAsia" w:cstheme="minorEastAsia"/>
          <w:b w:val="0"/>
          <w:bCs/>
          <w:color w:val="auto"/>
          <w:sz w:val="21"/>
          <w:szCs w:val="21"/>
        </w:rPr>
        <w:t>比选文件获取方式：请有意向参与本项目采购活动的单位在比选公告界面自行下载比选文件。</w:t>
      </w:r>
    </w:p>
    <w:p w14:paraId="528257D3">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bookmarkStart w:id="20" w:name="_Toc35393796"/>
      <w:bookmarkStart w:id="21" w:name="_Toc35393627"/>
      <w:bookmarkStart w:id="22" w:name="_Toc28359008"/>
      <w:bookmarkStart w:id="23" w:name="_Toc28359085"/>
      <w:r>
        <w:rPr>
          <w:rFonts w:hint="eastAsia" w:asciiTheme="minorEastAsia" w:hAnsiTheme="minorEastAsia" w:eastAsiaTheme="minorEastAsia" w:cstheme="minorEastAsia"/>
          <w:b/>
          <w:bCs w:val="0"/>
          <w:color w:val="auto"/>
          <w:sz w:val="21"/>
          <w:szCs w:val="21"/>
        </w:rPr>
        <w:t>四、</w:t>
      </w:r>
      <w:r>
        <w:rPr>
          <w:rFonts w:hint="eastAsia" w:asciiTheme="minorEastAsia" w:hAnsiTheme="minorEastAsia" w:eastAsiaTheme="minorEastAsia" w:cstheme="minorEastAsia"/>
          <w:b/>
          <w:bCs w:val="0"/>
          <w:color w:val="auto"/>
          <w:sz w:val="21"/>
          <w:szCs w:val="21"/>
          <w:lang w:val="en-US" w:eastAsia="zh-CN"/>
        </w:rPr>
        <w:t>响应文件递交</w:t>
      </w:r>
      <w:r>
        <w:rPr>
          <w:rFonts w:hint="eastAsia" w:asciiTheme="minorEastAsia" w:hAnsiTheme="minorEastAsia" w:eastAsiaTheme="minorEastAsia" w:cstheme="minorEastAsia"/>
          <w:b/>
          <w:bCs w:val="0"/>
          <w:color w:val="auto"/>
          <w:sz w:val="21"/>
          <w:szCs w:val="21"/>
        </w:rPr>
        <w:t>截止时间、开标时间及地点</w:t>
      </w:r>
    </w:p>
    <w:p w14:paraId="4A32F7C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Cs/>
          <w:color w:val="auto"/>
          <w:szCs w:val="21"/>
        </w:rPr>
      </w:pPr>
      <w:bookmarkStart w:id="24" w:name="_Toc35393794"/>
      <w:bookmarkStart w:id="25" w:name="_Toc28359007"/>
      <w:bookmarkStart w:id="26" w:name="_Toc35393625"/>
      <w:bookmarkStart w:id="27" w:name="_Toc28359084"/>
      <w:r>
        <w:rPr>
          <w:rFonts w:hint="eastAsia" w:asciiTheme="minorEastAsia" w:hAnsiTheme="minorEastAsia" w:eastAsiaTheme="minorEastAsia" w:cstheme="minorEastAsia"/>
          <w:bCs/>
          <w:color w:val="auto"/>
          <w:szCs w:val="21"/>
        </w:rPr>
        <w:t>1、响应文件递交截止时间:</w:t>
      </w:r>
      <w:r>
        <w:rPr>
          <w:rFonts w:hint="eastAsia" w:asciiTheme="minorEastAsia" w:hAnsiTheme="minorEastAsia" w:eastAsiaTheme="minorEastAsia" w:cstheme="minorEastAsia"/>
          <w:bCs/>
          <w:color w:val="auto"/>
          <w:szCs w:val="21"/>
          <w:highlight w:val="none"/>
        </w:rPr>
        <w:t>202</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lang w:val="en-US" w:eastAsia="zh-CN"/>
        </w:rPr>
        <w:t>12</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9</w:t>
      </w:r>
      <w:r>
        <w:rPr>
          <w:rFonts w:hint="eastAsia" w:asciiTheme="minorEastAsia" w:hAnsiTheme="minorEastAsia" w:eastAsiaTheme="minorEastAsia" w:cstheme="minorEastAsia"/>
          <w:bCs/>
          <w:color w:val="auto"/>
          <w:szCs w:val="21"/>
          <w:highlight w:val="none"/>
        </w:rPr>
        <w:t>日</w:t>
      </w:r>
      <w:r>
        <w:rPr>
          <w:rFonts w:hint="eastAsia" w:asciiTheme="minorEastAsia" w:hAnsiTheme="minorEastAsia" w:eastAsiaTheme="minorEastAsia" w:cstheme="minorEastAsia"/>
          <w:bCs/>
          <w:color w:val="auto"/>
          <w:szCs w:val="21"/>
          <w:highlight w:val="none"/>
          <w:lang w:val="en-US" w:eastAsia="zh-CN"/>
        </w:rPr>
        <w:t>上午10</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00</w:t>
      </w:r>
      <w:r>
        <w:rPr>
          <w:rFonts w:hint="eastAsia" w:asciiTheme="minorEastAsia" w:hAnsiTheme="minorEastAsia" w:eastAsiaTheme="minorEastAsia" w:cstheme="minorEastAsia"/>
          <w:bCs/>
          <w:color w:val="auto"/>
          <w:szCs w:val="21"/>
          <w:highlight w:val="none"/>
        </w:rPr>
        <w:t>（北京时间）</w:t>
      </w:r>
      <w:r>
        <w:rPr>
          <w:rFonts w:hint="eastAsia" w:asciiTheme="minorEastAsia" w:hAnsiTheme="minorEastAsia" w:eastAsiaTheme="minorEastAsia" w:cstheme="minorEastAsia"/>
          <w:bCs/>
          <w:color w:val="auto"/>
          <w:szCs w:val="21"/>
        </w:rPr>
        <w:t>；</w:t>
      </w:r>
    </w:p>
    <w:p w14:paraId="68709C5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2、开标时间:与响应文件递交截止时间为同一时间；</w:t>
      </w:r>
    </w:p>
    <w:p w14:paraId="5F289AE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3、响应文件递交及开标地点:海口江东新区管理局；</w:t>
      </w:r>
    </w:p>
    <w:p w14:paraId="6FFBED2D">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Cs/>
          <w:color w:val="auto"/>
          <w:szCs w:val="21"/>
        </w:rPr>
        <w:t>4、逾期提交/送达或者未送达指定地点的响应文件，视为无效响应文件不予接收。</w:t>
      </w:r>
      <w:r>
        <w:rPr>
          <w:rFonts w:hint="eastAsia" w:asciiTheme="minorEastAsia" w:hAnsiTheme="minorEastAsia" w:eastAsiaTheme="minorEastAsia" w:cstheme="minorEastAsia"/>
          <w:b/>
          <w:bCs w:val="0"/>
          <w:color w:val="auto"/>
          <w:sz w:val="21"/>
          <w:szCs w:val="21"/>
          <w:lang w:val="en-US" w:eastAsia="zh-CN"/>
        </w:rPr>
        <w:tab/>
      </w:r>
      <w:r>
        <w:rPr>
          <w:rFonts w:hint="eastAsia" w:asciiTheme="minorEastAsia" w:hAnsiTheme="minorEastAsia" w:eastAsiaTheme="minorEastAsia" w:cstheme="minorEastAsia"/>
          <w:b/>
          <w:bCs w:val="0"/>
          <w:color w:val="auto"/>
          <w:sz w:val="21"/>
          <w:szCs w:val="21"/>
          <w:lang w:val="en-US" w:eastAsia="zh-CN"/>
        </w:rPr>
        <w:t>五、</w:t>
      </w:r>
      <w:r>
        <w:rPr>
          <w:rFonts w:hint="eastAsia" w:asciiTheme="minorEastAsia" w:hAnsiTheme="minorEastAsia" w:eastAsiaTheme="minorEastAsia" w:cstheme="minorEastAsia"/>
          <w:b/>
          <w:bCs w:val="0"/>
          <w:color w:val="auto"/>
          <w:sz w:val="21"/>
          <w:szCs w:val="21"/>
        </w:rPr>
        <w:t>采购信息发布媒体</w:t>
      </w:r>
    </w:p>
    <w:p w14:paraId="105BA88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1、本项目采购信息指定发布媒体为海口江东新区管理局官网；</w:t>
      </w:r>
    </w:p>
    <w:p w14:paraId="6F9AC63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2、有关本项目采购比选文件的补遗、澄清及变更信息以上述网站公告与下载为准，采购比选文件与更正公告的内容相互矛盾时，以最后发出的更正公告内容为准。</w:t>
      </w:r>
    </w:p>
    <w:p w14:paraId="31B4CE49">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rPr>
        <w:t>六、公告期限</w:t>
      </w:r>
    </w:p>
    <w:bookmarkEnd w:id="24"/>
    <w:bookmarkEnd w:id="25"/>
    <w:bookmarkEnd w:id="26"/>
    <w:bookmarkEnd w:id="27"/>
    <w:p w14:paraId="0344C90B">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auto"/>
          <w:sz w:val="21"/>
          <w:szCs w:val="21"/>
          <w:highlight w:val="none"/>
          <w:lang w:val="en-US" w:eastAsia="zh-CN"/>
        </w:rPr>
      </w:pPr>
      <w:bookmarkStart w:id="28" w:name="_Toc35393795"/>
      <w:bookmarkStart w:id="29" w:name="_Toc35393626"/>
      <w:r>
        <w:rPr>
          <w:rFonts w:hint="eastAsia" w:asciiTheme="minorEastAsia" w:hAnsiTheme="minorEastAsia" w:eastAsiaTheme="minorEastAsia" w:cstheme="minorEastAsia"/>
          <w:bCs/>
          <w:color w:val="auto"/>
          <w:szCs w:val="21"/>
          <w:highlight w:val="none"/>
        </w:rPr>
        <w:t>本项目比选公告、采购比选文件公告自本公告发布之日起不少于3个工作日，自202</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lang w:val="en-US" w:eastAsia="zh-CN"/>
        </w:rPr>
        <w:t>12</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日零时起至202</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lang w:val="en-US" w:eastAsia="zh-CN"/>
        </w:rPr>
        <w:t>12</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8</w:t>
      </w:r>
      <w:r>
        <w:rPr>
          <w:rFonts w:hint="eastAsia" w:asciiTheme="minorEastAsia" w:hAnsiTheme="minorEastAsia" w:eastAsiaTheme="minorEastAsia" w:cstheme="minorEastAsia"/>
          <w:bCs/>
          <w:color w:val="auto"/>
          <w:szCs w:val="21"/>
          <w:highlight w:val="none"/>
        </w:rPr>
        <w:t>日2</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时</w:t>
      </w:r>
      <w:r>
        <w:rPr>
          <w:rFonts w:hint="eastAsia" w:asciiTheme="minorEastAsia" w:hAnsiTheme="minorEastAsia" w:eastAsiaTheme="minorEastAsia" w:cstheme="minorEastAsia"/>
          <w:bCs/>
          <w:color w:val="auto"/>
          <w:szCs w:val="21"/>
          <w:highlight w:val="none"/>
          <w:lang w:val="en-US" w:eastAsia="zh-CN"/>
        </w:rPr>
        <w:t>59分</w:t>
      </w:r>
      <w:r>
        <w:rPr>
          <w:rFonts w:hint="eastAsia" w:asciiTheme="minorEastAsia" w:hAnsiTheme="minorEastAsia" w:eastAsiaTheme="minorEastAsia" w:cstheme="minorEastAsia"/>
          <w:bCs/>
          <w:color w:val="auto"/>
          <w:szCs w:val="21"/>
          <w:highlight w:val="none"/>
        </w:rPr>
        <w:t>止。</w:t>
      </w:r>
      <w:bookmarkEnd w:id="28"/>
      <w:bookmarkEnd w:id="29"/>
    </w:p>
    <w:p w14:paraId="577A08FF">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val="0"/>
          <w:color w:val="auto"/>
          <w:sz w:val="21"/>
          <w:szCs w:val="21"/>
          <w:highlight w:val="none"/>
        </w:rPr>
        <w:t>八、对本次招标提出询问，请按以下方式联系</w:t>
      </w:r>
      <w:bookmarkEnd w:id="20"/>
      <w:bookmarkEnd w:id="21"/>
      <w:bookmarkEnd w:id="22"/>
      <w:bookmarkEnd w:id="23"/>
    </w:p>
    <w:p w14:paraId="21A484AB">
      <w:pPr>
        <w:snapToGrid w:val="0"/>
        <w:spacing w:line="40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名称： 海口江东新区管理局</w:t>
      </w:r>
    </w:p>
    <w:p w14:paraId="2C28BAE3">
      <w:pPr>
        <w:snapToGrid w:val="0"/>
        <w:spacing w:line="40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地址： 海口市美兰区</w:t>
      </w:r>
      <w:r>
        <w:rPr>
          <w:rFonts w:hint="eastAsia" w:asciiTheme="minorEastAsia" w:hAnsiTheme="minorEastAsia" w:eastAsiaTheme="minorEastAsia" w:cstheme="minorEastAsia"/>
          <w:bCs/>
          <w:color w:val="auto"/>
          <w:szCs w:val="21"/>
          <w:highlight w:val="none"/>
          <w:lang w:val="en-US" w:eastAsia="zh-CN"/>
        </w:rPr>
        <w:t>江东</w:t>
      </w:r>
      <w:r>
        <w:rPr>
          <w:rFonts w:hint="eastAsia" w:asciiTheme="minorEastAsia" w:hAnsiTheme="minorEastAsia" w:eastAsiaTheme="minorEastAsia" w:cstheme="minorEastAsia"/>
          <w:bCs/>
          <w:color w:val="auto"/>
          <w:szCs w:val="21"/>
          <w:highlight w:val="none"/>
        </w:rPr>
        <w:t>大道</w:t>
      </w:r>
      <w:r>
        <w:rPr>
          <w:rFonts w:hint="eastAsia" w:asciiTheme="minorEastAsia" w:hAnsiTheme="minorEastAsia" w:eastAsiaTheme="minorEastAsia" w:cstheme="minorEastAsia"/>
          <w:bCs/>
          <w:color w:val="auto"/>
          <w:szCs w:val="21"/>
          <w:highlight w:val="none"/>
          <w:lang w:val="en-US" w:eastAsia="zh-CN"/>
        </w:rPr>
        <w:t>202</w:t>
      </w:r>
      <w:r>
        <w:rPr>
          <w:rFonts w:hint="eastAsia" w:asciiTheme="minorEastAsia" w:hAnsiTheme="minorEastAsia" w:eastAsiaTheme="minorEastAsia" w:cstheme="minorEastAsia"/>
          <w:bCs/>
          <w:color w:val="auto"/>
          <w:szCs w:val="21"/>
          <w:highlight w:val="none"/>
        </w:rPr>
        <w:t>号海口江东新区管理局</w:t>
      </w:r>
    </w:p>
    <w:p w14:paraId="1DE7B977">
      <w:pPr>
        <w:snapToGrid w:val="0"/>
        <w:spacing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rPr>
        <w:t>联系人：</w:t>
      </w:r>
      <w:r>
        <w:rPr>
          <w:rFonts w:hint="eastAsia" w:asciiTheme="minorEastAsia" w:hAnsiTheme="minorEastAsia" w:eastAsiaTheme="minorEastAsia" w:cstheme="minorEastAsia"/>
          <w:bCs/>
          <w:color w:val="auto"/>
          <w:szCs w:val="21"/>
          <w:highlight w:val="none"/>
          <w:lang w:val="en-US" w:eastAsia="zh-CN"/>
        </w:rPr>
        <w:t>王舒</w:t>
      </w:r>
    </w:p>
    <w:p w14:paraId="203EA7FC">
      <w:pPr>
        <w:snapToGrid w:val="0"/>
        <w:spacing w:line="400" w:lineRule="exact"/>
        <w:ind w:firstLine="420" w:firstLineChars="200"/>
        <w:rPr>
          <w:rFonts w:hint="default"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rPr>
        <w:t>联系方式：</w:t>
      </w:r>
      <w:r>
        <w:rPr>
          <w:rFonts w:hint="eastAsia" w:asciiTheme="minorEastAsia" w:hAnsiTheme="minorEastAsia" w:eastAsiaTheme="minorEastAsia" w:cstheme="minorEastAsia"/>
          <w:bCs/>
          <w:color w:val="auto"/>
          <w:szCs w:val="21"/>
          <w:highlight w:val="none"/>
          <w:lang w:val="en-US" w:eastAsia="zh-CN"/>
        </w:rPr>
        <w:t>65686601 65686605</w:t>
      </w:r>
    </w:p>
    <w:p w14:paraId="0622F316">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highlight w:val="none"/>
          <w:lang w:val="en-US" w:eastAsia="zh-CN"/>
        </w:rPr>
      </w:pPr>
      <w:bookmarkStart w:id="30" w:name="_Toc28359086"/>
      <w:bookmarkStart w:id="31" w:name="_Toc28359009"/>
      <w:r>
        <w:rPr>
          <w:rFonts w:hint="eastAsia" w:asciiTheme="minorEastAsia" w:hAnsiTheme="minorEastAsia" w:eastAsiaTheme="minorEastAsia" w:cstheme="minorEastAsia"/>
          <w:bCs/>
          <w:color w:val="auto"/>
          <w:sz w:val="21"/>
          <w:szCs w:val="21"/>
          <w:highlight w:val="none"/>
          <w:lang w:val="en-US" w:eastAsia="zh-CN"/>
        </w:rPr>
        <w:t xml:space="preserve"> </w:t>
      </w:r>
    </w:p>
    <w:bookmarkEnd w:id="30"/>
    <w:bookmarkEnd w:id="31"/>
    <w:p w14:paraId="261BB2B2">
      <w:pPr>
        <w:keepNext w:val="0"/>
        <w:keepLines w:val="0"/>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eastAsia" w:asciiTheme="minorEastAsia" w:hAnsiTheme="minorEastAsia" w:eastAsiaTheme="minorEastAsia" w:cstheme="minorEastAsia"/>
          <w:b w:val="0"/>
          <w:bCs/>
          <w:color w:val="auto"/>
          <w:sz w:val="21"/>
          <w:szCs w:val="21"/>
          <w:highlight w:val="none"/>
          <w:lang w:val="en-US" w:eastAsia="zh-CN"/>
        </w:rPr>
        <w:sectPr>
          <w:headerReference r:id="rId8" w:type="first"/>
          <w:footerReference r:id="rId10" w:type="firs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highlight w:val="none"/>
          <w:lang w:val="en-US" w:eastAsia="zh-CN"/>
        </w:rPr>
        <w:t xml:space="preserve"> </w:t>
      </w:r>
    </w:p>
    <w:p w14:paraId="4A9B6E78">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r>
        <w:rPr>
          <w:rFonts w:hint="eastAsia" w:ascii="宋体" w:hAnsi="宋体" w:cs="宋体"/>
          <w:b/>
          <w:bCs w:val="0"/>
          <w:color w:val="auto"/>
          <w:sz w:val="21"/>
          <w:szCs w:val="21"/>
          <w:lang w:eastAsia="zh-CN"/>
        </w:rPr>
        <w:t>第二章</w:t>
      </w:r>
      <w:r>
        <w:rPr>
          <w:rFonts w:hint="eastAsia" w:ascii="宋体" w:hAnsi="宋体" w:cs="宋体"/>
          <w:b/>
          <w:bCs w:val="0"/>
          <w:color w:val="auto"/>
          <w:sz w:val="21"/>
          <w:szCs w:val="21"/>
          <w:lang w:val="en-US" w:eastAsia="zh-CN"/>
        </w:rPr>
        <w:t xml:space="preserve">  采购需求</w:t>
      </w:r>
    </w:p>
    <w:p w14:paraId="170DB0E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一、服务内容及要求</w:t>
      </w:r>
    </w:p>
    <w:p w14:paraId="20803DB4">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ascii="宋体" w:hAnsi="宋体" w:cs="宋体"/>
          <w:color w:val="auto"/>
          <w:kern w:val="0"/>
          <w:sz w:val="21"/>
          <w:szCs w:val="21"/>
          <w:lang w:val="en-US" w:eastAsia="zh-CN"/>
        </w:rPr>
        <w:t>立足海口江东新区4+X主导产业，通过自上而下和自下而上相结合的逻辑，从高水平</w:t>
      </w:r>
    </w:p>
    <w:p w14:paraId="688A55FC">
      <w:pPr>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经贸规则、国家部委出台的制度型开放和服务贸易开放政策、先进自贸区政策创新举措、海南自贸港政策等视角出发，协助海口江东新区对《海口江东新区现代服务业示范区建设发展方案》（暂定名）协助编制、分析、复核和完善。</w:t>
      </w:r>
    </w:p>
    <w:p w14:paraId="054FA49E">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Cs w:val="21"/>
        </w:rPr>
        <w:t>具体服务和交付物内容应包括：1.对接高水平经贸规则，自上而下层面，国家部委已明确支持可落地政策方向、政策具体举措。延循该方向，提出海口江东新区可关注、发展的产业赛道方向。2.对接高水平经贸规则，自上而下层面，国家部委未来拟出台、支持的政策方向、政策举措。延循该方向，提出海口江东新区可争取落地、可谋划准备的试点。3.对接已签订的自贸协定和高水平经贸规则，提出可在海口江东新区落地的努力条款。4.对接未签订的高水平经贸规则，提出海口江东新区可争取出台的政策清单和对接路径。5.对接先进自贸区，提出海口江东新区可复制落地或优化的举措</w:t>
      </w:r>
      <w:r>
        <w:rPr>
          <w:rFonts w:hint="eastAsia" w:ascii="宋体" w:hAnsi="宋体" w:cs="宋体"/>
          <w:color w:val="auto"/>
          <w:kern w:val="0"/>
          <w:szCs w:val="21"/>
          <w:lang w:eastAsia="zh-CN"/>
        </w:rPr>
        <w:t>。</w:t>
      </w:r>
    </w:p>
    <w:p w14:paraId="5BCBD7EF">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 </w:t>
      </w:r>
      <w:r>
        <w:rPr>
          <w:rFonts w:hint="eastAsia" w:ascii="宋体" w:hAnsi="宋体" w:cs="宋体"/>
          <w:color w:val="auto"/>
          <w:kern w:val="0"/>
          <w:sz w:val="21"/>
          <w:szCs w:val="21"/>
          <w:lang w:val="en-US" w:eastAsia="zh-CN"/>
        </w:rPr>
        <w:t>根据《海口江东新区现代服务业综合示范区建设发展方案》（暂定名），有针对性的进行调研、专家访谈、企业访谈等，论证和确保方案的准确性、实践性和前瞻性</w:t>
      </w:r>
      <w:r>
        <w:rPr>
          <w:rFonts w:hint="eastAsia" w:ascii="宋体" w:hAnsi="宋体" w:eastAsia="宋体" w:cs="宋体"/>
          <w:color w:val="auto"/>
          <w:kern w:val="0"/>
          <w:sz w:val="21"/>
          <w:szCs w:val="21"/>
          <w:lang w:val="en-US" w:eastAsia="zh-CN"/>
        </w:rPr>
        <w:t>。并根据专家提出的意见进行修改完善。</w:t>
      </w:r>
    </w:p>
    <w:p w14:paraId="314AF149">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二、技术成果</w:t>
      </w:r>
    </w:p>
    <w:p w14:paraId="5E697895">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1.文本</w:t>
      </w:r>
    </w:p>
    <w:p w14:paraId="7ECF95FA">
      <w:pPr>
        <w:keepNext w:val="0"/>
        <w:keepLines w:val="0"/>
        <w:pageBreakBefore w:val="0"/>
        <w:widowControl w:val="0"/>
        <w:kinsoku/>
        <w:wordWrap/>
        <w:overflowPunct/>
        <w:topLinePunct w:val="0"/>
        <w:autoSpaceDE/>
        <w:autoSpaceDN/>
        <w:bidi w:val="0"/>
        <w:adjustRightInd/>
        <w:snapToGrid w:val="0"/>
        <w:spacing w:line="576" w:lineRule="exact"/>
        <w:ind w:firstLine="420" w:firstLineChars="200"/>
        <w:textAlignment w:val="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1.海口江东新区需对接的高标准国际经贸规则盘点（聚焦RCEP\CPTPP\DEPA相关规则）及整体对接思路研析。</w:t>
      </w:r>
    </w:p>
    <w:p w14:paraId="2651A791">
      <w:pPr>
        <w:keepNext w:val="0"/>
        <w:keepLines w:val="0"/>
        <w:pageBreakBefore w:val="0"/>
        <w:widowControl w:val="0"/>
        <w:kinsoku/>
        <w:wordWrap/>
        <w:overflowPunct/>
        <w:topLinePunct w:val="0"/>
        <w:autoSpaceDE/>
        <w:autoSpaceDN/>
        <w:bidi w:val="0"/>
        <w:adjustRightInd/>
        <w:snapToGrid w:val="0"/>
        <w:spacing w:line="576"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 w:val="21"/>
          <w:szCs w:val="21"/>
          <w:lang w:val="en-US" w:eastAsia="zh-CN"/>
        </w:rPr>
        <w:t>2.</w:t>
      </w:r>
      <w:r>
        <w:rPr>
          <w:rFonts w:hint="eastAsia" w:ascii="宋体" w:hAnsi="宋体" w:cs="宋体"/>
          <w:color w:val="auto"/>
          <w:kern w:val="0"/>
          <w:szCs w:val="21"/>
        </w:rPr>
        <w:t>为对接高标准经贸规则且中央部委已明确授权地方落地实施的相关举措以及中央部委尚未明确授权但江东可先行尝试的相关举措梳理及分析。</w:t>
      </w:r>
    </w:p>
    <w:p w14:paraId="20B78C46">
      <w:pPr>
        <w:keepNext w:val="0"/>
        <w:keepLines w:val="0"/>
        <w:pageBreakBefore w:val="0"/>
        <w:widowControl w:val="0"/>
        <w:kinsoku/>
        <w:wordWrap/>
        <w:overflowPunct/>
        <w:topLinePunct w:val="0"/>
        <w:autoSpaceDE/>
        <w:autoSpaceDN/>
        <w:bidi w:val="0"/>
        <w:adjustRightInd/>
        <w:snapToGrid w:val="0"/>
        <w:spacing w:line="576" w:lineRule="exact"/>
        <w:ind w:firstLine="420" w:firstLineChars="200"/>
        <w:textAlignment w:val="auto"/>
        <w:rPr>
          <w:rFonts w:hint="eastAsia" w:ascii="宋体" w:hAnsi="宋体" w:cs="宋体"/>
          <w:color w:val="auto"/>
          <w:kern w:val="0"/>
          <w:szCs w:val="21"/>
          <w:lang w:eastAsia="zh-CN"/>
        </w:rPr>
      </w:pPr>
      <w:r>
        <w:rPr>
          <w:rFonts w:hint="eastAsia" w:ascii="宋体" w:hAnsi="宋体" w:cs="宋体"/>
          <w:color w:val="auto"/>
          <w:kern w:val="0"/>
          <w:szCs w:val="21"/>
          <w:lang w:val="en-US" w:eastAsia="zh-CN"/>
        </w:rPr>
        <w:t>3.</w:t>
      </w:r>
      <w:r>
        <w:rPr>
          <w:rFonts w:hint="eastAsia" w:ascii="宋体" w:hAnsi="宋体" w:cs="宋体"/>
          <w:color w:val="auto"/>
          <w:kern w:val="0"/>
          <w:szCs w:val="21"/>
        </w:rPr>
        <w:t>在其他自贸区（港）已先行实施的可供海口江东新区参考借鉴的创新举措梳理及具体建议</w:t>
      </w:r>
      <w:r>
        <w:rPr>
          <w:rFonts w:hint="eastAsia" w:ascii="宋体" w:hAnsi="宋体" w:cs="宋体"/>
          <w:color w:val="auto"/>
          <w:kern w:val="0"/>
          <w:szCs w:val="21"/>
          <w:lang w:eastAsia="zh-CN"/>
        </w:rPr>
        <w:t>。</w:t>
      </w:r>
    </w:p>
    <w:p w14:paraId="3F8CE347">
      <w:pPr>
        <w:keepNext w:val="0"/>
        <w:keepLines w:val="0"/>
        <w:pageBreakBefore w:val="0"/>
        <w:widowControl w:val="0"/>
        <w:kinsoku/>
        <w:wordWrap/>
        <w:overflowPunct/>
        <w:topLinePunct w:val="0"/>
        <w:autoSpaceDE/>
        <w:autoSpaceDN/>
        <w:bidi w:val="0"/>
        <w:adjustRightInd/>
        <w:snapToGrid w:val="0"/>
        <w:spacing w:line="576"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针对我国未参与的相关经贸协定规则或我国已参与协定中的努力条款，研提江东新区可争取出台的政策清单及给出对接思路和建议。</w:t>
      </w:r>
    </w:p>
    <w:p w14:paraId="1A074966">
      <w:pPr>
        <w:keepNext w:val="0"/>
        <w:keepLines w:val="0"/>
        <w:pageBreakBefore w:val="0"/>
        <w:widowControl w:val="0"/>
        <w:kinsoku/>
        <w:wordWrap/>
        <w:overflowPunct/>
        <w:topLinePunct w:val="0"/>
        <w:autoSpaceDE/>
        <w:autoSpaceDN/>
        <w:bidi w:val="0"/>
        <w:adjustRightInd/>
        <w:snapToGrid w:val="0"/>
        <w:spacing w:line="576" w:lineRule="exact"/>
        <w:ind w:firstLine="420" w:firstLineChars="200"/>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以上成果需通过海口江东新区管理局验收确认。</w:t>
      </w:r>
    </w:p>
    <w:p w14:paraId="7EBF0504">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文本打印A4装订成册3套，以及全套电子文档。</w:t>
      </w:r>
    </w:p>
    <w:p w14:paraId="3B2A331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三、有关要求</w:t>
      </w:r>
    </w:p>
    <w:p w14:paraId="1644486D">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1.完成时间：合同约定的时间。</w:t>
      </w:r>
    </w:p>
    <w:p w14:paraId="102B3037">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2.交付地点：用户指定地点。</w:t>
      </w:r>
    </w:p>
    <w:p w14:paraId="30822C6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3.付款条件：合同约定的条件。</w:t>
      </w:r>
    </w:p>
    <w:p w14:paraId="51685813">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sectPr>
          <w:footerReference r:id="rId11" w:type="default"/>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kern w:val="0"/>
          <w:sz w:val="21"/>
          <w:szCs w:val="21"/>
          <w:lang w:val="en-US" w:eastAsia="zh-CN"/>
        </w:rPr>
        <w:t>4.验收要求：方案符合相关技术规范并通过专家评审。</w:t>
      </w:r>
    </w:p>
    <w:p w14:paraId="35DE0378">
      <w:pPr>
        <w:pStyle w:val="10"/>
        <w:rPr>
          <w:color w:val="auto"/>
        </w:rPr>
      </w:pPr>
    </w:p>
    <w:p w14:paraId="3FD9A344">
      <w:pPr>
        <w:rPr>
          <w:color w:val="auto"/>
        </w:rPr>
      </w:pPr>
    </w:p>
    <w:p w14:paraId="739AF1EA">
      <w:pPr>
        <w:pStyle w:val="30"/>
        <w:rPr>
          <w:color w:val="auto"/>
        </w:rPr>
      </w:pPr>
    </w:p>
    <w:p w14:paraId="397D8B7C">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第三章</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w:t>
      </w:r>
    </w:p>
    <w:p w14:paraId="1B158293">
      <w:pPr>
        <w:pageBreakBefore w:val="0"/>
        <w:wordWrap/>
        <w:topLinePunct w:val="0"/>
        <w:bidi w:val="0"/>
        <w:adjustRightInd w:val="0"/>
        <w:snapToGrid w:val="0"/>
        <w:spacing w:before="120" w:after="240"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须知前附表</w:t>
      </w:r>
    </w:p>
    <w:tbl>
      <w:tblPr>
        <w:tblStyle w:val="18"/>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14:paraId="2A1BEE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14:paraId="7F5E9D6D">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
                <w:bCs w:val="0"/>
                <w:color w:val="auto"/>
                <w:sz w:val="21"/>
                <w:szCs w:val="21"/>
                <w:lang w:val="zh-CN"/>
              </w:rPr>
            </w:pPr>
            <w:bookmarkStart w:id="32" w:name="_Toc246826106"/>
            <w:r>
              <w:rPr>
                <w:rFonts w:hint="eastAsia" w:asciiTheme="minorEastAsia" w:hAnsiTheme="minorEastAsia" w:eastAsiaTheme="minorEastAsia" w:cstheme="minorEastAsia"/>
                <w:b/>
                <w:bCs w:val="0"/>
                <w:color w:val="auto"/>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14:paraId="546CCFCB">
            <w:pPr>
              <w:pStyle w:val="32"/>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14:paraId="6C5A1C14">
            <w:pPr>
              <w:pStyle w:val="32"/>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说明和要求</w:t>
            </w:r>
          </w:p>
        </w:tc>
      </w:tr>
      <w:tr w14:paraId="106CA15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14:paraId="2E22C7B9">
            <w:pPr>
              <w:pStyle w:val="32"/>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14:paraId="7C0F2560">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zh-CN"/>
              </w:rPr>
              <w:t>有无带</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kern w:val="0"/>
                <w:sz w:val="21"/>
                <w:szCs w:val="21"/>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14:paraId="6AA06778">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sz w:val="21"/>
                <w:szCs w:val="21"/>
                <w:lang w:val="en-US" w:eastAsia="zh-CN"/>
              </w:rPr>
              <w:t>无)</w:t>
            </w:r>
          </w:p>
          <w:p w14:paraId="63F0CB7F">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有，</w:t>
            </w:r>
            <w:r>
              <w:rPr>
                <w:rFonts w:hint="eastAsia" w:asciiTheme="minorEastAsia" w:hAnsiTheme="minorEastAsia" w:eastAsiaTheme="minorEastAsia" w:cstheme="minorEastAsia"/>
                <w:bCs/>
                <w:color w:val="auto"/>
                <w:sz w:val="21"/>
                <w:szCs w:val="21"/>
                <w:lang w:val="en-US" w:eastAsia="zh-CN"/>
              </w:rPr>
              <w:t>带</w:t>
            </w:r>
            <w:r>
              <w:rPr>
                <w:rFonts w:hint="eastAsia" w:asciiTheme="minorEastAsia" w:hAnsiTheme="minorEastAsia" w:eastAsiaTheme="minorEastAsia" w:cstheme="minorEastAsia"/>
                <w:bCs/>
                <w:color w:val="auto"/>
                <w:sz w:val="21"/>
                <w:szCs w:val="21"/>
                <w:lang w:val="zh-CN" w:eastAsia="zh-CN"/>
              </w:rPr>
              <w:t>★</w:t>
            </w:r>
            <w:r>
              <w:rPr>
                <w:rFonts w:hint="eastAsia" w:asciiTheme="minorEastAsia" w:hAnsiTheme="minorEastAsia" w:eastAsiaTheme="minorEastAsia" w:cstheme="minorEastAsia"/>
                <w:bCs/>
                <w:color w:val="auto"/>
                <w:sz w:val="21"/>
                <w:szCs w:val="21"/>
                <w:lang w:val="en-US" w:eastAsia="zh-CN"/>
              </w:rPr>
              <w:t>的是实质性要求，供应商</w:t>
            </w:r>
            <w:r>
              <w:rPr>
                <w:rFonts w:hint="eastAsia" w:asciiTheme="minorEastAsia" w:hAnsiTheme="minorEastAsia" w:eastAsiaTheme="minorEastAsia" w:cstheme="minorEastAsia"/>
                <w:bCs/>
                <w:color w:val="auto"/>
                <w:sz w:val="21"/>
                <w:szCs w:val="21"/>
                <w:lang w:val="zh-CN" w:eastAsia="zh-CN"/>
              </w:rPr>
              <w:t>必须作出实质性响应满足或优于采购文件的要求，否则视为无效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lang w:val="zh-CN" w:eastAsia="zh-CN"/>
              </w:rPr>
              <w:t>。</w:t>
            </w:r>
          </w:p>
        </w:tc>
      </w:tr>
      <w:tr w14:paraId="4844FBE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14:paraId="35CCF25A">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14:paraId="27FC1435">
            <w:pPr>
              <w:keepNext w:val="0"/>
              <w:keepLines w:val="0"/>
              <w:pageBreakBefore w:val="0"/>
              <w:kinsoku/>
              <w:wordWrap/>
              <w:overflowPunct/>
              <w:topLinePunct w:val="0"/>
              <w:bidi w:val="0"/>
              <w:adjustRightInd w:val="0"/>
              <w:snapToGrid w:val="0"/>
              <w:spacing w:line="400" w:lineRule="exact"/>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标前</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14:paraId="2963C204">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不组织</w:t>
            </w:r>
          </w:p>
        </w:tc>
      </w:tr>
      <w:tr w14:paraId="730EFD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14:paraId="336FDA28">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14:paraId="189CD5A2">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14:paraId="2EEF28DD">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kern w:val="0"/>
                <w:sz w:val="21"/>
                <w:szCs w:val="21"/>
                <w:lang w:val="zh-CN" w:eastAsia="zh-CN"/>
              </w:rPr>
            </w:pPr>
            <w:r>
              <w:rPr>
                <w:rFonts w:hint="eastAsia" w:asciiTheme="minorEastAsia" w:hAnsiTheme="minorEastAsia" w:eastAsiaTheme="minorEastAsia" w:cstheme="minorEastAsia"/>
                <w:bCs/>
                <w:color w:val="auto"/>
                <w:sz w:val="21"/>
                <w:szCs w:val="21"/>
              </w:rPr>
              <w:t>无</w:t>
            </w:r>
          </w:p>
        </w:tc>
      </w:tr>
      <w:tr w14:paraId="73E77D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7BE8BD39">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14:paraId="45A610C5">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14:paraId="0BCA6658">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asciiTheme="minorEastAsia" w:hAnsiTheme="minorEastAsia" w:eastAsiaTheme="minorEastAsia" w:cstheme="minorEastAsia"/>
                <w:bCs/>
                <w:color w:val="auto"/>
                <w:sz w:val="21"/>
                <w:szCs w:val="21"/>
              </w:rPr>
            </w:pPr>
            <w:r>
              <w:rPr>
                <w:rFonts w:hint="eastAsia" w:ascii="宋体" w:hAnsi="宋体" w:eastAsia="宋体" w:cs="宋体"/>
                <w:b w:val="0"/>
                <w:bCs/>
                <w:color w:val="auto"/>
                <w:kern w:val="0"/>
                <w:sz w:val="21"/>
                <w:szCs w:val="21"/>
                <w:lang w:val="zh-CN"/>
              </w:rPr>
              <w:t>不接受</w:t>
            </w:r>
          </w:p>
        </w:tc>
      </w:tr>
      <w:tr w14:paraId="40AEAA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14:paraId="21DF3BF2">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14:paraId="2F9744BD">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14:paraId="1F276E33">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cs="宋体"/>
                <w:b w:val="0"/>
                <w:bCs/>
                <w:color w:val="auto"/>
                <w:kern w:val="0"/>
                <w:sz w:val="21"/>
                <w:szCs w:val="21"/>
                <w:lang w:val="en-US" w:eastAsia="zh-CN"/>
              </w:rPr>
              <w:t>1</w:t>
            </w:r>
            <w:r>
              <w:rPr>
                <w:rFonts w:hint="eastAsia" w:ascii="宋体" w:hAnsi="宋体" w:eastAsia="宋体" w:cs="宋体"/>
                <w:b w:val="0"/>
                <w:bCs/>
                <w:color w:val="auto"/>
                <w:kern w:val="0"/>
                <w:sz w:val="21"/>
                <w:szCs w:val="21"/>
                <w:lang w:val="zh-CN"/>
              </w:rPr>
              <w:t>、</w:t>
            </w:r>
            <w:r>
              <w:rPr>
                <w:rFonts w:hint="eastAsia" w:ascii="宋体" w:hAnsi="宋体" w:cs="宋体"/>
                <w:b w:val="0"/>
                <w:bCs/>
                <w:color w:val="auto"/>
                <w:kern w:val="0"/>
                <w:sz w:val="21"/>
                <w:szCs w:val="21"/>
                <w:lang w:val="en-US" w:eastAsia="zh-CN"/>
              </w:rPr>
              <w:t>响应</w:t>
            </w:r>
            <w:r>
              <w:rPr>
                <w:rFonts w:hint="eastAsia" w:ascii="宋体" w:hAnsi="宋体" w:eastAsia="宋体" w:cs="宋体"/>
                <w:b w:val="0"/>
                <w:bCs/>
                <w:color w:val="auto"/>
                <w:kern w:val="0"/>
                <w:sz w:val="21"/>
                <w:szCs w:val="21"/>
                <w:lang w:val="zh-CN"/>
              </w:rPr>
              <w:t>声明函；</w:t>
            </w:r>
          </w:p>
          <w:p w14:paraId="7F341387">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2、法定代表人授权委托书（提供委托代理人的身份证复印件，非中国国籍的则提供护照复印件）（非法定代表人签署</w:t>
            </w:r>
            <w:r>
              <w:rPr>
                <w:rFonts w:hint="eastAsia" w:ascii="宋体" w:hAnsi="宋体" w:cs="宋体"/>
                <w:b w:val="0"/>
                <w:bCs/>
                <w:color w:val="auto"/>
                <w:kern w:val="0"/>
                <w:sz w:val="21"/>
                <w:szCs w:val="21"/>
                <w:lang w:val="zh-CN"/>
              </w:rPr>
              <w:t>响应文件</w:t>
            </w:r>
            <w:r>
              <w:rPr>
                <w:rFonts w:hint="eastAsia" w:ascii="宋体" w:hAnsi="宋体" w:eastAsia="宋体" w:cs="宋体"/>
                <w:b w:val="0"/>
                <w:bCs/>
                <w:color w:val="auto"/>
                <w:kern w:val="0"/>
                <w:sz w:val="21"/>
                <w:szCs w:val="21"/>
                <w:lang w:val="zh-CN"/>
              </w:rPr>
              <w:t>适用）</w:t>
            </w:r>
            <w:r>
              <w:rPr>
                <w:rFonts w:hint="eastAsia" w:ascii="宋体" w:hAnsi="宋体" w:cs="宋体"/>
                <w:b w:val="0"/>
                <w:bCs/>
                <w:color w:val="auto"/>
                <w:kern w:val="0"/>
                <w:sz w:val="21"/>
                <w:szCs w:val="21"/>
                <w:lang w:val="zh-CN"/>
              </w:rPr>
              <w:t>；</w:t>
            </w:r>
          </w:p>
          <w:p w14:paraId="04E1C2F2">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3、法定代表人身份证明书（提供法定代表人身份证复印件，非中国国籍的则提供护照复印件）；</w:t>
            </w:r>
          </w:p>
          <w:p w14:paraId="60E12A3B">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 w:val="0"/>
                <w:bCs/>
                <w:color w:val="auto"/>
                <w:kern w:val="0"/>
                <w:sz w:val="21"/>
                <w:szCs w:val="21"/>
                <w:lang w:val="zh-CN" w:eastAsia="zh-CN"/>
              </w:rPr>
              <w:t>4、提供</w:t>
            </w:r>
            <w:r>
              <w:rPr>
                <w:rFonts w:hint="eastAsia" w:ascii="宋体" w:hAnsi="宋体" w:eastAsia="宋体" w:cs="宋体"/>
                <w:b w:val="0"/>
                <w:bCs/>
                <w:color w:val="auto"/>
                <w:kern w:val="0"/>
                <w:sz w:val="21"/>
                <w:szCs w:val="21"/>
                <w:lang w:val="zh-CN"/>
              </w:rPr>
              <w:t>营业执照副本</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或事业单位法人证书（事业单位）</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或执业许可证（非企业专业服务机构）</w:t>
            </w:r>
            <w:r>
              <w:rPr>
                <w:rFonts w:hint="eastAsia" w:ascii="宋体" w:hAnsi="宋体" w:eastAsia="宋体" w:cs="宋体"/>
                <w:b w:val="0"/>
                <w:bCs/>
                <w:color w:val="auto"/>
                <w:kern w:val="0"/>
                <w:sz w:val="21"/>
                <w:szCs w:val="21"/>
                <w:lang w:val="zh-CN" w:eastAsia="zh-CN"/>
              </w:rPr>
              <w:t>的</w:t>
            </w:r>
            <w:r>
              <w:rPr>
                <w:rFonts w:hint="eastAsia" w:ascii="宋体" w:hAnsi="宋体" w:eastAsia="宋体" w:cs="宋体"/>
                <w:b w:val="0"/>
                <w:bCs/>
                <w:color w:val="auto"/>
                <w:kern w:val="0"/>
                <w:sz w:val="21"/>
                <w:szCs w:val="21"/>
                <w:lang w:val="zh-CN"/>
              </w:rPr>
              <w:t>复印件</w:t>
            </w:r>
            <w:r>
              <w:rPr>
                <w:rFonts w:hint="eastAsia" w:ascii="宋体" w:hAnsi="宋体" w:eastAsia="宋体" w:cs="宋体"/>
                <w:bCs/>
                <w:color w:val="auto"/>
                <w:kern w:val="0"/>
                <w:sz w:val="21"/>
                <w:szCs w:val="21"/>
                <w:lang w:val="zh-CN"/>
              </w:rPr>
              <w:t>；如果</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为自然人的则提供身份证复印件；</w:t>
            </w:r>
          </w:p>
          <w:p w14:paraId="65C9DD9A">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Cs/>
                <w:color w:val="auto"/>
                <w:kern w:val="0"/>
                <w:sz w:val="21"/>
                <w:szCs w:val="21"/>
                <w:lang w:val="zh-CN"/>
              </w:rPr>
              <w:t>5、</w:t>
            </w:r>
            <w:r>
              <w:rPr>
                <w:rFonts w:hint="eastAsia" w:asciiTheme="minorEastAsia" w:hAnsiTheme="minorEastAsia" w:eastAsiaTheme="minorEastAsia" w:cstheme="minorEastAsia"/>
                <w:bCs/>
                <w:color w:val="auto"/>
                <w:kern w:val="0"/>
                <w:sz w:val="21"/>
                <w:szCs w:val="21"/>
              </w:rPr>
              <w:t>具有良好的商业信誉和健全的财务会计制度</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具有履行合同所必需的设备和专业技术能力</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有依法缴纳税收和社会保障资金的良好记录</w:t>
            </w:r>
            <w:r>
              <w:rPr>
                <w:rFonts w:hint="eastAsia" w:asciiTheme="minorEastAsia" w:hAnsiTheme="minorEastAsia" w:eastAsiaTheme="minorEastAsia" w:cstheme="minorEastAsia"/>
                <w:bCs/>
                <w:color w:val="auto"/>
                <w:kern w:val="0"/>
                <w:sz w:val="21"/>
                <w:szCs w:val="21"/>
                <w:lang w:eastAsia="zh-CN"/>
              </w:rPr>
              <w:t>及</w:t>
            </w:r>
            <w:r>
              <w:rPr>
                <w:rFonts w:hint="eastAsia" w:asciiTheme="minorEastAsia" w:hAnsiTheme="minorEastAsia" w:eastAsiaTheme="minorEastAsia" w:cstheme="minorEastAsia"/>
                <w:bCs/>
                <w:color w:val="auto"/>
                <w:kern w:val="0"/>
                <w:sz w:val="21"/>
                <w:szCs w:val="21"/>
              </w:rPr>
              <w:t>参加政府采购活动前三年内，在经营活动中没有重大违法记录</w:t>
            </w:r>
            <w:r>
              <w:rPr>
                <w:rFonts w:hint="eastAsia" w:asciiTheme="minorEastAsia" w:hAnsiTheme="minorEastAsia" w:eastAsiaTheme="minorEastAsia" w:cstheme="minorEastAsia"/>
                <w:bCs/>
                <w:color w:val="auto"/>
                <w:kern w:val="0"/>
                <w:sz w:val="21"/>
                <w:szCs w:val="21"/>
                <w:lang w:eastAsia="zh-CN"/>
              </w:rPr>
              <w:t>的资格承诺函（详见格式</w:t>
            </w:r>
            <w:r>
              <w:rPr>
                <w:rFonts w:hint="eastAsia" w:asciiTheme="minorEastAsia" w:hAnsiTheme="minorEastAsia" w:eastAsiaTheme="minorEastAsia" w:cstheme="minorEastAsia"/>
                <w:bCs/>
                <w:color w:val="auto"/>
                <w:kern w:val="0"/>
                <w:sz w:val="21"/>
                <w:szCs w:val="21"/>
                <w:lang w:val="en-US" w:eastAsia="zh-CN"/>
              </w:rPr>
              <w:t>6</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w:t>
            </w:r>
          </w:p>
          <w:p w14:paraId="23F2B222">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6</w:t>
            </w:r>
            <w:r>
              <w:rPr>
                <w:rFonts w:hint="eastAsia" w:ascii="宋体" w:hAnsi="宋体" w:eastAsia="宋体" w:cs="宋体"/>
                <w:bCs/>
                <w:color w:val="auto"/>
                <w:kern w:val="0"/>
                <w:sz w:val="21"/>
                <w:szCs w:val="21"/>
                <w:lang w:val="zh-CN"/>
              </w:rPr>
              <w:t>、资格审查及符合性审查要求提供的其他资料（详见资格审查表及符合性审查表要求）；</w:t>
            </w:r>
          </w:p>
          <w:p w14:paraId="63776BD9">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评审标准</w:t>
            </w:r>
            <w:r>
              <w:rPr>
                <w:rFonts w:hint="eastAsia" w:ascii="宋体" w:hAnsi="宋体" w:eastAsia="宋体" w:cs="宋体"/>
                <w:bCs/>
                <w:color w:val="auto"/>
                <w:kern w:val="0"/>
                <w:sz w:val="21"/>
                <w:szCs w:val="21"/>
                <w:lang w:val="zh-CN"/>
              </w:rPr>
              <w:t>要求提供的其他资料（详见</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细则要求）；</w:t>
            </w:r>
          </w:p>
          <w:p w14:paraId="4E14ADAA">
            <w:pPr>
              <w:keepNext w:val="0"/>
              <w:keepLines w:val="0"/>
              <w:pageBreakBefore w:val="0"/>
              <w:widowControl w:val="0"/>
              <w:kinsoku/>
              <w:wordWrap/>
              <w:overflowPunct/>
              <w:topLinePunct w:val="0"/>
              <w:autoSpaceDE/>
              <w:autoSpaceDN/>
              <w:bidi w:val="0"/>
              <w:adjustRightInd w:val="0"/>
              <w:snapToGrid w:val="0"/>
              <w:spacing w:line="400" w:lineRule="exact"/>
              <w:ind w:left="210" w:leftChars="100"/>
              <w:jc w:val="left"/>
              <w:textAlignment w:val="auto"/>
              <w:rPr>
                <w:rFonts w:asciiTheme="minorEastAsia" w:hAnsiTheme="minorEastAsia" w:eastAsiaTheme="minorEastAsia" w:cstheme="minorEastAsia"/>
                <w:bCs/>
                <w:color w:val="auto"/>
                <w:kern w:val="0"/>
                <w:sz w:val="21"/>
                <w:szCs w:val="21"/>
                <w:lang w:val="zh-CN"/>
              </w:rPr>
            </w:pPr>
            <w:r>
              <w:rPr>
                <w:rFonts w:hint="eastAsia" w:ascii="宋体" w:hAnsi="宋体" w:cs="宋体"/>
                <w:bCs/>
                <w:color w:val="auto"/>
                <w:kern w:val="0"/>
                <w:sz w:val="21"/>
                <w:szCs w:val="21"/>
                <w:lang w:val="en-US" w:eastAsia="zh-CN"/>
              </w:rPr>
              <w:t>8</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认为需要提供的其他资格证明文件和商务资料。</w:t>
            </w:r>
          </w:p>
        </w:tc>
      </w:tr>
      <w:tr w14:paraId="5AE71D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14:paraId="5999CD2B">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14:paraId="4C373A79">
            <w:pPr>
              <w:keepNext w:val="0"/>
              <w:keepLines w:val="0"/>
              <w:pageBreakBefore w:val="0"/>
              <w:kinsoku/>
              <w:wordWrap/>
              <w:overflowPunct/>
              <w:topLinePunct w:val="0"/>
              <w:bidi w:val="0"/>
              <w:adjustRightInd w:val="0"/>
              <w:snapToGrid w:val="0"/>
              <w:spacing w:line="400" w:lineRule="exact"/>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w:t>
            </w:r>
            <w:r>
              <w:rPr>
                <w:rFonts w:hint="eastAsia" w:asciiTheme="minorEastAsia" w:hAnsiTheme="minorEastAsia" w:eastAsiaTheme="minorEastAsia" w:cstheme="minorEastAsia"/>
                <w:bCs/>
                <w:color w:val="auto"/>
                <w:kern w:val="0"/>
                <w:sz w:val="21"/>
                <w:szCs w:val="21"/>
                <w:lang w:val="zh-CN"/>
              </w:rPr>
              <w:t>提供的</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sz w:val="21"/>
                <w:szCs w:val="21"/>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14:paraId="70043E25">
            <w:pPr>
              <w:keepNext w:val="0"/>
              <w:keepLines w:val="0"/>
              <w:pageBreakBefore w:val="0"/>
              <w:numPr>
                <w:ilvl w:val="0"/>
                <w:numId w:val="0"/>
              </w:numPr>
              <w:kinsoku/>
              <w:wordWrap/>
              <w:overflowPunct/>
              <w:topLinePunct w:val="0"/>
              <w:bidi w:val="0"/>
              <w:adjustRightInd w:val="0"/>
              <w:snapToGrid w:val="0"/>
              <w:spacing w:line="400" w:lineRule="exact"/>
              <w:ind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lang w:val="zh-CN"/>
              </w:rPr>
              <w:t>开标一览表</w:t>
            </w:r>
          </w:p>
          <w:p w14:paraId="70103090">
            <w:pPr>
              <w:keepNext w:val="0"/>
              <w:keepLines w:val="0"/>
              <w:pageBreakBefore w:val="0"/>
              <w:numPr>
                <w:ilvl w:val="0"/>
                <w:numId w:val="0"/>
              </w:numPr>
              <w:kinsoku/>
              <w:wordWrap/>
              <w:overflowPunct/>
              <w:topLinePunct w:val="0"/>
              <w:bidi w:val="0"/>
              <w:adjustRightInd w:val="0"/>
              <w:snapToGrid w:val="0"/>
              <w:spacing w:line="400" w:lineRule="exact"/>
              <w:ind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kern w:val="0"/>
                <w:sz w:val="21"/>
                <w:szCs w:val="21"/>
                <w:lang w:val="en-US" w:eastAsia="zh-CN"/>
              </w:rPr>
              <w:t>2、响应</w:t>
            </w:r>
            <w:r>
              <w:rPr>
                <w:rFonts w:hint="eastAsia" w:asciiTheme="minorEastAsia" w:hAnsiTheme="minorEastAsia" w:eastAsiaTheme="minorEastAsia" w:cstheme="minorEastAsia"/>
                <w:bCs/>
                <w:color w:val="auto"/>
                <w:kern w:val="0"/>
                <w:sz w:val="21"/>
                <w:szCs w:val="21"/>
                <w:lang w:val="zh-CN"/>
              </w:rPr>
              <w:t>报价明细表</w:t>
            </w:r>
          </w:p>
        </w:tc>
      </w:tr>
      <w:tr w14:paraId="75BC7F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14:paraId="748221FA">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14:paraId="576C33D3">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14:paraId="327C4092">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自</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截止之日起</w:t>
            </w:r>
            <w:r>
              <w:rPr>
                <w:rFonts w:hint="eastAsia" w:asciiTheme="minorEastAsia" w:hAnsiTheme="minorEastAsia" w:eastAsiaTheme="minorEastAsia" w:cstheme="minorEastAsia"/>
                <w:bCs/>
                <w:color w:val="auto"/>
                <w:sz w:val="21"/>
                <w:szCs w:val="21"/>
                <w:highlight w:val="none"/>
                <w:lang w:val="en-US" w:eastAsia="zh-CN"/>
              </w:rPr>
              <w:t>90</w:t>
            </w:r>
            <w:r>
              <w:rPr>
                <w:rFonts w:hint="eastAsia" w:asciiTheme="minorEastAsia" w:hAnsiTheme="minorEastAsia" w:eastAsiaTheme="minorEastAsia" w:cstheme="minorEastAsia"/>
                <w:bCs/>
                <w:color w:val="auto"/>
                <w:sz w:val="21"/>
                <w:szCs w:val="21"/>
                <w:highlight w:val="none"/>
              </w:rPr>
              <w:t>天。</w:t>
            </w:r>
          </w:p>
        </w:tc>
      </w:tr>
      <w:tr w14:paraId="4D2B21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362511C8">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9</w:t>
            </w:r>
          </w:p>
        </w:tc>
        <w:tc>
          <w:tcPr>
            <w:tcW w:w="2435" w:type="dxa"/>
            <w:tcBorders>
              <w:top w:val="single" w:color="auto" w:sz="8" w:space="0"/>
              <w:left w:val="single" w:color="auto" w:sz="4" w:space="0"/>
              <w:bottom w:val="single" w:color="auto" w:sz="8" w:space="0"/>
              <w:right w:val="single" w:color="auto" w:sz="8" w:space="0"/>
            </w:tcBorders>
            <w:vAlign w:val="center"/>
          </w:tcPr>
          <w:p w14:paraId="336F186C">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eastAsia" w:ascii="宋体" w:hAnsi="宋体" w:eastAsia="宋体" w:cs="宋体"/>
                <w:bCs/>
                <w:color w:val="auto"/>
                <w:kern w:val="2"/>
                <w:sz w:val="21"/>
                <w:szCs w:val="21"/>
                <w:lang w:val="en-US" w:eastAsia="zh-CN" w:bidi="ar-SA"/>
              </w:rPr>
            </w:pPr>
            <w:r>
              <w:rPr>
                <w:rFonts w:hint="eastAsia" w:cs="宋体"/>
                <w:bCs/>
                <w:color w:val="auto"/>
                <w:kern w:val="2"/>
                <w:sz w:val="21"/>
                <w:szCs w:val="21"/>
                <w:lang w:val="zh-CN" w:eastAsia="zh-CN" w:bidi="ar-SA"/>
              </w:rPr>
              <w:t>响应保证金</w:t>
            </w:r>
            <w:r>
              <w:rPr>
                <w:rFonts w:hint="eastAsia" w:ascii="宋体" w:hAnsi="宋体" w:eastAsia="宋体" w:cs="宋体"/>
                <w:bCs/>
                <w:color w:val="auto"/>
                <w:kern w:val="2"/>
                <w:sz w:val="21"/>
                <w:szCs w:val="21"/>
                <w:lang w:val="en-US" w:eastAsia="zh-CN" w:bidi="ar-SA"/>
              </w:rPr>
              <w:t>要求</w:t>
            </w:r>
          </w:p>
          <w:p w14:paraId="552F3439">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default" w:ascii="宋体" w:hAnsi="宋体" w:eastAsia="宋体" w:cs="宋体"/>
                <w:bCs/>
                <w:color w:val="auto"/>
                <w:kern w:val="2"/>
                <w:sz w:val="21"/>
                <w:szCs w:val="21"/>
                <w:lang w:val="en-US" w:eastAsia="zh-CN" w:bidi="ar-SA"/>
              </w:rPr>
            </w:pPr>
          </w:p>
        </w:tc>
        <w:tc>
          <w:tcPr>
            <w:tcW w:w="5220" w:type="dxa"/>
            <w:tcBorders>
              <w:top w:val="single" w:color="auto" w:sz="8" w:space="0"/>
              <w:left w:val="single" w:color="auto" w:sz="8" w:space="0"/>
              <w:bottom w:val="single" w:color="auto" w:sz="8" w:space="0"/>
              <w:right w:val="single" w:color="auto" w:sz="18" w:space="0"/>
            </w:tcBorders>
            <w:vAlign w:val="center"/>
          </w:tcPr>
          <w:p w14:paraId="042951DC">
            <w:pPr>
              <w:pStyle w:val="6"/>
              <w:keepNext w:val="0"/>
              <w:keepLines w:val="0"/>
              <w:pageBreakBefore w:val="0"/>
              <w:kinsoku/>
              <w:wordWrap/>
              <w:overflowPunct/>
              <w:topLinePunct w:val="0"/>
              <w:bidi w:val="0"/>
              <w:adjustRightInd w:val="0"/>
              <w:snapToGrid w:val="0"/>
              <w:spacing w:line="400" w:lineRule="exact"/>
              <w:ind w:left="0" w:leftChars="0" w:firstLine="0" w:firstLineChars="0"/>
              <w:textAlignment w:val="auto"/>
              <w:rPr>
                <w:rFonts w:hint="default" w:eastAsia="宋体" w:asciiTheme="minorEastAsia" w:hAnsiTheme="minorEastAsia" w:cstheme="minorEastAsia"/>
                <w:bCs/>
                <w:color w:val="auto"/>
                <w:sz w:val="21"/>
                <w:szCs w:val="21"/>
                <w:lang w:val="en-US" w:eastAsia="zh-CN"/>
              </w:rPr>
            </w:pPr>
            <w:r>
              <w:rPr>
                <w:rFonts w:hint="eastAsia" w:ascii="宋体" w:hAnsi="宋体" w:cs="宋体"/>
                <w:bCs/>
                <w:color w:val="auto"/>
                <w:sz w:val="21"/>
                <w:szCs w:val="21"/>
                <w:lang w:val="en-US" w:eastAsia="zh-CN"/>
              </w:rPr>
              <w:t>本项目不收取保证金</w:t>
            </w:r>
          </w:p>
        </w:tc>
      </w:tr>
      <w:tr w14:paraId="542221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5370C83D">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14:paraId="26F09976">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lang w:val="zh-CN"/>
              </w:rPr>
              <w:t>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14:paraId="6D199018">
            <w:pPr>
              <w:pStyle w:val="6"/>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1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①</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正本</w:t>
            </w:r>
            <w:r>
              <w:rPr>
                <w:rFonts w:hint="eastAsia" w:asciiTheme="minorEastAsia" w:hAnsiTheme="minorEastAsia" w:eastAsiaTheme="minorEastAsia" w:cstheme="minorEastAsia"/>
                <w:bCs/>
                <w:color w:val="auto"/>
                <w:kern w:val="2"/>
                <w:sz w:val="21"/>
                <w:szCs w:val="21"/>
                <w:u w:val="single"/>
                <w:lang w:val="zh-CN" w:eastAsia="zh-CN" w:bidi="ar-SA"/>
              </w:rPr>
              <w:t xml:space="preserve"> 一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2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②</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副本</w:t>
            </w:r>
            <w:r>
              <w:rPr>
                <w:rFonts w:hint="eastAsia" w:asciiTheme="minorEastAsia" w:hAnsiTheme="minorEastAsia" w:eastAsiaTheme="minorEastAsia" w:cstheme="minorEastAsia"/>
                <w:bCs/>
                <w:color w:val="auto"/>
                <w:kern w:val="2"/>
                <w:sz w:val="21"/>
                <w:szCs w:val="21"/>
                <w:u w:val="single"/>
                <w:lang w:val="en-US" w:eastAsia="zh-CN" w:bidi="ar-SA"/>
              </w:rPr>
              <w:t xml:space="preserve"> 贰</w:t>
            </w:r>
            <w:r>
              <w:rPr>
                <w:rFonts w:hint="eastAsia" w:asciiTheme="minorEastAsia" w:hAnsiTheme="minorEastAsia" w:eastAsiaTheme="minorEastAsia" w:cstheme="minorEastAsia"/>
                <w:bCs/>
                <w:color w:val="auto"/>
                <w:kern w:val="2"/>
                <w:sz w:val="21"/>
                <w:szCs w:val="21"/>
                <w:u w:val="single"/>
                <w:lang w:val="zh-CN" w:eastAsia="zh-CN" w:bidi="ar-SA"/>
              </w:rPr>
              <w:t xml:space="preserve">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3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③</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电子版响应文件</w:t>
            </w:r>
            <w:r>
              <w:rPr>
                <w:rFonts w:hint="eastAsia" w:asciiTheme="minorEastAsia" w:hAnsiTheme="minorEastAsia" w:eastAsiaTheme="minorEastAsia" w:cstheme="minorEastAsia"/>
                <w:bCs/>
                <w:color w:val="auto"/>
                <w:kern w:val="2"/>
                <w:sz w:val="21"/>
                <w:szCs w:val="21"/>
                <w:lang w:val="en-US" w:eastAsia="zh-CN" w:bidi="ar-SA"/>
              </w:rPr>
              <w:t>U盘一个。</w:t>
            </w:r>
          </w:p>
          <w:p w14:paraId="570F1D64">
            <w:pPr>
              <w:keepNext w:val="0"/>
              <w:keepLines w:val="0"/>
              <w:pageBreakBefore w:val="0"/>
              <w:tabs>
                <w:tab w:val="left" w:pos="420"/>
              </w:tabs>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w:t>
            </w:r>
          </w:p>
          <w:p w14:paraId="4D10B508">
            <w:pPr>
              <w:keepNext w:val="0"/>
              <w:keepLines w:val="0"/>
              <w:pageBreakBefore w:val="0"/>
              <w:tabs>
                <w:tab w:val="left" w:pos="420"/>
              </w:tabs>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少于</w:t>
            </w:r>
            <w:r>
              <w:rPr>
                <w:rFonts w:hint="eastAsia" w:asciiTheme="minorEastAsia" w:hAnsiTheme="minorEastAsia" w:eastAsiaTheme="minorEastAsia" w:cstheme="minorEastAsia"/>
                <w:bCs/>
                <w:color w:val="auto"/>
                <w:sz w:val="21"/>
                <w:szCs w:val="21"/>
              </w:rPr>
              <w:t>数量要求的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0F215DCB">
            <w:pPr>
              <w:pStyle w:val="6"/>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sz w:val="21"/>
                <w:szCs w:val="21"/>
              </w:rPr>
              <w:t>2、电子版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val="zh-CN"/>
              </w:rPr>
              <w:t>响应文件</w:t>
            </w:r>
            <w:r>
              <w:rPr>
                <w:rFonts w:hint="eastAsia" w:asciiTheme="minorEastAsia" w:hAnsiTheme="minorEastAsia" w:eastAsiaTheme="minorEastAsia" w:cstheme="minorEastAsia"/>
                <w:bCs/>
                <w:color w:val="auto"/>
                <w:sz w:val="21"/>
                <w:szCs w:val="21"/>
              </w:rPr>
              <w:t>须是PDF格式）为正本完整版的扫描件</w:t>
            </w:r>
            <w:r>
              <w:rPr>
                <w:rFonts w:hint="eastAsia" w:asciiTheme="minorEastAsia" w:hAnsiTheme="minorEastAsia" w:eastAsiaTheme="minorEastAsia" w:cstheme="minorEastAsia"/>
                <w:bCs/>
                <w:color w:val="auto"/>
                <w:sz w:val="21"/>
                <w:szCs w:val="21"/>
                <w:lang w:val="zh-CN"/>
              </w:rPr>
              <w:t>。</w:t>
            </w:r>
          </w:p>
        </w:tc>
      </w:tr>
      <w:tr w14:paraId="3079960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7FE80E3D">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14:paraId="2405494C">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14:paraId="6E7DF14C">
            <w:pPr>
              <w:pStyle w:val="32"/>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正本和副本须密封，并在密封处加盖单位公章或</w:t>
            </w:r>
            <w:r>
              <w:rPr>
                <w:rFonts w:hint="eastAsia" w:asciiTheme="minorEastAsia" w:hAnsiTheme="minorEastAsia" w:eastAsiaTheme="minorEastAsia" w:cstheme="minorEastAsia"/>
                <w:bCs/>
                <w:color w:val="auto"/>
                <w:sz w:val="21"/>
                <w:szCs w:val="21"/>
                <w:highlight w:val="none"/>
                <w:lang w:val="en-US" w:eastAsia="zh-CN"/>
              </w:rPr>
              <w:t>供应商授权</w:t>
            </w:r>
            <w:r>
              <w:rPr>
                <w:rFonts w:hint="eastAsia" w:asciiTheme="minorEastAsia" w:hAnsiTheme="minorEastAsia" w:eastAsiaTheme="minorEastAsia" w:cstheme="minorEastAsia"/>
                <w:bCs/>
                <w:color w:val="auto"/>
                <w:sz w:val="21"/>
                <w:szCs w:val="21"/>
                <w:highlight w:val="none"/>
              </w:rPr>
              <w:t>代表签名；</w:t>
            </w:r>
          </w:p>
          <w:p w14:paraId="758E0048">
            <w:pPr>
              <w:pStyle w:val="32"/>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（PDF格式）</w:t>
            </w:r>
            <w:r>
              <w:rPr>
                <w:rFonts w:hint="eastAsia" w:asciiTheme="minorEastAsia" w:hAnsiTheme="minorEastAsia" w:eastAsiaTheme="minorEastAsia" w:cstheme="minorEastAsia"/>
                <w:bCs/>
                <w:color w:val="auto"/>
                <w:sz w:val="21"/>
                <w:szCs w:val="21"/>
                <w:highlight w:val="none"/>
                <w:lang w:val="en-US" w:eastAsia="zh-CN"/>
              </w:rPr>
              <w:t>与开标一览表一并</w:t>
            </w:r>
            <w:r>
              <w:rPr>
                <w:rFonts w:hint="eastAsia" w:asciiTheme="minorEastAsia" w:hAnsiTheme="minorEastAsia" w:eastAsiaTheme="minorEastAsia" w:cstheme="minorEastAsia"/>
                <w:bCs/>
                <w:color w:val="auto"/>
                <w:sz w:val="21"/>
                <w:szCs w:val="21"/>
                <w:highlight w:val="none"/>
              </w:rPr>
              <w:t>密封，并在密封处加盖单位公章或</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签名。</w:t>
            </w:r>
          </w:p>
          <w:p w14:paraId="0732B042">
            <w:pPr>
              <w:pStyle w:val="32"/>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和纸质版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一起提交。</w:t>
            </w:r>
          </w:p>
          <w:p w14:paraId="7A08868A">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default" w:asciiTheme="minorEastAsia" w:hAnsiTheme="minorEastAsia" w:eastAsiaTheme="minorEastAsia" w:cstheme="minorEastAsia"/>
                <w:bCs/>
                <w:color w:val="auto"/>
                <w:kern w:val="2"/>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rPr>
              <w:t>要求：不符合</w:t>
            </w:r>
            <w:r>
              <w:rPr>
                <w:rFonts w:hint="eastAsia" w:asciiTheme="minorEastAsia" w:hAnsiTheme="minorEastAsia" w:eastAsiaTheme="minorEastAsia" w:cstheme="minorEastAsia"/>
                <w:bCs/>
                <w:color w:val="auto"/>
                <w:kern w:val="2"/>
                <w:sz w:val="21"/>
                <w:szCs w:val="21"/>
                <w:highlight w:val="none"/>
                <w:lang w:val="en-US" w:eastAsia="zh-CN"/>
              </w:rPr>
              <w:t>上述密封签章</w:t>
            </w:r>
            <w:r>
              <w:rPr>
                <w:rFonts w:hint="eastAsia" w:asciiTheme="minorEastAsia" w:hAnsiTheme="minorEastAsia" w:eastAsiaTheme="minorEastAsia" w:cstheme="minorEastAsia"/>
                <w:bCs/>
                <w:color w:val="auto"/>
                <w:kern w:val="2"/>
                <w:sz w:val="21"/>
                <w:szCs w:val="21"/>
                <w:highlight w:val="none"/>
              </w:rPr>
              <w:t>要求的</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存在</w:t>
            </w:r>
            <w:r>
              <w:rPr>
                <w:rFonts w:hint="eastAsia" w:asciiTheme="minorEastAsia" w:hAnsiTheme="minorEastAsia" w:eastAsiaTheme="minorEastAsia" w:cstheme="minorEastAsia"/>
                <w:bCs/>
                <w:color w:val="auto"/>
                <w:kern w:val="2"/>
                <w:sz w:val="21"/>
                <w:szCs w:val="21"/>
                <w:highlight w:val="none"/>
              </w:rPr>
              <w:t>视为无效</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风险</w:t>
            </w:r>
            <w:r>
              <w:rPr>
                <w:rFonts w:hint="eastAsia" w:asciiTheme="minorEastAsia" w:hAnsiTheme="minorEastAsia" w:eastAsiaTheme="minorEastAsia" w:cstheme="minorEastAsia"/>
                <w:bCs/>
                <w:color w:val="auto"/>
                <w:kern w:val="2"/>
                <w:sz w:val="21"/>
                <w:szCs w:val="21"/>
                <w:highlight w:val="none"/>
              </w:rPr>
              <w:t>。</w:t>
            </w:r>
          </w:p>
        </w:tc>
      </w:tr>
      <w:tr w14:paraId="57D8AC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14:paraId="743BACC7">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r>
              <w:rPr>
                <w:rFonts w:hint="eastAsia" w:asciiTheme="minorEastAsia" w:hAnsiTheme="minorEastAsia" w:eastAsiaTheme="minorEastAsia" w:cstheme="minorEastAsia"/>
                <w:bCs/>
                <w:color w:val="auto"/>
                <w:sz w:val="21"/>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14:paraId="74DAAB1D">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封套上标示</w:t>
            </w:r>
          </w:p>
        </w:tc>
        <w:tc>
          <w:tcPr>
            <w:tcW w:w="5220" w:type="dxa"/>
            <w:tcBorders>
              <w:top w:val="single" w:color="auto" w:sz="8" w:space="0"/>
              <w:left w:val="single" w:color="auto" w:sz="8" w:space="0"/>
              <w:bottom w:val="single" w:color="auto" w:sz="8" w:space="0"/>
              <w:right w:val="single" w:color="auto" w:sz="18" w:space="0"/>
            </w:tcBorders>
            <w:vAlign w:val="center"/>
          </w:tcPr>
          <w:p w14:paraId="73B021F4">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    正本（副本）</w:t>
            </w:r>
          </w:p>
          <w:p w14:paraId="4C54B353">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u w:val="single"/>
              </w:rPr>
            </w:pPr>
            <w:r>
              <w:rPr>
                <w:rFonts w:hint="eastAsia" w:asciiTheme="minorEastAsia" w:hAnsiTheme="minorEastAsia" w:eastAsiaTheme="minorEastAsia" w:cstheme="minorEastAsia"/>
                <w:bCs/>
                <w:color w:val="auto"/>
                <w:sz w:val="21"/>
                <w:szCs w:val="21"/>
              </w:rPr>
              <w:t>项目名称:</w:t>
            </w:r>
          </w:p>
          <w:p w14:paraId="3263F0CD">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项目编号（分包号，如果有）：</w:t>
            </w:r>
          </w:p>
          <w:p w14:paraId="4EFE90E1">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的名称（加盖公章）：</w:t>
            </w:r>
          </w:p>
          <w:p w14:paraId="160B7225">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联系人姓名、联系电话：</w:t>
            </w:r>
          </w:p>
          <w:p w14:paraId="10BA3CB0">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highlight w:val="none"/>
              </w:rPr>
              <w:t>于</w:t>
            </w:r>
            <w:r>
              <w:rPr>
                <w:rFonts w:hint="eastAsia" w:asciiTheme="minorEastAsia" w:hAnsiTheme="minorEastAsia" w:eastAsiaTheme="minorEastAsia" w:cstheme="minorEastAsia"/>
                <w:bCs/>
                <w:color w:val="auto"/>
                <w:kern w:val="0"/>
                <w:sz w:val="21"/>
                <w:szCs w:val="21"/>
                <w:highlight w:val="none"/>
                <w:lang w:val="en-US" w:eastAsia="zh-CN" w:bidi="ar-SA"/>
              </w:rPr>
              <w:t>在2024</w:t>
            </w:r>
            <w:r>
              <w:rPr>
                <w:rFonts w:hint="eastAsia" w:asciiTheme="minorEastAsia" w:hAnsiTheme="minorEastAsia" w:eastAsiaTheme="minorEastAsia" w:cstheme="minorEastAsia"/>
                <w:bCs/>
                <w:color w:val="auto"/>
                <w:kern w:val="0"/>
                <w:sz w:val="21"/>
                <w:szCs w:val="21"/>
                <w:highlight w:val="none"/>
                <w:lang w:val="zh-CN" w:eastAsia="zh-CN" w:bidi="ar-SA"/>
              </w:rPr>
              <w:t>年</w:t>
            </w:r>
            <w:r>
              <w:rPr>
                <w:rFonts w:hint="eastAsia" w:asciiTheme="minorEastAsia" w:hAnsiTheme="minorEastAsia" w:eastAsiaTheme="minorEastAsia" w:cstheme="minorEastAsia"/>
                <w:bCs/>
                <w:color w:val="auto"/>
                <w:kern w:val="0"/>
                <w:sz w:val="21"/>
                <w:szCs w:val="21"/>
                <w:highlight w:val="none"/>
                <w:lang w:val="en-US" w:eastAsia="zh-CN" w:bidi="ar-SA"/>
              </w:rPr>
              <w:t>12</w:t>
            </w:r>
            <w:r>
              <w:rPr>
                <w:rFonts w:hint="eastAsia" w:asciiTheme="minorEastAsia" w:hAnsiTheme="minorEastAsia" w:eastAsiaTheme="minorEastAsia" w:cstheme="minorEastAsia"/>
                <w:bCs/>
                <w:color w:val="auto"/>
                <w:kern w:val="0"/>
                <w:sz w:val="21"/>
                <w:szCs w:val="21"/>
                <w:highlight w:val="none"/>
                <w:lang w:val="zh-CN" w:eastAsia="zh-CN" w:bidi="ar-SA"/>
              </w:rPr>
              <w:t>月</w:t>
            </w:r>
            <w:r>
              <w:rPr>
                <w:rFonts w:hint="eastAsia" w:asciiTheme="minorEastAsia" w:hAnsiTheme="minorEastAsia" w:eastAsiaTheme="minorEastAsia" w:cstheme="minorEastAsia"/>
                <w:bCs/>
                <w:color w:val="auto"/>
                <w:kern w:val="0"/>
                <w:sz w:val="21"/>
                <w:szCs w:val="21"/>
                <w:highlight w:val="none"/>
                <w:lang w:val="en-US" w:eastAsia="zh-CN" w:bidi="ar-SA"/>
              </w:rPr>
              <w:t>9</w:t>
            </w:r>
            <w:r>
              <w:rPr>
                <w:rFonts w:hint="eastAsia" w:asciiTheme="minorEastAsia" w:hAnsiTheme="minorEastAsia" w:eastAsiaTheme="minorEastAsia" w:cstheme="minorEastAsia"/>
                <w:bCs/>
                <w:color w:val="auto"/>
                <w:kern w:val="0"/>
                <w:sz w:val="21"/>
                <w:szCs w:val="21"/>
                <w:highlight w:val="none"/>
                <w:lang w:val="zh-CN" w:eastAsia="zh-CN" w:bidi="ar-SA"/>
              </w:rPr>
              <w:t>日</w:t>
            </w:r>
            <w:r>
              <w:rPr>
                <w:rFonts w:hint="eastAsia" w:asciiTheme="minorEastAsia" w:hAnsiTheme="minorEastAsia" w:eastAsiaTheme="minorEastAsia" w:cstheme="minorEastAsia"/>
                <w:bCs/>
                <w:color w:val="auto"/>
                <w:kern w:val="0"/>
                <w:sz w:val="21"/>
                <w:szCs w:val="21"/>
                <w:highlight w:val="none"/>
                <w:lang w:val="en-US" w:eastAsia="zh-CN" w:bidi="ar-SA"/>
              </w:rPr>
              <w:t>10</w:t>
            </w:r>
            <w:r>
              <w:rPr>
                <w:rFonts w:hint="eastAsia" w:asciiTheme="minorEastAsia" w:hAnsiTheme="minorEastAsia" w:eastAsiaTheme="minorEastAsia" w:cstheme="minorEastAsia"/>
                <w:bCs/>
                <w:color w:val="auto"/>
                <w:kern w:val="0"/>
                <w:sz w:val="21"/>
                <w:szCs w:val="21"/>
                <w:highlight w:val="none"/>
                <w:lang w:val="zh-CN" w:eastAsia="zh-CN" w:bidi="ar-SA"/>
              </w:rPr>
              <w:t>时</w:t>
            </w:r>
            <w:r>
              <w:rPr>
                <w:rFonts w:hint="eastAsia" w:asciiTheme="minorEastAsia" w:hAnsiTheme="minorEastAsia" w:eastAsiaTheme="minorEastAsia" w:cstheme="minorEastAsia"/>
                <w:bCs/>
                <w:color w:val="auto"/>
                <w:kern w:val="0"/>
                <w:sz w:val="21"/>
                <w:szCs w:val="21"/>
                <w:highlight w:val="none"/>
                <w:lang w:val="en-US" w:eastAsia="zh-CN" w:bidi="ar-SA"/>
              </w:rPr>
              <w:t>00</w:t>
            </w:r>
            <w:r>
              <w:rPr>
                <w:rFonts w:hint="eastAsia" w:asciiTheme="minorEastAsia" w:hAnsiTheme="minorEastAsia" w:eastAsiaTheme="minorEastAsia" w:cstheme="minorEastAsia"/>
                <w:bCs/>
                <w:color w:val="auto"/>
                <w:kern w:val="0"/>
                <w:sz w:val="21"/>
                <w:szCs w:val="21"/>
                <w:highlight w:val="none"/>
                <w:lang w:val="zh-CN" w:eastAsia="zh-CN" w:bidi="ar-SA"/>
              </w:rPr>
              <w:t>分前</w:t>
            </w:r>
            <w:r>
              <w:rPr>
                <w:rFonts w:hint="eastAsia" w:asciiTheme="minorEastAsia" w:hAnsiTheme="minorEastAsia" w:eastAsiaTheme="minorEastAsia" w:cstheme="minorEastAsia"/>
                <w:bCs/>
                <w:color w:val="auto"/>
                <w:kern w:val="0"/>
                <w:sz w:val="21"/>
                <w:szCs w:val="21"/>
                <w:highlight w:val="none"/>
                <w:lang w:val="en-US" w:eastAsia="zh-CN" w:bidi="ar-SA"/>
              </w:rPr>
              <w:t>（开标时间</w:t>
            </w:r>
            <w:r>
              <w:rPr>
                <w:rFonts w:hint="eastAsia" w:asciiTheme="minorEastAsia" w:hAnsiTheme="minorEastAsia" w:eastAsiaTheme="minorEastAsia" w:cstheme="minorEastAsia"/>
                <w:bCs/>
                <w:color w:val="auto"/>
                <w:sz w:val="21"/>
                <w:szCs w:val="21"/>
                <w:highlight w:val="none"/>
              </w:rPr>
              <w:t>）不得开启</w:t>
            </w:r>
          </w:p>
        </w:tc>
      </w:tr>
      <w:tr w14:paraId="7929BC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14:paraId="7C2FBDD7">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w:t>
            </w:r>
          </w:p>
        </w:tc>
        <w:tc>
          <w:tcPr>
            <w:tcW w:w="2435" w:type="dxa"/>
            <w:vAlign w:val="center"/>
          </w:tcPr>
          <w:p w14:paraId="210A9514">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参加开标</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代表身份证明文件</w:t>
            </w:r>
          </w:p>
        </w:tc>
        <w:tc>
          <w:tcPr>
            <w:tcW w:w="5220" w:type="dxa"/>
            <w:vAlign w:val="center"/>
          </w:tcPr>
          <w:p w14:paraId="7DA6F76A">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个人身份证（或其他有效证件）复印件</w:t>
            </w:r>
          </w:p>
        </w:tc>
      </w:tr>
      <w:tr w14:paraId="4A8106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7FE51BFB">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14</w:t>
            </w:r>
          </w:p>
        </w:tc>
        <w:tc>
          <w:tcPr>
            <w:tcW w:w="2435" w:type="dxa"/>
            <w:vAlign w:val="center"/>
          </w:tcPr>
          <w:p w14:paraId="17E9866A">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开标程序</w:t>
            </w:r>
          </w:p>
        </w:tc>
        <w:tc>
          <w:tcPr>
            <w:tcW w:w="5220" w:type="dxa"/>
            <w:vAlign w:val="center"/>
          </w:tcPr>
          <w:p w14:paraId="0FC0FB85">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1、主持人宣布开标会议开始；</w:t>
            </w:r>
          </w:p>
          <w:p w14:paraId="075B6DBC">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2、介绍参加开标会议的人员；</w:t>
            </w:r>
          </w:p>
          <w:p w14:paraId="2AD234DB">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3、宣读开标纪律；</w:t>
            </w:r>
          </w:p>
          <w:p w14:paraId="2E9F059E">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4、查验各</w:t>
            </w:r>
            <w:r>
              <w:rPr>
                <w:rFonts w:hint="eastAsia"/>
                <w:color w:val="auto"/>
                <w:lang w:eastAsia="zh-CN"/>
              </w:rPr>
              <w:t>响应文件</w:t>
            </w:r>
            <w:r>
              <w:rPr>
                <w:rFonts w:hint="eastAsia"/>
                <w:color w:val="auto"/>
              </w:rPr>
              <w:t>的密封性并予以确认；</w:t>
            </w:r>
          </w:p>
          <w:p w14:paraId="02D95114">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5、拆封</w:t>
            </w:r>
            <w:r>
              <w:rPr>
                <w:rFonts w:hint="eastAsia"/>
                <w:color w:val="auto"/>
                <w:lang w:eastAsia="zh-CN"/>
              </w:rPr>
              <w:t>响应文件</w:t>
            </w:r>
            <w:r>
              <w:rPr>
                <w:rFonts w:hint="eastAsia"/>
                <w:color w:val="auto"/>
              </w:rPr>
              <w:t>；</w:t>
            </w:r>
          </w:p>
          <w:p w14:paraId="3B80099D">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6、唱标，唱标内容为“开标一览表”所载明的内容；</w:t>
            </w:r>
          </w:p>
          <w:p w14:paraId="756C8007">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7、记录唱标结果及开标过程；</w:t>
            </w:r>
          </w:p>
          <w:p w14:paraId="6FBC0F65">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color w:val="auto"/>
              </w:rPr>
            </w:pPr>
            <w:r>
              <w:rPr>
                <w:rFonts w:hint="eastAsia"/>
                <w:color w:val="auto"/>
              </w:rPr>
              <w:t>8、主持人宣布开标会议结束。</w:t>
            </w:r>
          </w:p>
          <w:p w14:paraId="759713D6">
            <w:pPr>
              <w:pStyle w:val="10"/>
              <w:spacing w:line="400" w:lineRule="exact"/>
              <w:ind w:left="0" w:leftChars="0" w:firstLine="0" w:firstLineChars="0"/>
              <w:rPr>
                <w:color w:val="auto"/>
              </w:rPr>
            </w:pPr>
            <w:r>
              <w:rPr>
                <w:rFonts w:hint="eastAsia"/>
                <w:color w:val="auto"/>
              </w:rPr>
              <w:t>备注：本项目不要求供应商授权代表参与开标会议。</w:t>
            </w:r>
          </w:p>
        </w:tc>
      </w:tr>
      <w:tr w14:paraId="1DE83D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54994A65">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w:t>
            </w:r>
          </w:p>
        </w:tc>
        <w:tc>
          <w:tcPr>
            <w:tcW w:w="2435" w:type="dxa"/>
            <w:vAlign w:val="center"/>
          </w:tcPr>
          <w:p w14:paraId="147B89F4">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 唱标内容</w:t>
            </w:r>
          </w:p>
        </w:tc>
        <w:tc>
          <w:tcPr>
            <w:tcW w:w="5220" w:type="dxa"/>
            <w:vAlign w:val="center"/>
          </w:tcPr>
          <w:p w14:paraId="6D08C21F">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1、“开标一览表”所载明的内容</w:t>
            </w:r>
          </w:p>
          <w:p w14:paraId="4356F9F3">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若有说明应在开标一览表显著处予以注明，只有开标时唱出的</w:t>
            </w:r>
            <w:r>
              <w:rPr>
                <w:rFonts w:hint="eastAsia" w:asciiTheme="minorEastAsia" w:hAnsiTheme="minorEastAsia" w:eastAsiaTheme="minorEastAsia" w:cstheme="minorEastAsia"/>
                <w:bCs/>
                <w:color w:val="auto"/>
                <w:sz w:val="21"/>
                <w:szCs w:val="21"/>
                <w:lang w:eastAsia="zh-CN"/>
              </w:rPr>
              <w:t>响应价格</w:t>
            </w:r>
            <w:r>
              <w:rPr>
                <w:rFonts w:hint="eastAsia" w:asciiTheme="minorEastAsia" w:hAnsiTheme="minorEastAsia" w:eastAsiaTheme="minorEastAsia" w:cstheme="minorEastAsia"/>
                <w:bCs/>
                <w:color w:val="auto"/>
                <w:sz w:val="21"/>
                <w:szCs w:val="21"/>
              </w:rPr>
              <w:t>、价格折扣等内容才会被考虑。</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若有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、价格折扣等未被唱出</w:t>
            </w:r>
            <w:r>
              <w:rPr>
                <w:rFonts w:hint="eastAsia" w:asciiTheme="minorEastAsia" w:hAnsiTheme="minorEastAsia" w:eastAsiaTheme="minorEastAsia" w:cstheme="minorEastAsia"/>
                <w:bCs/>
                <w:color w:val="auto"/>
                <w:sz w:val="21"/>
                <w:szCs w:val="21"/>
                <w:lang w:eastAsia="zh-CN"/>
              </w:rPr>
              <w:t>的</w:t>
            </w:r>
            <w:r>
              <w:rPr>
                <w:rFonts w:hint="eastAsia" w:asciiTheme="minorEastAsia" w:hAnsiTheme="minorEastAsia" w:eastAsiaTheme="minorEastAsia" w:cstheme="minorEastAsia"/>
                <w:bCs/>
                <w:color w:val="auto"/>
                <w:sz w:val="21"/>
                <w:szCs w:val="21"/>
              </w:rPr>
              <w:t>，应在唱标时及时提出。否则，</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对此不承担任何责任。</w:t>
            </w:r>
          </w:p>
        </w:tc>
      </w:tr>
      <w:tr w14:paraId="27C33C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14:paraId="1D67D661">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6</w:t>
            </w:r>
          </w:p>
        </w:tc>
        <w:tc>
          <w:tcPr>
            <w:tcW w:w="2435" w:type="dxa"/>
            <w:vAlign w:val="center"/>
          </w:tcPr>
          <w:p w14:paraId="7F059622">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修正内容</w:t>
            </w:r>
          </w:p>
        </w:tc>
        <w:tc>
          <w:tcPr>
            <w:tcW w:w="5220" w:type="dxa"/>
            <w:vAlign w:val="center"/>
          </w:tcPr>
          <w:p w14:paraId="7B76E2A0">
            <w:pPr>
              <w:keepNext w:val="0"/>
              <w:keepLines w:val="0"/>
              <w:pageBreakBefore w:val="0"/>
              <w:widowControl w:val="0"/>
              <w:kinsoku/>
              <w:wordWrap/>
              <w:overflowPunct/>
              <w:topLinePunct w:val="0"/>
              <w:autoSpaceDE/>
              <w:autoSpaceDN/>
              <w:bidi w:val="0"/>
              <w:adjustRightInd w:val="0"/>
              <w:snapToGrid w:val="0"/>
              <w:spacing w:line="400" w:lineRule="exact"/>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中相应内容不一致的，以开标一览表（报价表）为准,但价格评审时则以最不利于评审结果的标准取值。</w:t>
            </w:r>
          </w:p>
        </w:tc>
      </w:tr>
      <w:tr w14:paraId="2F9F9A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14:paraId="65FDE3C8">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7</w:t>
            </w:r>
          </w:p>
        </w:tc>
        <w:tc>
          <w:tcPr>
            <w:tcW w:w="2435" w:type="dxa"/>
            <w:vAlign w:val="center"/>
          </w:tcPr>
          <w:p w14:paraId="3B757155">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评审方法</w:t>
            </w:r>
          </w:p>
        </w:tc>
        <w:tc>
          <w:tcPr>
            <w:tcW w:w="5220" w:type="dxa"/>
            <w:vAlign w:val="center"/>
          </w:tcPr>
          <w:p w14:paraId="28C35998">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综合评分法</w:t>
            </w:r>
          </w:p>
        </w:tc>
      </w:tr>
      <w:tr w14:paraId="493CA0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14:paraId="1593BA77">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18</w:t>
            </w:r>
          </w:p>
        </w:tc>
        <w:tc>
          <w:tcPr>
            <w:tcW w:w="7655" w:type="dxa"/>
            <w:gridSpan w:val="2"/>
            <w:vAlign w:val="center"/>
          </w:tcPr>
          <w:p w14:paraId="5D973F98">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default" w:eastAsia="宋体" w:asciiTheme="minorEastAsia" w:hAnsi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本项目</w:t>
            </w:r>
            <w:r>
              <w:rPr>
                <w:rFonts w:hint="eastAsia"/>
                <w:b w:val="0"/>
                <w:bCs w:val="0"/>
                <w:color w:val="auto"/>
                <w:sz w:val="21"/>
                <w:szCs w:val="21"/>
              </w:rPr>
              <w:t>对应的中小企业划分标准所属</w:t>
            </w:r>
            <w:r>
              <w:rPr>
                <w:rFonts w:hint="eastAsia"/>
                <w:b w:val="0"/>
                <w:bCs w:val="0"/>
                <w:color w:val="auto"/>
                <w:sz w:val="21"/>
                <w:szCs w:val="21"/>
                <w:lang w:val="en-US" w:eastAsia="zh-CN"/>
              </w:rPr>
              <w:t>行业：商业服务业</w:t>
            </w:r>
            <w:r>
              <w:rPr>
                <w:rFonts w:hint="eastAsia"/>
                <w:b w:val="0"/>
                <w:bCs w:val="0"/>
                <w:color w:val="auto"/>
                <w:sz w:val="21"/>
                <w:szCs w:val="21"/>
                <w:lang w:eastAsia="zh-CN"/>
              </w:rPr>
              <w:t>；</w:t>
            </w:r>
          </w:p>
        </w:tc>
      </w:tr>
    </w:tbl>
    <w:p w14:paraId="14BF63D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一、总则</w:t>
      </w:r>
      <w:bookmarkEnd w:id="32"/>
    </w:p>
    <w:p w14:paraId="50E559E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bookmarkStart w:id="33" w:name="_Toc246826115"/>
      <w:r>
        <w:rPr>
          <w:rFonts w:hint="eastAsia" w:asciiTheme="minorEastAsia" w:hAnsiTheme="minorEastAsia" w:eastAsiaTheme="minorEastAsia" w:cstheme="minorEastAsia"/>
          <w:bCs/>
          <w:color w:val="auto"/>
          <w:kern w:val="0"/>
          <w:sz w:val="21"/>
          <w:szCs w:val="21"/>
        </w:rPr>
        <w:t>1、适用范围</w:t>
      </w:r>
    </w:p>
    <w:p w14:paraId="2C7BA63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本采购文件仅适用于本次</w:t>
      </w:r>
      <w:r>
        <w:rPr>
          <w:rFonts w:hint="eastAsia" w:asciiTheme="minorEastAsia" w:hAnsiTheme="minorEastAsia" w:eastAsiaTheme="minorEastAsia" w:cstheme="minorEastAsia"/>
          <w:bCs/>
          <w:color w:val="auto"/>
          <w:kern w:val="0"/>
          <w:sz w:val="21"/>
          <w:szCs w:val="21"/>
          <w:lang w:val="en-US" w:eastAsia="zh-CN"/>
        </w:rPr>
        <w:t>比选公告</w:t>
      </w:r>
      <w:r>
        <w:rPr>
          <w:rFonts w:hint="eastAsia" w:asciiTheme="minorEastAsia" w:hAnsiTheme="minorEastAsia" w:eastAsiaTheme="minorEastAsia" w:cstheme="minorEastAsia"/>
          <w:bCs/>
          <w:color w:val="auto"/>
          <w:kern w:val="0"/>
          <w:sz w:val="21"/>
          <w:szCs w:val="21"/>
        </w:rPr>
        <w:t>中所述项目的采购。</w:t>
      </w:r>
    </w:p>
    <w:p w14:paraId="347DC3A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2、定义</w:t>
      </w:r>
    </w:p>
    <w:p w14:paraId="689F3A1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本采购文件中的下列术语应解释为：</w:t>
      </w:r>
    </w:p>
    <w:p w14:paraId="5074CB0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2.1“采购人”系指本项目的采购人，是依法开展政府采购活动的国家机关、事业单位</w:t>
      </w:r>
      <w:r>
        <w:rPr>
          <w:rFonts w:hint="eastAsia" w:asciiTheme="minorEastAsia" w:hAnsiTheme="minorEastAsia" w:eastAsiaTheme="minorEastAsia" w:cstheme="minorEastAsia"/>
          <w:bCs/>
          <w:color w:val="auto"/>
          <w:kern w:val="0"/>
          <w:sz w:val="21"/>
          <w:szCs w:val="21"/>
          <w:lang w:eastAsia="zh-CN"/>
        </w:rPr>
        <w:t>和</w:t>
      </w:r>
      <w:r>
        <w:rPr>
          <w:rFonts w:hint="eastAsia" w:asciiTheme="minorEastAsia" w:hAnsiTheme="minorEastAsia" w:eastAsiaTheme="minorEastAsia" w:cstheme="minorEastAsia"/>
          <w:bCs/>
          <w:color w:val="auto"/>
          <w:kern w:val="0"/>
          <w:sz w:val="21"/>
          <w:szCs w:val="21"/>
        </w:rPr>
        <w:t>团体组织。在履行合同阶段称为甲方或买方。</w:t>
      </w:r>
    </w:p>
    <w:p w14:paraId="6E96A0D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w:t>
      </w: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”系指向采购人提供货物、工程或者服务的法人、</w:t>
      </w:r>
      <w:r>
        <w:rPr>
          <w:rFonts w:hint="eastAsia" w:asciiTheme="minorEastAsia" w:hAnsiTheme="minorEastAsia" w:eastAsiaTheme="minorEastAsia" w:cstheme="minorEastAsia"/>
          <w:bCs/>
          <w:color w:val="auto"/>
          <w:kern w:val="0"/>
          <w:sz w:val="21"/>
          <w:szCs w:val="21"/>
          <w:lang w:eastAsia="zh-CN"/>
        </w:rPr>
        <w:t>其他组织</w:t>
      </w:r>
      <w:r>
        <w:rPr>
          <w:rFonts w:hint="eastAsia" w:asciiTheme="minorEastAsia" w:hAnsiTheme="minorEastAsia" w:eastAsiaTheme="minorEastAsia" w:cstheme="minorEastAsia"/>
          <w:bCs/>
          <w:color w:val="auto"/>
          <w:kern w:val="0"/>
          <w:sz w:val="21"/>
          <w:szCs w:val="21"/>
        </w:rPr>
        <w:t>或者自然人。法人</w:t>
      </w:r>
      <w:r>
        <w:rPr>
          <w:rFonts w:hint="eastAsia" w:asciiTheme="minorEastAsia" w:hAnsiTheme="minorEastAsia" w:eastAsiaTheme="minorEastAsia" w:cstheme="minorEastAsia"/>
          <w:bCs/>
          <w:color w:val="auto"/>
          <w:kern w:val="0"/>
          <w:sz w:val="21"/>
          <w:szCs w:val="21"/>
          <w:lang w:eastAsia="zh-CN"/>
        </w:rPr>
        <w:t>的</w:t>
      </w:r>
      <w:r>
        <w:rPr>
          <w:rFonts w:hint="eastAsia" w:asciiTheme="minorEastAsia" w:hAnsiTheme="minorEastAsia" w:eastAsiaTheme="minorEastAsia" w:cstheme="minorEastAsia"/>
          <w:bCs/>
          <w:color w:val="auto"/>
          <w:kern w:val="0"/>
          <w:sz w:val="21"/>
          <w:szCs w:val="21"/>
        </w:rPr>
        <w:t>分支机构不得参加政府采购活动，但银行、保险、石油石化、电力、电信等特殊行业除外</w:t>
      </w:r>
      <w:r>
        <w:rPr>
          <w:rFonts w:hint="eastAsia" w:asciiTheme="minorEastAsia" w:hAnsiTheme="minorEastAsia" w:eastAsiaTheme="minorEastAsia" w:cstheme="minorEastAsia"/>
          <w:bCs/>
          <w:color w:val="auto"/>
          <w:sz w:val="21"/>
          <w:szCs w:val="21"/>
          <w:lang w:val="zh-CN"/>
        </w:rPr>
        <w:t>。</w:t>
      </w:r>
      <w:bookmarkStart w:id="34" w:name="_Toc267320062"/>
    </w:p>
    <w:p w14:paraId="62593494">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3、</w:t>
      </w:r>
      <w:bookmarkEnd w:id="34"/>
      <w:r>
        <w:rPr>
          <w:rFonts w:hint="eastAsia" w:asciiTheme="minorEastAsia" w:hAnsiTheme="minorEastAsia" w:eastAsiaTheme="minorEastAsia" w:cstheme="minorEastAsia"/>
          <w:bCs/>
          <w:color w:val="auto"/>
          <w:kern w:val="0"/>
          <w:sz w:val="21"/>
          <w:szCs w:val="21"/>
          <w:lang w:eastAsia="zh-CN"/>
        </w:rPr>
        <w:t>供应商</w:t>
      </w:r>
    </w:p>
    <w:p w14:paraId="474DCC7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3.1合格</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条件</w:t>
      </w:r>
    </w:p>
    <w:p w14:paraId="0BC5941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 w:val="21"/>
          <w:szCs w:val="21"/>
          <w:lang w:val="zh-CN"/>
        </w:rPr>
        <w:t>或者</w:t>
      </w:r>
      <w:r>
        <w:rPr>
          <w:rFonts w:hint="eastAsia" w:asciiTheme="minorEastAsia" w:hAnsiTheme="minorEastAsia" w:eastAsiaTheme="minorEastAsia" w:cstheme="minorEastAsia"/>
          <w:bCs/>
          <w:color w:val="auto"/>
          <w:sz w:val="21"/>
          <w:szCs w:val="21"/>
        </w:rPr>
        <w:t>自然人；</w:t>
      </w:r>
    </w:p>
    <w:p w14:paraId="0954AD4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3.1.2符合</w:t>
      </w:r>
      <w:r>
        <w:rPr>
          <w:rFonts w:hint="default" w:asciiTheme="minorEastAsia" w:hAnsiTheme="minorEastAsia" w:eastAsiaTheme="minorEastAsia" w:cstheme="minorEastAsia"/>
          <w:bCs/>
          <w:color w:val="auto"/>
          <w:sz w:val="21"/>
          <w:szCs w:val="21"/>
        </w:rPr>
        <w:t>《中华人民共和国政府采购法》</w:t>
      </w:r>
      <w:r>
        <w:rPr>
          <w:rFonts w:hint="eastAsia" w:asciiTheme="minorEastAsia" w:hAnsiTheme="minorEastAsia" w:eastAsiaTheme="minorEastAsia" w:cstheme="minorEastAsia"/>
          <w:bCs/>
          <w:color w:val="auto"/>
          <w:sz w:val="21"/>
          <w:szCs w:val="21"/>
        </w:rPr>
        <w:t>第二十二条规定的条件：</w:t>
      </w:r>
    </w:p>
    <w:p w14:paraId="2B41F24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3.1.2.1具有独立承担民事责任的能力；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3.1.2.1具有良好的商业信誉和健全的财务会计制度；</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3.1.2.1具有履行合同所必需的设备和专业技术能力；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3.1.2.1有依法缴纳税收和社会保障资金的良好记录；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3.1.2.1参加政府采购活动前三年内，在经营活动中没有重大违法记录；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3.1.2.1法律、行政法规规定的其他条件。</w:t>
      </w:r>
    </w:p>
    <w:p w14:paraId="1410411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3.1.3满足采购文件报价、商务和技术等实质性要求的；</w:t>
      </w:r>
    </w:p>
    <w:p w14:paraId="0E8440A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的风险</w:t>
      </w:r>
    </w:p>
    <w:p w14:paraId="3B40C5A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3.2.1</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没有按照采购文件的要求编制、签署、密封、标记、递交及修正</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的，或者</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没有对采购文件在各方面都做出实质性响应的，将导致</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kern w:val="0"/>
          <w:sz w:val="21"/>
          <w:szCs w:val="21"/>
        </w:rPr>
        <w:t>无效。</w:t>
      </w:r>
    </w:p>
    <w:p w14:paraId="37AF69F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内容有下列情形之一的，一经发现，视为无效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，并依法上报</w:t>
      </w:r>
      <w:r>
        <w:rPr>
          <w:rFonts w:hint="eastAsia" w:asciiTheme="minorEastAsia" w:hAnsiTheme="minorEastAsia" w:eastAsiaTheme="minorEastAsia" w:cstheme="minorEastAsia"/>
          <w:bCs/>
          <w:color w:val="auto"/>
          <w:sz w:val="21"/>
          <w:szCs w:val="21"/>
          <w:lang w:eastAsia="zh-CN"/>
        </w:rPr>
        <w:t>政府采购</w:t>
      </w:r>
      <w:r>
        <w:rPr>
          <w:rFonts w:hint="eastAsia" w:asciiTheme="minorEastAsia" w:hAnsiTheme="minorEastAsia" w:eastAsiaTheme="minorEastAsia" w:cstheme="minorEastAsia"/>
          <w:bCs/>
          <w:color w:val="auto"/>
          <w:sz w:val="21"/>
          <w:szCs w:val="21"/>
        </w:rPr>
        <w:t>监督</w:t>
      </w:r>
      <w:r>
        <w:rPr>
          <w:rFonts w:hint="eastAsia" w:asciiTheme="minorEastAsia" w:hAnsiTheme="minorEastAsia" w:eastAsiaTheme="minorEastAsia" w:cstheme="minorEastAsia"/>
          <w:bCs/>
          <w:color w:val="auto"/>
          <w:sz w:val="21"/>
          <w:szCs w:val="21"/>
          <w:lang w:eastAsia="zh-CN"/>
        </w:rPr>
        <w:t>管理</w:t>
      </w:r>
      <w:r>
        <w:rPr>
          <w:rFonts w:hint="eastAsia" w:asciiTheme="minorEastAsia" w:hAnsiTheme="minorEastAsia" w:eastAsiaTheme="minorEastAsia" w:cstheme="minorEastAsia"/>
          <w:bCs/>
          <w:color w:val="auto"/>
          <w:sz w:val="21"/>
          <w:szCs w:val="21"/>
        </w:rPr>
        <w:t>部门处理</w:t>
      </w:r>
      <w:r>
        <w:rPr>
          <w:rFonts w:hint="eastAsia" w:asciiTheme="minorEastAsia" w:hAnsiTheme="minorEastAsia" w:eastAsiaTheme="minorEastAsia" w:cstheme="minorEastAsia"/>
          <w:bCs/>
          <w:color w:val="auto"/>
          <w:kern w:val="0"/>
          <w:sz w:val="21"/>
          <w:szCs w:val="21"/>
        </w:rPr>
        <w:t>：</w:t>
      </w:r>
    </w:p>
    <w:p w14:paraId="4E5C46EE">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（1）提供虚假的资料</w:t>
      </w:r>
      <w:r>
        <w:rPr>
          <w:rFonts w:hint="eastAsia" w:asciiTheme="minorEastAsia" w:hAnsiTheme="minorEastAsia" w:eastAsiaTheme="minorEastAsia" w:cstheme="minorEastAsia"/>
          <w:bCs/>
          <w:color w:val="auto"/>
          <w:kern w:val="0"/>
          <w:sz w:val="21"/>
          <w:szCs w:val="21"/>
          <w:lang w:eastAsia="zh-CN"/>
        </w:rPr>
        <w:t>；</w:t>
      </w:r>
    </w:p>
    <w:p w14:paraId="5F055299">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（2）在实质性方面失实</w:t>
      </w:r>
      <w:r>
        <w:rPr>
          <w:rFonts w:hint="eastAsia" w:asciiTheme="minorEastAsia" w:hAnsiTheme="minorEastAsia" w:eastAsiaTheme="minorEastAsia" w:cstheme="minorEastAsia"/>
          <w:bCs/>
          <w:color w:val="auto"/>
          <w:kern w:val="0"/>
          <w:sz w:val="21"/>
          <w:szCs w:val="21"/>
          <w:lang w:eastAsia="zh-CN"/>
        </w:rPr>
        <w:t>；</w:t>
      </w:r>
    </w:p>
    <w:p w14:paraId="5785E33D">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3.2.3</w:t>
      </w:r>
      <w:r>
        <w:rPr>
          <w:rFonts w:hint="eastAsia" w:asciiTheme="minorEastAsia" w:hAnsiTheme="minorEastAsia" w:eastAsiaTheme="minorEastAsia" w:cstheme="minorEastAsia"/>
          <w:bCs/>
          <w:color w:val="auto"/>
          <w:sz w:val="21"/>
          <w:szCs w:val="21"/>
        </w:rPr>
        <w:t>供应商享受政策优惠条件但提供的证明（说明）文件或</w:t>
      </w:r>
      <w:r>
        <w:rPr>
          <w:rFonts w:hint="eastAsia"/>
          <w:color w:val="auto"/>
          <w:sz w:val="21"/>
          <w:szCs w:val="21"/>
        </w:rPr>
        <w:t>承诺文件失实的，</w:t>
      </w:r>
      <w:r>
        <w:rPr>
          <w:rFonts w:hint="eastAsia" w:asciiTheme="minorEastAsia" w:hAnsiTheme="minorEastAsia" w:eastAsiaTheme="minorEastAsia" w:cstheme="minorEastAsia"/>
          <w:bCs/>
          <w:color w:val="auto"/>
          <w:sz w:val="21"/>
          <w:szCs w:val="21"/>
        </w:rPr>
        <w:t>视同</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提供虚假资料论处。</w:t>
      </w:r>
    </w:p>
    <w:p w14:paraId="7BF2BF7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val="en-US" w:eastAsia="zh-CN"/>
        </w:rPr>
        <w:t>参与采购活动</w:t>
      </w:r>
      <w:r>
        <w:rPr>
          <w:rFonts w:hint="eastAsia" w:asciiTheme="minorEastAsia" w:hAnsiTheme="minorEastAsia" w:eastAsiaTheme="minorEastAsia" w:cstheme="minorEastAsia"/>
          <w:bCs/>
          <w:color w:val="auto"/>
          <w:sz w:val="21"/>
          <w:szCs w:val="21"/>
        </w:rPr>
        <w:t>费用</w:t>
      </w:r>
    </w:p>
    <w:p w14:paraId="043F429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4.1无论</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过程中的做法和结果如何，</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自行承担所有与参加</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rPr>
        <w:t>活动有关的全部费用；</w:t>
      </w:r>
    </w:p>
    <w:p w14:paraId="2CA0DEA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14:paraId="50647D0D">
      <w:pPr>
        <w:pStyle w:val="6"/>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5.1关于符合上述规定的小微企业（供应商）参与</w:t>
      </w:r>
      <w:r>
        <w:rPr>
          <w:rFonts w:hint="eastAsia" w:asciiTheme="minorEastAsia" w:hAnsiTheme="minorEastAsia" w:eastAsiaTheme="minorEastAsia" w:cstheme="minorEastAsia"/>
          <w:bCs/>
          <w:color w:val="auto"/>
          <w:sz w:val="21"/>
          <w:szCs w:val="21"/>
          <w:lang w:val="en-US" w:eastAsia="zh-CN"/>
        </w:rPr>
        <w:t>响应</w:t>
      </w:r>
    </w:p>
    <w:p w14:paraId="1E008FA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5.1.1监狱企业、残疾人福利性单位视同小型、微型企业；以联合体形式参加政府采购活动，联合体各方均为小微企业的，联合体视同为小微企业。</w:t>
      </w:r>
    </w:p>
    <w:p w14:paraId="20046E8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为符合规定的小型或微型企业时，报价给予20%的价格扣除，用扣除后的价格参与评审；</w:t>
      </w:r>
    </w:p>
    <w:p w14:paraId="6D496C1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为大中型企业和其他自然人、法人或者其他组织与小微企业组成联合体或者大中型企业向小微企业分包的，对联合体报价给予</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i/>
          <w:iCs/>
          <w:color w:val="auto"/>
          <w:sz w:val="21"/>
          <w:szCs w:val="21"/>
          <w:u w:val="single"/>
          <w:lang w:eastAsia="zh-CN"/>
        </w:rPr>
        <w:t>（</w:t>
      </w:r>
      <w:r>
        <w:rPr>
          <w:rFonts w:hint="eastAsia" w:asciiTheme="minorEastAsia" w:hAnsiTheme="minorEastAsia" w:eastAsiaTheme="minorEastAsia" w:cstheme="minorEastAsia"/>
          <w:bCs/>
          <w:color w:val="auto"/>
          <w:sz w:val="21"/>
          <w:szCs w:val="21"/>
        </w:rPr>
        <w:t>的价格扣除，用扣除后的价格参与评审；</w:t>
      </w:r>
    </w:p>
    <w:p w14:paraId="53A1CAA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5.1.4本条款中两种价格扣除优惠原则不同时使用。</w:t>
      </w:r>
    </w:p>
    <w:p w14:paraId="1CC7A7A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5.1.5组成联合体或者接受分包的小微企业与联合体内其他企业、分包企业之间存在直接控股、管理关系的，不享受价格扣除优惠政策；</w:t>
      </w:r>
    </w:p>
    <w:p w14:paraId="1A4369A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认为其为小型或微型企业的应提供合法有效的“中小企业声明函”（附件2），并明确企业类型；</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认为其为监狱企业须提供由省级以上监狱管理局、戒毒管理局（含新疆生产建设兵团）出具的属于监狱企业的证明文件(附件3)；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认为其为符合条件的残疾人福利性单位在参加政府采购活动时，应当提供《残疾人福利性单位声明函》（附件4），并对声明的真实性负责，否则评审时不能享受相应的价格扣除。</w:t>
      </w:r>
    </w:p>
    <w:p w14:paraId="1F42414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5.1.7在货物采购项目中，供应商提供的货物既有小微企业制造货物，也有大中型企业制造货物的，不享受本办法规定的小微企业扶持政策。</w:t>
      </w:r>
    </w:p>
    <w:p w14:paraId="4DBB773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5.1.8享受扶持政策获得政府采购合同的，小微企业不得将合同分包给大中型企业，中型企业不得将合同分包给大型企业。</w:t>
      </w:r>
    </w:p>
    <w:p w14:paraId="1D04027C">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5.2 关于强制采购节能产品、信息安全产品和优先采购环境标志产品的要求</w:t>
      </w:r>
      <w:r>
        <w:rPr>
          <w:rFonts w:hint="eastAsia" w:asciiTheme="minorEastAsia" w:hAnsiTheme="minorEastAsia" w:eastAsiaTheme="minorEastAsia" w:cstheme="minorEastAsia"/>
          <w:bCs/>
          <w:color w:val="auto"/>
          <w:sz w:val="21"/>
          <w:szCs w:val="21"/>
          <w:lang w:eastAsia="zh-CN"/>
        </w:rPr>
        <w:t>。</w:t>
      </w:r>
    </w:p>
    <w:p w14:paraId="111D583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14:paraId="18B877A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5.2.2提供的产品属于信息安全产品的，供应商应当选择经国家认证的信息安全产品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，并提供有效的中国国家信息安全产品认证证书复印件。</w:t>
      </w:r>
    </w:p>
    <w:p w14:paraId="22B04F7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5.2.3提供的产品属于政府强制采购节能产品的，供应商应当选择《节能产品政府采购清单》中的产品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，并提供有效的节能产品认证证书复印件。</w:t>
      </w:r>
    </w:p>
    <w:p w14:paraId="71BDA797">
      <w:pPr>
        <w:pageBreakBefore w:val="0"/>
        <w:wordWrap/>
        <w:topLinePunct w:val="0"/>
        <w:bidi w:val="0"/>
        <w:adjustRightInd w:val="0"/>
        <w:snapToGrid w:val="0"/>
        <w:spacing w:line="360" w:lineRule="auto"/>
        <w:ind w:firstLine="420" w:firstLineChars="200"/>
        <w:textAlignment w:val="auto"/>
        <w:rPr>
          <w:color w:val="auto"/>
          <w:sz w:val="21"/>
          <w:szCs w:val="21"/>
        </w:rPr>
      </w:pPr>
      <w:r>
        <w:rPr>
          <w:rFonts w:hint="eastAsia" w:asciiTheme="minorEastAsia" w:hAnsiTheme="minorEastAsia" w:eastAsiaTheme="minorEastAsia" w:cstheme="minorEastAsia"/>
          <w:bCs/>
          <w:color w:val="auto"/>
          <w:sz w:val="21"/>
          <w:szCs w:val="21"/>
        </w:rPr>
        <w:t>5.2.4 提供的产品属于优先采购环境标志产品的，供应商应当选择《环境标志产品政府采购清单》中的产品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，并提供有效的环境标志产品认证证书复印件。</w:t>
      </w:r>
    </w:p>
    <w:p w14:paraId="76BAC29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6、注意事项</w:t>
      </w:r>
    </w:p>
    <w:p w14:paraId="4DEE4CB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6.1如果没有特别声明或要求，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被视为充分熟悉本招标项目所在地与履行合同有关的各种情况，包括自然环境、气候条件、劳动力及公用设施等，本采购文件不再对上述情况进行描述。</w:t>
      </w:r>
    </w:p>
    <w:p w14:paraId="09A2775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分包采购详见“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须知前附表”要求。</w:t>
      </w:r>
    </w:p>
    <w:p w14:paraId="6EABB31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5" w:name="_Toc246826107"/>
      <w:r>
        <w:rPr>
          <w:rFonts w:hint="eastAsia" w:asciiTheme="minorEastAsia" w:hAnsiTheme="minorEastAsia" w:eastAsiaTheme="minorEastAsia" w:cstheme="minorEastAsia"/>
          <w:bCs/>
          <w:color w:val="auto"/>
          <w:sz w:val="21"/>
          <w:szCs w:val="21"/>
        </w:rPr>
        <w:t>二、采购文件</w:t>
      </w:r>
      <w:bookmarkEnd w:id="35"/>
    </w:p>
    <w:p w14:paraId="0F095A7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7、采购文件的组成</w:t>
      </w:r>
    </w:p>
    <w:p w14:paraId="200506E7">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采购文件用以阐明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准备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所必须的信息，以及</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、开标、</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和签订合同等有关规定。采购文件以电子版形式下载，采购文件由下述章节组成：</w:t>
      </w:r>
    </w:p>
    <w:p w14:paraId="11100595">
      <w:pPr>
        <w:pStyle w:val="5"/>
        <w:pageBreakBefore w:val="0"/>
        <w:wordWrap/>
        <w:topLinePunct w:val="0"/>
        <w:bidi w:val="0"/>
        <w:adjustRightInd w:val="0"/>
        <w:snapToGrid w:val="0"/>
        <w:spacing w:line="360" w:lineRule="auto"/>
        <w:ind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比选公告</w:t>
      </w:r>
    </w:p>
    <w:p w14:paraId="2213B9E8">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（2）采购需求</w:t>
      </w:r>
    </w:p>
    <w:p w14:paraId="1A48F8AC">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w:t>
      </w:r>
    </w:p>
    <w:p w14:paraId="38241647">
      <w:pPr>
        <w:pStyle w:val="5"/>
        <w:pageBreakBefore w:val="0"/>
        <w:wordWrap/>
        <w:topLinePunct w:val="0"/>
        <w:bidi w:val="0"/>
        <w:adjustRightInd w:val="0"/>
        <w:snapToGrid w:val="0"/>
        <w:spacing w:line="360" w:lineRule="auto"/>
        <w:ind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（4）审查标准和</w:t>
      </w:r>
      <w:r>
        <w:rPr>
          <w:rFonts w:hint="eastAsia" w:asciiTheme="minorEastAsia" w:hAnsiTheme="minorEastAsia" w:eastAsiaTheme="minorEastAsia" w:cstheme="minorEastAsia"/>
          <w:bCs/>
          <w:color w:val="auto"/>
          <w:sz w:val="21"/>
          <w:szCs w:val="21"/>
          <w:lang w:eastAsia="zh-CN"/>
        </w:rPr>
        <w:t>评审标准</w:t>
      </w:r>
    </w:p>
    <w:p w14:paraId="0BCB4698">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（5）政府采购合同格式</w:t>
      </w:r>
    </w:p>
    <w:p w14:paraId="62B1CCF2">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格式及附件</w:t>
      </w:r>
    </w:p>
    <w:p w14:paraId="4194281B">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6" w:name="_Toc183682348"/>
      <w:bookmarkStart w:id="37" w:name="_Toc183582211"/>
      <w:bookmarkStart w:id="38" w:name="_Toc217446040"/>
      <w:r>
        <w:rPr>
          <w:rFonts w:hint="eastAsia" w:asciiTheme="minorEastAsia" w:hAnsiTheme="minorEastAsia" w:eastAsiaTheme="minorEastAsia" w:cstheme="minorEastAsia"/>
          <w:bCs/>
          <w:color w:val="auto"/>
          <w:sz w:val="21"/>
          <w:szCs w:val="21"/>
        </w:rPr>
        <w:t>8、采购文件的澄清</w:t>
      </w:r>
      <w:bookmarkEnd w:id="36"/>
      <w:bookmarkEnd w:id="37"/>
      <w:r>
        <w:rPr>
          <w:rFonts w:hint="eastAsia" w:asciiTheme="minorEastAsia" w:hAnsiTheme="minorEastAsia" w:eastAsiaTheme="minorEastAsia" w:cstheme="minorEastAsia"/>
          <w:bCs/>
          <w:color w:val="auto"/>
          <w:sz w:val="21"/>
          <w:szCs w:val="21"/>
        </w:rPr>
        <w:t>和修改</w:t>
      </w:r>
      <w:bookmarkEnd w:id="38"/>
    </w:p>
    <w:p w14:paraId="7EB02875">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8.1 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无论出于何种原因，可以对采购文件进行澄清或者修改。</w:t>
      </w:r>
    </w:p>
    <w:p w14:paraId="75557F8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8.2</w:t>
      </w:r>
      <w:bookmarkStart w:id="39" w:name="_Toc430488852"/>
      <w:bookmarkStart w:id="40" w:name="_Toc415567498"/>
      <w:bookmarkStart w:id="41" w:name="_Toc430489120"/>
      <w:bookmarkStart w:id="42" w:name="_Toc430422414"/>
      <w:bookmarkStart w:id="43" w:name="_Toc430490613"/>
      <w:bookmarkStart w:id="44" w:name="_Toc430492127"/>
      <w:bookmarkStart w:id="45" w:name="_Toc430488645"/>
      <w:r>
        <w:rPr>
          <w:rFonts w:hint="eastAsia" w:asciiTheme="minorEastAsia" w:hAnsiTheme="minorEastAsia" w:eastAsiaTheme="minorEastAsia" w:cstheme="minorEastAsia"/>
          <w:bCs/>
          <w:color w:val="auto"/>
          <w:sz w:val="21"/>
          <w:szCs w:val="21"/>
        </w:rPr>
        <w:t xml:space="preserve"> 采购文件的修改</w:t>
      </w:r>
      <w:bookmarkEnd w:id="39"/>
      <w:bookmarkEnd w:id="40"/>
      <w:bookmarkEnd w:id="41"/>
      <w:bookmarkEnd w:id="42"/>
      <w:bookmarkEnd w:id="43"/>
      <w:bookmarkEnd w:id="44"/>
      <w:bookmarkEnd w:id="45"/>
    </w:p>
    <w:p w14:paraId="68FD04D1">
      <w:pPr>
        <w:pStyle w:val="11"/>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46" w:name="_Toc245888275"/>
      <w:bookmarkStart w:id="47" w:name="_Toc245887536"/>
      <w:bookmarkStart w:id="48" w:name="_Toc246826109"/>
      <w:bookmarkStart w:id="49" w:name="_Toc246825804"/>
      <w:r>
        <w:rPr>
          <w:rFonts w:hint="eastAsia" w:asciiTheme="minorEastAsia" w:hAnsiTheme="minorEastAsia" w:eastAsiaTheme="minorEastAsia" w:cstheme="minorEastAsia"/>
          <w:bCs/>
          <w:color w:val="auto"/>
          <w:sz w:val="21"/>
          <w:szCs w:val="21"/>
        </w:rPr>
        <w:t>（1）在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可主动或依</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要求澄清或质疑的问题对采购文件进行必要的补遗、澄清或修改；</w:t>
      </w:r>
      <w:bookmarkEnd w:id="46"/>
      <w:bookmarkEnd w:id="47"/>
      <w:bookmarkEnd w:id="48"/>
      <w:bookmarkEnd w:id="49"/>
      <w:bookmarkStart w:id="50" w:name="_Toc208848971"/>
      <w:bookmarkStart w:id="51" w:name="_Toc217446041"/>
    </w:p>
    <w:p w14:paraId="147DC7C4">
      <w:pPr>
        <w:pStyle w:val="11"/>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（2）补遗、澄清或修改内容可能影响</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编制的，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日前发布公告；不足</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日的，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应当顺延提交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的截止时间和开标时间，在此情况下，采购当事人受</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截止期制约的所有权利和义务均应延长至新的截止日期；</w:t>
      </w:r>
    </w:p>
    <w:p w14:paraId="24760344">
      <w:pPr>
        <w:pStyle w:val="11"/>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（3）补遗、澄清或修改后的内容是采购文件的组成部分，并对潜在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具有约束力。有关</w:t>
      </w:r>
      <w:r>
        <w:rPr>
          <w:rFonts w:hint="eastAsia" w:asciiTheme="minorEastAsia" w:hAnsiTheme="minorEastAsia" w:eastAsiaTheme="minorEastAsia" w:cstheme="minorEastAsia"/>
          <w:bCs/>
          <w:color w:val="auto"/>
          <w:spacing w:val="-8"/>
          <w:sz w:val="21"/>
          <w:szCs w:val="21"/>
        </w:rPr>
        <w:t>本项目采购文件的补遗、澄清及变更信息以第一章指定网站公告及下载内容为准，</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不再另行通知，潜在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须及时关注关于本项目采购信息的更新事项，否则自行承担由此产生的风险。采购文件与更正公告的内容相互矛盾时，以最后发出的更正公告为准。</w:t>
      </w:r>
    </w:p>
    <w:p w14:paraId="399DE69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9、其他</w:t>
      </w:r>
    </w:p>
    <w:p w14:paraId="67869A2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9.1标前答疑会和</w:t>
      </w:r>
      <w:bookmarkEnd w:id="50"/>
      <w:bookmarkEnd w:id="51"/>
      <w:r>
        <w:rPr>
          <w:rFonts w:hint="eastAsia" w:asciiTheme="minorEastAsia" w:hAnsiTheme="minorEastAsia" w:eastAsiaTheme="minorEastAsia" w:cstheme="minorEastAsia"/>
          <w:bCs/>
          <w:color w:val="auto"/>
          <w:sz w:val="21"/>
          <w:szCs w:val="21"/>
          <w:lang w:eastAsia="zh-CN"/>
        </w:rPr>
        <w:t>现场考察</w:t>
      </w:r>
    </w:p>
    <w:p w14:paraId="57866ED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须知前附表规定组织答疑会或/和</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须知前附表规定的时间、地点组织答疑会或</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项目现场，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如不参加的，其风险由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不承担任何责任。</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不组织</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可以自行决定是否</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w:t>
      </w:r>
    </w:p>
    <w:p w14:paraId="70217EC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9.1.2答疑会上，</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将解答供应商的疑问。会上所有的解答与</w:t>
      </w:r>
      <w:r>
        <w:rPr>
          <w:rFonts w:hint="eastAsia" w:asciiTheme="minorEastAsia" w:hAnsiTheme="minorEastAsia" w:eastAsiaTheme="minorEastAsia" w:cstheme="minorEastAsia"/>
          <w:bCs/>
          <w:color w:val="auto"/>
          <w:sz w:val="21"/>
          <w:szCs w:val="21"/>
          <w:lang w:val="en-US" w:eastAsia="zh-CN"/>
        </w:rPr>
        <w:t>说明</w:t>
      </w:r>
      <w:r>
        <w:rPr>
          <w:rFonts w:hint="eastAsia" w:asciiTheme="minorEastAsia" w:hAnsiTheme="minorEastAsia" w:eastAsiaTheme="minorEastAsia" w:cstheme="minorEastAsia"/>
          <w:bCs/>
          <w:color w:val="auto"/>
          <w:sz w:val="21"/>
          <w:szCs w:val="21"/>
        </w:rPr>
        <w:t>仅供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14:paraId="17587A7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9.1.3</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现场中口头介绍的情况（如有），供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14:paraId="4145BC9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9.1.4</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不单独或者分别组织只有1个</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参加的现场考察及标前答疑会。</w:t>
      </w:r>
    </w:p>
    <w:p w14:paraId="192F391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自行承担参加答疑或现场考察所发生的一切费用。</w:t>
      </w:r>
    </w:p>
    <w:p w14:paraId="7A41DD9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9.2述标和/或演示</w:t>
      </w:r>
    </w:p>
    <w:p w14:paraId="03E9C2FC">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具体要求详见第二章“采购需求”和/或“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须知前附表”有关规定。</w:t>
      </w:r>
    </w:p>
    <w:p w14:paraId="0B12F17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2" w:name="_Toc246826110"/>
      <w:r>
        <w:rPr>
          <w:rFonts w:hint="eastAsia" w:asciiTheme="minorEastAsia" w:hAnsiTheme="minorEastAsia" w:eastAsiaTheme="minorEastAsia" w:cstheme="minorEastAsia"/>
          <w:bCs/>
          <w:color w:val="auto"/>
          <w:sz w:val="21"/>
          <w:szCs w:val="21"/>
        </w:rPr>
        <w:t>三、</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的编写</w:t>
      </w:r>
      <w:bookmarkEnd w:id="52"/>
    </w:p>
    <w:p w14:paraId="41A6DBE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的编制要求：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应当根据采购文件的要求编制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（包括签名和盖章），否则自行承担由此产生的风险。</w:t>
      </w:r>
    </w:p>
    <w:p w14:paraId="77FC456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应当根据自己的商务能力、技术水平对采购文件提出的要求和条件逐条标明响应与否。如果因为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填报的内容不详，或没有提供采购文件中所要求的全部资料及数据，则供应商自行承担由此产生的风险。</w:t>
      </w:r>
    </w:p>
    <w:p w14:paraId="42A4A9B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提供的文件必须真实、充分、全面，并对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所提供全部资料的真实性和合法性承担法律责任。</w:t>
      </w:r>
    </w:p>
    <w:p w14:paraId="405A8401">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10.3每一</w:t>
      </w:r>
      <w:r>
        <w:rPr>
          <w:rFonts w:hint="eastAsia" w:asciiTheme="minorEastAsia" w:hAnsiTheme="minorEastAsia" w:eastAsiaTheme="minorEastAsia" w:cstheme="minorEastAsia"/>
          <w:bCs/>
          <w:color w:val="auto"/>
          <w:sz w:val="21"/>
          <w:szCs w:val="21"/>
          <w:lang w:val="en-US" w:eastAsia="zh-CN"/>
        </w:rPr>
        <w:t>单项服务项目</w:t>
      </w:r>
      <w:r>
        <w:rPr>
          <w:rFonts w:hint="eastAsia" w:asciiTheme="minorEastAsia" w:hAnsiTheme="minorEastAsia" w:eastAsiaTheme="minorEastAsia" w:cstheme="minorEastAsia"/>
          <w:bCs/>
          <w:color w:val="auto"/>
          <w:sz w:val="21"/>
          <w:szCs w:val="21"/>
        </w:rPr>
        <w:t>只允许有一个报价，否则将被视为无效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p>
    <w:p w14:paraId="1553DA6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10.4只允许</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有一个</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方案，否则将被视为无效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。（采购文件允许有备选方案的除外）</w:t>
      </w:r>
    </w:p>
    <w:p w14:paraId="0D26DC9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10.5 </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根据采购文件载明的采购项目实际情况，拟在</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后将</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项目的非主体、非关键性工作交由他人完成的，应当在</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中载明。</w:t>
      </w:r>
    </w:p>
    <w:p w14:paraId="512DDCFB">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的正本、副本和电子版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的数量应当符合采购文件的要求。</w:t>
      </w:r>
    </w:p>
    <w:p w14:paraId="7F8239C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必须编页码，页码必须连续。</w:t>
      </w:r>
    </w:p>
    <w:p w14:paraId="77BA314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10.8</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应装订牢固不可拆卸（如：胶订），如因装订不牢固导致的任何损失及风险由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承担。</w:t>
      </w:r>
    </w:p>
    <w:p w14:paraId="24A42F35">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语言、货物及计量单位</w:t>
      </w:r>
    </w:p>
    <w:p w14:paraId="42D07DCC">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11.1</w:t>
      </w:r>
      <w:r>
        <w:rPr>
          <w:rFonts w:hint="eastAsia" w:asciiTheme="minorEastAsia" w:hAnsiTheme="minorEastAsia" w:eastAsiaTheme="minorEastAsia" w:cstheme="minorEastAsia"/>
          <w:bCs/>
          <w:color w:val="auto"/>
          <w:sz w:val="21"/>
          <w:szCs w:val="21"/>
          <w:lang w:eastAsia="zh-CN"/>
        </w:rPr>
        <w:t>除采购文件中另有规定外，供应商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响应文件及其</w:t>
      </w:r>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采购人和采购人</w:t>
      </w:r>
      <w:r>
        <w:rPr>
          <w:rFonts w:hint="eastAsia" w:asciiTheme="minorEastAsia" w:hAnsiTheme="minorEastAsia" w:eastAsiaTheme="minorEastAsia" w:cstheme="minorEastAsia"/>
          <w:bCs/>
          <w:color w:val="auto"/>
          <w:sz w:val="21"/>
          <w:szCs w:val="21"/>
        </w:rPr>
        <w:t>所有来往</w:t>
      </w:r>
      <w:r>
        <w:rPr>
          <w:rFonts w:hint="eastAsia" w:asciiTheme="minorEastAsia" w:hAnsiTheme="minorEastAsia" w:eastAsiaTheme="minorEastAsia" w:cstheme="minorEastAsia"/>
          <w:bCs/>
          <w:color w:val="auto"/>
          <w:sz w:val="21"/>
          <w:szCs w:val="21"/>
          <w:lang w:eastAsia="zh-CN"/>
        </w:rPr>
        <w:t>文件</w:t>
      </w:r>
      <w:r>
        <w:rPr>
          <w:rFonts w:hint="eastAsia" w:asciiTheme="minorEastAsia" w:hAnsiTheme="minorEastAsia" w:eastAsiaTheme="minorEastAsia" w:cstheme="minorEastAsia"/>
          <w:bCs/>
          <w:color w:val="auto"/>
          <w:sz w:val="21"/>
          <w:szCs w:val="21"/>
        </w:rPr>
        <w:t>均应使用中文，</w:t>
      </w:r>
      <w:r>
        <w:rPr>
          <w:rFonts w:hint="eastAsia" w:asciiTheme="minorEastAsia" w:hAnsiTheme="minorEastAsia" w:eastAsiaTheme="minorEastAsia" w:cstheme="minorEastAsia"/>
          <w:bCs/>
          <w:color w:val="auto"/>
          <w:sz w:val="21"/>
          <w:szCs w:val="21"/>
          <w:lang w:eastAsia="zh-CN"/>
        </w:rPr>
        <w:t>若有不同文本，以中文文本为准。</w:t>
      </w:r>
      <w:r>
        <w:rPr>
          <w:rFonts w:hint="eastAsia" w:asciiTheme="minorEastAsia" w:hAnsiTheme="minorEastAsia" w:eastAsiaTheme="minorEastAsia" w:cstheme="minorEastAsia"/>
          <w:bCs/>
          <w:color w:val="auto"/>
          <w:sz w:val="21"/>
          <w:szCs w:val="21"/>
        </w:rPr>
        <w:t>非中文的</w:t>
      </w:r>
      <w:r>
        <w:rPr>
          <w:rFonts w:hint="eastAsia" w:asciiTheme="minorEastAsia" w:hAnsiTheme="minorEastAsia" w:eastAsiaTheme="minorEastAsia" w:cstheme="minorEastAsia"/>
          <w:bCs/>
          <w:color w:val="auto"/>
          <w:sz w:val="21"/>
          <w:szCs w:val="21"/>
          <w:lang w:eastAsia="zh-CN"/>
        </w:rPr>
        <w:t>响应文件内容应翻译成中文。</w:t>
      </w:r>
    </w:p>
    <w:p w14:paraId="29490EAD">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11.2货币单位：本次采购项目的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均以人民币报价。</w:t>
      </w:r>
    </w:p>
    <w:p w14:paraId="24E7B91C">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11.3计量单位：除</w:t>
      </w:r>
      <w:r>
        <w:rPr>
          <w:rFonts w:hint="eastAsia" w:asciiTheme="minorEastAsia" w:hAnsiTheme="minorEastAsia" w:eastAsiaTheme="minorEastAsia" w:cstheme="minorEastAsia"/>
          <w:bCs/>
          <w:color w:val="auto"/>
          <w:sz w:val="21"/>
          <w:szCs w:val="21"/>
          <w:lang w:eastAsia="zh-CN"/>
        </w:rPr>
        <w:t>采购文件</w:t>
      </w:r>
      <w:r>
        <w:rPr>
          <w:rFonts w:hint="eastAsia" w:asciiTheme="minorEastAsia" w:hAnsiTheme="minorEastAsia" w:eastAsiaTheme="minorEastAsia" w:cstheme="minorEastAsia"/>
          <w:bCs/>
          <w:color w:val="auto"/>
          <w:sz w:val="21"/>
          <w:szCs w:val="21"/>
        </w:rPr>
        <w:t>中另有规定外，</w:t>
      </w:r>
      <w:r>
        <w:rPr>
          <w:rFonts w:hint="eastAsia" w:asciiTheme="minorEastAsia" w:hAnsiTheme="minorEastAsia" w:eastAsiaTheme="minorEastAsia" w:cstheme="minorEastAsia"/>
          <w:bCs/>
          <w:color w:val="auto"/>
          <w:sz w:val="21"/>
          <w:szCs w:val="21"/>
          <w:lang w:eastAsia="zh-CN"/>
        </w:rPr>
        <w:t>供应商在</w:t>
      </w:r>
      <w:r>
        <w:rPr>
          <w:rFonts w:hint="eastAsia" w:asciiTheme="minorEastAsia" w:hAnsiTheme="minorEastAsia" w:eastAsiaTheme="minorEastAsia" w:cstheme="minorEastAsia"/>
          <w:bCs/>
          <w:color w:val="auto"/>
          <w:sz w:val="21"/>
          <w:szCs w:val="21"/>
          <w:lang w:val="en-US" w:eastAsia="zh-CN"/>
        </w:rPr>
        <w:t>响应文件中及其与采购人所有往来文件中所使用的计量单位均应采用中华人民共和国法定计量单位。</w:t>
      </w:r>
      <w:bookmarkStart w:id="53" w:name="_Toc217446046"/>
    </w:p>
    <w:bookmarkEnd w:id="53"/>
    <w:p w14:paraId="12DA9FCF">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的组成：由商务部分、技术部分、价格部分以及其他部分组成。所有证明材料、说明文件、</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须知前附表”的具体要求，供应商不提供或不按要求提供的则自行承担由此产生的风险。</w:t>
      </w:r>
    </w:p>
    <w:p w14:paraId="1A000011">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的商务部分</w:t>
      </w:r>
    </w:p>
    <w:p w14:paraId="558B5CDC">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商务部分是证明</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是合格的，并且在</w:t>
      </w:r>
      <w:r>
        <w:rPr>
          <w:rFonts w:hint="eastAsia" w:asciiTheme="minorEastAsia" w:hAnsiTheme="minorEastAsia" w:eastAsiaTheme="minorEastAsia" w:cstheme="minorEastAsia"/>
          <w:color w:val="auto"/>
          <w:sz w:val="21"/>
          <w:szCs w:val="21"/>
          <w:lang w:eastAsia="zh-CN"/>
        </w:rPr>
        <w:t>成交</w:t>
      </w:r>
      <w:r>
        <w:rPr>
          <w:rFonts w:hint="eastAsia" w:asciiTheme="minorEastAsia" w:hAnsiTheme="minorEastAsia" w:eastAsiaTheme="minorEastAsia" w:cstheme="minorEastAsia"/>
          <w:color w:val="auto"/>
          <w:sz w:val="21"/>
          <w:szCs w:val="21"/>
        </w:rPr>
        <w:t>后有能力履行合同的证明文件，这些文件可以是但不限于文字资料、证书复印件和数据报表等。</w:t>
      </w:r>
    </w:p>
    <w:p w14:paraId="2051C184">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12.1.2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不满足</w:t>
      </w:r>
      <w:r>
        <w:rPr>
          <w:rFonts w:hint="eastAsia" w:asciiTheme="minorEastAsia" w:hAnsiTheme="minorEastAsia" w:eastAsiaTheme="minorEastAsia" w:cstheme="minorEastAsia"/>
          <w:bCs/>
          <w:color w:val="auto"/>
          <w:sz w:val="21"/>
          <w:szCs w:val="21"/>
          <w:lang w:val="en-US" w:eastAsia="zh-CN"/>
        </w:rPr>
        <w:t>商务部分实质性</w:t>
      </w:r>
      <w:r>
        <w:rPr>
          <w:rFonts w:hint="eastAsia" w:asciiTheme="minorEastAsia" w:hAnsiTheme="minorEastAsia" w:eastAsiaTheme="minorEastAsia" w:cstheme="minorEastAsia"/>
          <w:bCs/>
          <w:color w:val="auto"/>
          <w:sz w:val="21"/>
          <w:szCs w:val="21"/>
        </w:rPr>
        <w:t>要求的将</w:t>
      </w:r>
      <w:r>
        <w:rPr>
          <w:rFonts w:hint="eastAsia" w:asciiTheme="minorEastAsia" w:hAnsiTheme="minorEastAsia" w:eastAsiaTheme="minorEastAsia" w:cstheme="minorEastAsia"/>
          <w:bCs/>
          <w:color w:val="auto"/>
          <w:sz w:val="21"/>
          <w:szCs w:val="21"/>
          <w:lang w:eastAsia="zh-CN"/>
        </w:rPr>
        <w:t>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p>
    <w:p w14:paraId="1FCF6B72">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的技术部分</w:t>
      </w:r>
    </w:p>
    <w:p w14:paraId="5AA71C62">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技术部分是证明</w:t>
      </w:r>
      <w:r>
        <w:rPr>
          <w:rFonts w:hint="eastAsia" w:asciiTheme="minorEastAsia" w:hAnsiTheme="minorEastAsia" w:eastAsiaTheme="minorEastAsia" w:cstheme="minorEastAsia"/>
          <w:color w:val="auto"/>
          <w:sz w:val="21"/>
          <w:szCs w:val="21"/>
          <w:lang w:eastAsia="zh-CN"/>
        </w:rPr>
        <w:t>响应</w:t>
      </w:r>
      <w:r>
        <w:rPr>
          <w:rFonts w:hint="eastAsia" w:asciiTheme="minorEastAsia" w:hAnsiTheme="minorEastAsia" w:eastAsiaTheme="minorEastAsia" w:cstheme="minorEastAsia"/>
          <w:color w:val="auto"/>
          <w:sz w:val="21"/>
          <w:szCs w:val="21"/>
        </w:rPr>
        <w:t>的技术（服务）标准以及</w:t>
      </w:r>
      <w:r>
        <w:rPr>
          <w:rFonts w:hint="eastAsia" w:asciiTheme="minorEastAsia" w:hAnsiTheme="minorEastAsia" w:eastAsiaTheme="minorEastAsia" w:cstheme="minorEastAsia"/>
          <w:color w:val="auto"/>
          <w:sz w:val="21"/>
          <w:szCs w:val="21"/>
          <w:lang w:val="en-US" w:eastAsia="zh-CN"/>
        </w:rPr>
        <w:t>配套/辅助服务</w:t>
      </w:r>
      <w:r>
        <w:rPr>
          <w:rFonts w:hint="eastAsia" w:asciiTheme="minorEastAsia" w:hAnsiTheme="minorEastAsia" w:eastAsiaTheme="minorEastAsia" w:cstheme="minorEastAsia"/>
          <w:color w:val="auto"/>
          <w:sz w:val="21"/>
          <w:szCs w:val="21"/>
        </w:rPr>
        <w:t>标准是符合国家或/和行业的强制标准（包括但不限于经营许可或质量标准等），并符合采购文件要求的证明文件，这些文件可以是但不限于文字资料、</w:t>
      </w:r>
      <w:r>
        <w:rPr>
          <w:rFonts w:hint="eastAsia" w:asciiTheme="minorEastAsia" w:hAnsiTheme="minorEastAsia" w:eastAsiaTheme="minorEastAsia" w:cstheme="minorEastAsia"/>
          <w:color w:val="auto"/>
          <w:sz w:val="21"/>
          <w:szCs w:val="21"/>
          <w:lang w:val="en-US" w:eastAsia="zh-CN"/>
        </w:rPr>
        <w:t>图片</w:t>
      </w:r>
      <w:r>
        <w:rPr>
          <w:rFonts w:hint="eastAsia" w:asciiTheme="minorEastAsia" w:hAnsiTheme="minorEastAsia" w:eastAsiaTheme="minorEastAsia" w:cstheme="minorEastAsia"/>
          <w:color w:val="auto"/>
          <w:sz w:val="21"/>
          <w:szCs w:val="21"/>
        </w:rPr>
        <w:t>和数据等。</w:t>
      </w:r>
    </w:p>
    <w:p w14:paraId="52612765">
      <w:pPr>
        <w:pageBreakBefore w:val="0"/>
        <w:wordWrap/>
        <w:topLinePunct w:val="0"/>
        <w:autoSpaceDE w:val="0"/>
        <w:autoSpaceDN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的价格部分 </w:t>
      </w:r>
    </w:p>
    <w:p w14:paraId="6A7B0CD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价格部分是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服务</w:t>
      </w:r>
      <w:r>
        <w:rPr>
          <w:rFonts w:hint="eastAsia" w:asciiTheme="minorEastAsia" w:hAnsiTheme="minorEastAsia" w:eastAsiaTheme="minorEastAsia" w:cstheme="minorEastAsia"/>
          <w:bCs/>
          <w:color w:val="auto"/>
          <w:sz w:val="21"/>
          <w:szCs w:val="21"/>
          <w:lang w:val="en-US" w:eastAsia="zh-CN"/>
        </w:rPr>
        <w:t>以及配套所需设施设备等</w:t>
      </w:r>
      <w:r>
        <w:rPr>
          <w:rFonts w:hint="eastAsia" w:asciiTheme="minorEastAsia" w:hAnsiTheme="minorEastAsia" w:eastAsiaTheme="minorEastAsia" w:cstheme="minorEastAsia"/>
          <w:bCs/>
          <w:color w:val="auto"/>
          <w:sz w:val="21"/>
          <w:szCs w:val="21"/>
        </w:rPr>
        <w:t>价格的构成所作的说明。该</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总价是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之内；该</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总价不得高于</w:t>
      </w:r>
      <w:r>
        <w:rPr>
          <w:rFonts w:hint="eastAsia" w:asciiTheme="minorEastAsia" w:hAnsiTheme="minorEastAsia" w:eastAsiaTheme="minorEastAsia" w:cstheme="minorEastAsia"/>
          <w:bCs/>
          <w:color w:val="auto"/>
          <w:sz w:val="21"/>
          <w:szCs w:val="21"/>
          <w:lang w:eastAsia="zh-CN"/>
        </w:rPr>
        <w:t>预算金额或最高限价</w:t>
      </w:r>
      <w:r>
        <w:rPr>
          <w:rFonts w:hint="eastAsia" w:asciiTheme="minorEastAsia" w:hAnsiTheme="minorEastAsia" w:eastAsiaTheme="minorEastAsia" w:cstheme="minorEastAsia"/>
          <w:bCs/>
          <w:color w:val="auto"/>
          <w:sz w:val="21"/>
          <w:szCs w:val="21"/>
        </w:rPr>
        <w:t>，且须是本项目</w:t>
      </w:r>
      <w:r>
        <w:rPr>
          <w:rFonts w:hint="eastAsia" w:asciiTheme="minorEastAsia" w:hAnsiTheme="minorEastAsia" w:eastAsiaTheme="minorEastAsia" w:cstheme="minorEastAsia"/>
          <w:bCs/>
          <w:color w:val="auto"/>
          <w:sz w:val="21"/>
          <w:szCs w:val="21"/>
          <w:lang w:eastAsia="zh-CN"/>
        </w:rPr>
        <w:t>服务期限内所有</w:t>
      </w:r>
      <w:r>
        <w:rPr>
          <w:rFonts w:hint="eastAsia" w:asciiTheme="minorEastAsia" w:hAnsiTheme="minorEastAsia" w:eastAsiaTheme="minorEastAsia" w:cstheme="minorEastAsia"/>
          <w:bCs/>
          <w:color w:val="auto"/>
          <w:sz w:val="21"/>
          <w:szCs w:val="21"/>
        </w:rPr>
        <w:t>服务费用的总和，否则</w:t>
      </w:r>
      <w:r>
        <w:rPr>
          <w:rFonts w:hint="eastAsia" w:asciiTheme="minorEastAsia" w:hAnsiTheme="minorEastAsia" w:eastAsiaTheme="minorEastAsia" w:cstheme="minorEastAsia"/>
          <w:bCs/>
          <w:color w:val="auto"/>
          <w:sz w:val="21"/>
          <w:szCs w:val="21"/>
          <w:lang w:eastAsia="zh-CN"/>
        </w:rPr>
        <w:t>视为无效</w:t>
      </w:r>
      <w:r>
        <w:rPr>
          <w:rFonts w:hint="eastAsia" w:asciiTheme="minorEastAsia" w:hAnsiTheme="minorEastAsia" w:eastAsiaTheme="minorEastAsia" w:cstheme="minorEastAsia"/>
          <w:bCs/>
          <w:color w:val="auto"/>
          <w:sz w:val="21"/>
          <w:szCs w:val="21"/>
        </w:rPr>
        <w:t>效</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w:t>
      </w:r>
    </w:p>
    <w:p w14:paraId="36294B6C">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12.4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的其他部分</w:t>
      </w:r>
    </w:p>
    <w:p w14:paraId="4DF99E5D">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其他部分由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需要提供的其他相关文件组成。</w:t>
      </w:r>
    </w:p>
    <w:p w14:paraId="101398C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w:t>
      </w:r>
    </w:p>
    <w:p w14:paraId="0DA27CCF">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13.1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截止期之后开始生效，在“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有效期期限内保持有效。有效期不足将导致其</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无效。</w:t>
      </w:r>
    </w:p>
    <w:p w14:paraId="04E65A5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13.2 特殊情况下</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有效期满之前书面要求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同意延长有效期，</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规定的期限内以书面形式予以答复，</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答复不明确或者逾期未答复的，均视为拒绝上述要求。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拒绝上述要求的，其</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lang w:val="en-US" w:eastAsia="zh-CN"/>
        </w:rPr>
        <w:t>如有）</w:t>
      </w:r>
      <w:r>
        <w:rPr>
          <w:rFonts w:hint="eastAsia" w:asciiTheme="minorEastAsia" w:hAnsiTheme="minorEastAsia" w:eastAsiaTheme="minorEastAsia" w:cstheme="minorEastAsia"/>
          <w:bCs/>
          <w:color w:val="auto"/>
          <w:sz w:val="21"/>
          <w:szCs w:val="21"/>
        </w:rPr>
        <w:t>可按规定予以退还。对于接受该要求的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，既不要求也不允许其修改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，但将要求其相应延长</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有效期，有关退还和不予退还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的规定在</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有效期延长期内继续有效。同意</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有效期延长的，</w:t>
      </w:r>
      <w:r>
        <w:rPr>
          <w:rFonts w:hint="eastAsia" w:asciiTheme="minorEastAsia" w:hAnsiTheme="minorEastAsia" w:eastAsiaTheme="minorEastAsia" w:cstheme="minorEastAsia"/>
          <w:bCs/>
          <w:color w:val="auto"/>
          <w:sz w:val="21"/>
          <w:szCs w:val="21"/>
          <w:lang w:val="en-US" w:eastAsia="zh-CN"/>
        </w:rPr>
        <w:t>如提交的保证金为保函，应对保函做相应延长，</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自行承担由此产生的费用</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不同意延长</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有效期满自动失效。</w:t>
      </w:r>
    </w:p>
    <w:p w14:paraId="4C1163BD">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14、</w:t>
      </w:r>
      <w:r>
        <w:rPr>
          <w:rFonts w:hint="eastAsia" w:asciiTheme="minorEastAsia" w:hAnsiTheme="minorEastAsia" w:eastAsiaTheme="minorEastAsia" w:cstheme="minorEastAsia"/>
          <w:bCs/>
          <w:color w:val="auto"/>
          <w:sz w:val="21"/>
          <w:szCs w:val="21"/>
          <w:lang w:eastAsia="zh-CN"/>
        </w:rPr>
        <w:t>响应保证金</w:t>
      </w:r>
    </w:p>
    <w:p w14:paraId="116F0925">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14.1 </w:t>
      </w:r>
      <w:r>
        <w:rPr>
          <w:rFonts w:hint="eastAsia" w:asciiTheme="minorEastAsia" w:hAnsiTheme="minorEastAsia" w:eastAsiaTheme="minorEastAsia" w:cstheme="minorEastAsia"/>
          <w:bCs/>
          <w:color w:val="auto"/>
          <w:sz w:val="21"/>
          <w:szCs w:val="21"/>
          <w:lang w:val="en-US" w:eastAsia="zh-CN"/>
        </w:rPr>
        <w:t>如项目需交纳响应保证金，则</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的组成部分之一。</w:t>
      </w:r>
    </w:p>
    <w:p w14:paraId="1CA4BCA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14.2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之前向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交纳“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。联合体</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的，由联合体中的一方提交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，以一方名义提交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的，对联合体各方均具有约束力。</w:t>
      </w:r>
    </w:p>
    <w:p w14:paraId="6F421EC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14.3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用于保护本次采购活动免受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的行为而引起的风险。</w:t>
      </w:r>
    </w:p>
    <w:p w14:paraId="2EC3BAE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14.4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采购文件要求提交响应保证金</w:t>
      </w:r>
      <w:r>
        <w:rPr>
          <w:rFonts w:hint="eastAsia" w:asciiTheme="minorEastAsia" w:hAnsiTheme="minorEastAsia" w:eastAsiaTheme="minorEastAsia" w:cstheme="minorEastAsia"/>
          <w:bCs/>
          <w:color w:val="auto"/>
          <w:sz w:val="21"/>
          <w:szCs w:val="21"/>
        </w:rPr>
        <w:t>的，视为无效</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lang w:val="en-US" w:eastAsia="zh-CN"/>
        </w:rPr>
        <w:t>项目免收响应保证金的除外</w:t>
      </w:r>
      <w:r>
        <w:rPr>
          <w:rFonts w:hint="eastAsia" w:asciiTheme="minorEastAsia" w:hAnsiTheme="minorEastAsia" w:eastAsiaTheme="minorEastAsia" w:cstheme="minorEastAsia"/>
          <w:bCs/>
          <w:color w:val="auto"/>
          <w:sz w:val="21"/>
          <w:szCs w:val="21"/>
        </w:rPr>
        <w:t>。</w:t>
      </w:r>
    </w:p>
    <w:p w14:paraId="1C96DB39">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14.5</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未</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通知书发出后5个工作日内退还，</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将在合同送达</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存档及公告后5个工作日内退还。</w:t>
      </w:r>
    </w:p>
    <w:p w14:paraId="6B26F3D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14.6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的有效期与</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有效期一致。</w:t>
      </w:r>
    </w:p>
    <w:p w14:paraId="0655AFD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14.7</w:t>
      </w:r>
      <w:r>
        <w:rPr>
          <w:rFonts w:hint="eastAsia" w:asciiTheme="minorEastAsia" w:hAnsiTheme="minorEastAsia" w:eastAsiaTheme="minorEastAsia" w:cstheme="minorEastAsia"/>
          <w:bCs/>
          <w:color w:val="auto"/>
          <w:sz w:val="21"/>
          <w:szCs w:val="21"/>
          <w:lang w:eastAsia="zh-CN"/>
        </w:rPr>
        <w:t>供应商交</w:t>
      </w:r>
      <w:r>
        <w:rPr>
          <w:rFonts w:hint="eastAsia" w:asciiTheme="minorEastAsia" w:hAnsiTheme="minorEastAsia" w:eastAsiaTheme="minorEastAsia" w:cstheme="minorEastAsia"/>
          <w:bCs/>
          <w:color w:val="auto"/>
          <w:sz w:val="21"/>
          <w:szCs w:val="21"/>
        </w:rPr>
        <w:t>纳</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的单位名称须与</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的单位名称一致，否则自行承担</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无效的风险。</w:t>
      </w:r>
    </w:p>
    <w:p w14:paraId="62DEB65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14.8 发生以下情况之一的，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保证金将不予退还：</w:t>
      </w:r>
    </w:p>
    <w:p w14:paraId="758016A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val="en-US" w:eastAsia="zh-CN"/>
        </w:rPr>
        <w:t>响应有效期内</w:t>
      </w:r>
      <w:r>
        <w:rPr>
          <w:rFonts w:hint="eastAsia" w:asciiTheme="minorEastAsia" w:hAnsiTheme="minorEastAsia" w:eastAsiaTheme="minorEastAsia" w:cstheme="minorEastAsia"/>
          <w:bCs/>
          <w:color w:val="auto"/>
          <w:sz w:val="21"/>
          <w:szCs w:val="21"/>
        </w:rPr>
        <w:t>撤回</w:t>
      </w:r>
      <w:r>
        <w:rPr>
          <w:rFonts w:hint="eastAsia" w:asciiTheme="minorEastAsia" w:hAnsiTheme="minorEastAsia" w:eastAsiaTheme="minorEastAsia" w:cstheme="minorEastAsia"/>
          <w:bCs/>
          <w:color w:val="auto"/>
          <w:sz w:val="21"/>
          <w:szCs w:val="21"/>
          <w:lang w:eastAsia="zh-CN"/>
        </w:rPr>
        <w:t>已提交的响应文件</w:t>
      </w:r>
      <w:r>
        <w:rPr>
          <w:rFonts w:hint="eastAsia" w:asciiTheme="minorEastAsia" w:hAnsiTheme="minorEastAsia" w:eastAsiaTheme="minorEastAsia" w:cstheme="minorEastAsia"/>
          <w:bCs/>
          <w:color w:val="auto"/>
          <w:sz w:val="21"/>
          <w:szCs w:val="21"/>
        </w:rPr>
        <w:t>的；</w:t>
      </w:r>
    </w:p>
    <w:p w14:paraId="2B7E7F9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供应商在响应文件</w:t>
      </w:r>
      <w:r>
        <w:rPr>
          <w:rFonts w:hint="eastAsia" w:asciiTheme="minorEastAsia" w:hAnsiTheme="minorEastAsia" w:eastAsiaTheme="minorEastAsia" w:cstheme="minorEastAsia"/>
          <w:bCs/>
          <w:color w:val="auto"/>
          <w:sz w:val="21"/>
          <w:szCs w:val="21"/>
        </w:rPr>
        <w:t>中提供虚假材料的；</w:t>
      </w:r>
    </w:p>
    <w:p w14:paraId="2CC80706">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（3）除因不可抗力或</w:t>
      </w:r>
      <w:r>
        <w:rPr>
          <w:rFonts w:hint="eastAsia" w:asciiTheme="minorEastAsia" w:hAnsiTheme="minorEastAsia" w:eastAsiaTheme="minorEastAsia" w:cstheme="minorEastAsia"/>
          <w:bCs/>
          <w:color w:val="auto"/>
          <w:sz w:val="21"/>
          <w:szCs w:val="21"/>
          <w:lang w:eastAsia="zh-CN"/>
        </w:rPr>
        <w:t>采购</w:t>
      </w:r>
      <w:r>
        <w:rPr>
          <w:rFonts w:hint="eastAsia" w:asciiTheme="minorEastAsia" w:hAnsiTheme="minorEastAsia" w:eastAsiaTheme="minorEastAsia" w:cstheme="minorEastAsia"/>
          <w:bCs/>
          <w:color w:val="auto"/>
          <w:sz w:val="21"/>
          <w:szCs w:val="21"/>
        </w:rPr>
        <w:t>文件认可的情形以外，</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资格的</w:t>
      </w:r>
      <w:r>
        <w:rPr>
          <w:rFonts w:hint="eastAsia" w:asciiTheme="minorEastAsia" w:hAnsiTheme="minorEastAsia" w:eastAsiaTheme="minorEastAsia" w:cstheme="minorEastAsia"/>
          <w:bCs/>
          <w:color w:val="auto"/>
          <w:sz w:val="21"/>
          <w:szCs w:val="21"/>
          <w:lang w:eastAsia="zh-CN"/>
        </w:rPr>
        <w:t>；</w:t>
      </w:r>
    </w:p>
    <w:p w14:paraId="315147C0">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与采购人、其他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恶意串通的；</w:t>
      </w:r>
    </w:p>
    <w:p w14:paraId="57BEEA9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无正当理由不与采购人签订合同的；</w:t>
      </w:r>
    </w:p>
    <w:p w14:paraId="3DAF5642">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）供应商有违反政府采购法律、法规和扰乱会场秩序行为的；</w:t>
      </w:r>
    </w:p>
    <w:p w14:paraId="633E6703">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7</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拒绝履行合同义务的</w:t>
      </w:r>
      <w:r>
        <w:rPr>
          <w:rFonts w:hint="eastAsia" w:asciiTheme="minorEastAsia" w:hAnsiTheme="minorEastAsia" w:eastAsiaTheme="minorEastAsia" w:cstheme="minorEastAsia"/>
          <w:bCs/>
          <w:color w:val="auto"/>
          <w:sz w:val="21"/>
          <w:szCs w:val="21"/>
          <w:lang w:eastAsia="zh-CN"/>
        </w:rPr>
        <w:t>；</w:t>
      </w:r>
    </w:p>
    <w:p w14:paraId="760DEC08">
      <w:pPr>
        <w:pStyle w:val="10"/>
        <w:ind w:left="0" w:leftChars="0" w:firstLine="420" w:firstLineChars="200"/>
        <w:rPr>
          <w:rFonts w:hint="eastAsia" w:eastAsiaTheme="minorEastAsia"/>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8</w:t>
      </w:r>
      <w:r>
        <w:rPr>
          <w:rFonts w:hint="eastAsia" w:asciiTheme="minorEastAsia" w:hAnsiTheme="minorEastAsia" w:eastAsiaTheme="minorEastAsia" w:cstheme="minorEastAsia"/>
          <w:bCs/>
          <w:color w:val="auto"/>
          <w:sz w:val="21"/>
          <w:szCs w:val="21"/>
          <w:lang w:eastAsia="zh-CN"/>
        </w:rPr>
        <w:t>）法律法规及采购文件规定的其他情形。</w:t>
      </w:r>
    </w:p>
    <w:p w14:paraId="5357796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上述不予退还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的情况给</w:t>
      </w:r>
      <w:r>
        <w:rPr>
          <w:rFonts w:hint="eastAsia" w:asciiTheme="minorEastAsia" w:hAnsiTheme="minorEastAsia" w:eastAsiaTheme="minorEastAsia" w:cstheme="minorEastAsia"/>
          <w:bCs/>
          <w:color w:val="auto"/>
          <w:sz w:val="21"/>
          <w:szCs w:val="21"/>
          <w:lang w:eastAsia="zh-CN"/>
        </w:rPr>
        <w:t>采购人或采购人</w:t>
      </w:r>
      <w:r>
        <w:rPr>
          <w:rFonts w:hint="eastAsia" w:asciiTheme="minorEastAsia" w:hAnsiTheme="minorEastAsia" w:eastAsiaTheme="minorEastAsia" w:cstheme="minorEastAsia"/>
          <w:bCs/>
          <w:color w:val="auto"/>
          <w:sz w:val="21"/>
          <w:szCs w:val="21"/>
        </w:rPr>
        <w:t>造成损失的，还要承担赔偿责任。</w:t>
      </w:r>
    </w:p>
    <w:p w14:paraId="346161E8">
      <w:pPr>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15.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的格式及签署</w:t>
      </w:r>
    </w:p>
    <w:p w14:paraId="591D3C82">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15.1</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正本一份，副本若干份，电子版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（PDF格式）U盘一个。正本、副本必须打印装订，副本可以用正本的完整复印件，并在封面标明“正本”、“副本”字样。电子版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（PDF格式）为正本完整版的扫描件。正本与副本如有不一致，则以正本为准。</w:t>
      </w:r>
    </w:p>
    <w:p w14:paraId="69D724B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应当由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的法定代表人或经其正式授权的代表签字，授权代表须出具书面的法定代表人授权委托书并附载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713C780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15.3</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所使用的印章必须为单位公章，且与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单位名称完全一致，不能以其</w:t>
      </w:r>
      <w:r>
        <w:rPr>
          <w:rFonts w:hint="eastAsia" w:asciiTheme="minorEastAsia" w:hAnsiTheme="minorEastAsia" w:eastAsiaTheme="minorEastAsia" w:cstheme="minorEastAsia"/>
          <w:bCs/>
          <w:color w:val="auto"/>
          <w:sz w:val="21"/>
          <w:szCs w:val="21"/>
          <w:lang w:eastAsia="zh-CN"/>
        </w:rPr>
        <w:t>他</w:t>
      </w:r>
      <w:r>
        <w:rPr>
          <w:rFonts w:hint="eastAsia" w:asciiTheme="minorEastAsia" w:hAnsiTheme="minorEastAsia" w:eastAsiaTheme="minorEastAsia" w:cstheme="minorEastAsia"/>
          <w:bCs/>
          <w:color w:val="auto"/>
          <w:sz w:val="21"/>
          <w:szCs w:val="21"/>
        </w:rPr>
        <w:t>业务章或附属机构印章代替，否则视为无效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1B7784D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15.4</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中的任何行间插字，涂改和增删，须由法定代表人或经其正式授权的代表在旁边签字方可有效；</w:t>
      </w:r>
    </w:p>
    <w:p w14:paraId="577405E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应按照采购文件第六章中提供的“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，如自有格式并按其格式编制的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，其内容必须包含“</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格式”中所有的实质性内容并受其约束。</w:t>
      </w:r>
    </w:p>
    <w:p w14:paraId="55F9D04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的商务部分、技术部分和价格部分整合为一份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，并制作详细目录、页码索引。</w:t>
      </w:r>
    </w:p>
    <w:p w14:paraId="2B86568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因字迹潦草或表达不清所引起的后果由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负责。</w:t>
      </w:r>
    </w:p>
    <w:p w14:paraId="11BE14F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4" w:name="_Toc246826111"/>
      <w:r>
        <w:rPr>
          <w:rFonts w:hint="eastAsia" w:asciiTheme="minorEastAsia" w:hAnsiTheme="minorEastAsia" w:eastAsiaTheme="minorEastAsia" w:cstheme="minorEastAsia"/>
          <w:bCs/>
          <w:color w:val="auto"/>
          <w:sz w:val="21"/>
          <w:szCs w:val="21"/>
        </w:rPr>
        <w:t>四、</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的提交</w:t>
      </w:r>
      <w:bookmarkEnd w:id="54"/>
    </w:p>
    <w:p w14:paraId="75C5C08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的密封和递交</w:t>
      </w:r>
    </w:p>
    <w:p w14:paraId="69C26D88">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16.1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应将纸质版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color w:val="auto"/>
          <w:sz w:val="21"/>
          <w:szCs w:val="21"/>
        </w:rPr>
        <w:t>和</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（PDF格式）密封提交，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密封袋上标示“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须知前附表”所规定的内容。</w:t>
      </w:r>
    </w:p>
    <w:p w14:paraId="48EE758E">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16.2</w:t>
      </w:r>
      <w:r>
        <w:rPr>
          <w:rFonts w:hint="eastAsia" w:asciiTheme="minorEastAsia" w:hAnsiTheme="minorEastAsia" w:eastAsiaTheme="minorEastAsia" w:cstheme="minorEastAsia"/>
          <w:bCs/>
          <w:color w:val="auto"/>
          <w:sz w:val="21"/>
          <w:szCs w:val="21"/>
          <w:lang w:val="en-US" w:eastAsia="zh-CN"/>
        </w:rPr>
        <w:t>电子版响应文件U盘应密封提交。</w:t>
      </w:r>
    </w:p>
    <w:p w14:paraId="30C03A9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16.3</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应将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按照本须知正文第16.1条</w:t>
      </w:r>
      <w:r>
        <w:rPr>
          <w:rFonts w:hint="eastAsia" w:asciiTheme="minorEastAsia" w:hAnsiTheme="minorEastAsia" w:eastAsiaTheme="minorEastAsia" w:cstheme="minorEastAsia"/>
          <w:bCs/>
          <w:color w:val="auto"/>
          <w:sz w:val="21"/>
          <w:szCs w:val="21"/>
          <w:lang w:val="en-US" w:eastAsia="zh-CN"/>
        </w:rPr>
        <w:t>及16.2</w:t>
      </w:r>
      <w:r>
        <w:rPr>
          <w:rFonts w:hint="eastAsia" w:asciiTheme="minorEastAsia" w:hAnsiTheme="minorEastAsia" w:eastAsiaTheme="minorEastAsia" w:cstheme="minorEastAsia"/>
          <w:bCs/>
          <w:color w:val="auto"/>
          <w:sz w:val="21"/>
          <w:szCs w:val="21"/>
        </w:rPr>
        <w:t>的规定进行密封和标记后，按第一章/</w:t>
      </w:r>
      <w:r>
        <w:rPr>
          <w:rFonts w:hint="eastAsia" w:asciiTheme="minorEastAsia" w:hAnsiTheme="minorEastAsia" w:eastAsiaTheme="minorEastAsia" w:cstheme="minorEastAsia"/>
          <w:bCs/>
          <w:color w:val="auto"/>
          <w:sz w:val="21"/>
          <w:szCs w:val="21"/>
          <w:lang w:eastAsia="zh-CN"/>
        </w:rPr>
        <w:t>比选公告</w:t>
      </w:r>
      <w:r>
        <w:rPr>
          <w:rFonts w:hint="eastAsia" w:asciiTheme="minorEastAsia" w:hAnsiTheme="minorEastAsia" w:eastAsiaTheme="minorEastAsia" w:cstheme="minorEastAsia"/>
          <w:bCs/>
          <w:color w:val="auto"/>
          <w:sz w:val="21"/>
          <w:szCs w:val="21"/>
        </w:rPr>
        <w:t>注明的递交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地址送至</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指定地点。</w:t>
      </w:r>
    </w:p>
    <w:p w14:paraId="158543E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16.4如果未按上述规定进行密封和标记，</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将不承担由此造成的对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的误投或提前拆封的责任。</w:t>
      </w:r>
    </w:p>
    <w:p w14:paraId="752210C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16.5</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应在第一章/</w:t>
      </w:r>
      <w:r>
        <w:rPr>
          <w:rFonts w:hint="eastAsia" w:asciiTheme="minorEastAsia" w:hAnsiTheme="minorEastAsia" w:eastAsiaTheme="minorEastAsia" w:cstheme="minorEastAsia"/>
          <w:bCs/>
          <w:color w:val="auto"/>
          <w:sz w:val="21"/>
          <w:szCs w:val="21"/>
          <w:lang w:eastAsia="zh-CN"/>
        </w:rPr>
        <w:t>比选公告</w:t>
      </w:r>
      <w:r>
        <w:rPr>
          <w:rFonts w:hint="eastAsia" w:asciiTheme="minorEastAsia" w:hAnsiTheme="minorEastAsia" w:eastAsiaTheme="minorEastAsia" w:cstheme="minorEastAsia"/>
          <w:bCs/>
          <w:color w:val="auto"/>
          <w:sz w:val="21"/>
          <w:szCs w:val="21"/>
        </w:rPr>
        <w:t>中所规定的</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前送达，迟到的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将被拒收；未按照采购文件要求密封的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将被拒收。</w:t>
      </w:r>
    </w:p>
    <w:p w14:paraId="3812A54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16.6 接受邮寄</w:t>
      </w:r>
      <w:r>
        <w:rPr>
          <w:rFonts w:hint="eastAsia" w:asciiTheme="minorEastAsia" w:hAnsiTheme="minorEastAsia" w:eastAsiaTheme="minorEastAsia" w:cstheme="minorEastAsia"/>
          <w:bCs/>
          <w:color w:val="auto"/>
          <w:sz w:val="21"/>
          <w:szCs w:val="21"/>
          <w:lang w:eastAsia="zh-CN"/>
        </w:rPr>
        <w:t>的响应文件，</w:t>
      </w:r>
      <w:r>
        <w:rPr>
          <w:rFonts w:hint="eastAsia" w:asciiTheme="minorEastAsia" w:hAnsiTheme="minorEastAsia" w:eastAsiaTheme="minorEastAsia" w:cstheme="minorEastAsia"/>
          <w:bCs/>
          <w:color w:val="auto"/>
          <w:sz w:val="21"/>
          <w:szCs w:val="21"/>
          <w:lang w:val="en-US" w:eastAsia="zh-CN"/>
        </w:rPr>
        <w:t>但必须密封完整</w:t>
      </w:r>
      <w:r>
        <w:rPr>
          <w:rFonts w:hint="eastAsia" w:asciiTheme="minorEastAsia" w:hAnsiTheme="minorEastAsia" w:eastAsiaTheme="minorEastAsia" w:cstheme="minorEastAsia"/>
          <w:bCs/>
          <w:color w:val="auto"/>
          <w:sz w:val="21"/>
          <w:szCs w:val="21"/>
        </w:rPr>
        <w:t>。</w:t>
      </w:r>
      <w:bookmarkStart w:id="55" w:name="_Toc183582228"/>
      <w:bookmarkStart w:id="56" w:name="_Toc183682365"/>
      <w:bookmarkStart w:id="57" w:name="_Toc217446055"/>
    </w:p>
    <w:p w14:paraId="415A020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的修改和撤</w:t>
      </w:r>
      <w:bookmarkEnd w:id="55"/>
      <w:bookmarkEnd w:id="56"/>
      <w:r>
        <w:rPr>
          <w:rFonts w:hint="eastAsia" w:asciiTheme="minorEastAsia" w:hAnsiTheme="minorEastAsia" w:eastAsiaTheme="minorEastAsia" w:cstheme="minorEastAsia"/>
          <w:bCs/>
          <w:color w:val="auto"/>
          <w:sz w:val="21"/>
          <w:szCs w:val="21"/>
        </w:rPr>
        <w:t>回</w:t>
      </w:r>
      <w:bookmarkEnd w:id="57"/>
    </w:p>
    <w:p w14:paraId="5278AE0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58" w:name="_Toc246826112"/>
      <w:r>
        <w:rPr>
          <w:rFonts w:hint="eastAsia" w:asciiTheme="minorEastAsia" w:hAnsiTheme="minorEastAsia" w:eastAsiaTheme="minorEastAsia" w:cstheme="minorEastAsia"/>
          <w:bCs/>
          <w:color w:val="auto"/>
          <w:sz w:val="21"/>
          <w:szCs w:val="21"/>
        </w:rPr>
        <w:t xml:space="preserve">17.l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后可对其进行修改或撤回，但必须使</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前收到该修改的书面内容或撤回的书面通知。</w:t>
      </w:r>
    </w:p>
    <w:p w14:paraId="34081A4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的修改文件应按第15条规定签署，并按第 16.1条规定盖章及标记，还须注明“修改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”和“开标前不得启封”字样。修改文件须在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前送达规定的</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地点。上述补充或修改若涉及</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，必须注明“最终唯一报价”字样，否则将视为有选择的报价。</w:t>
      </w:r>
    </w:p>
    <w:p w14:paraId="5599D33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17.3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以后修改或/和撤回</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5130C2BD">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五、开标与</w:t>
      </w:r>
      <w:bookmarkEnd w:id="58"/>
      <w:r>
        <w:rPr>
          <w:rFonts w:hint="eastAsia" w:asciiTheme="minorEastAsia" w:hAnsiTheme="minorEastAsia" w:eastAsiaTheme="minorEastAsia" w:cstheme="minorEastAsia"/>
          <w:bCs/>
          <w:color w:val="auto"/>
          <w:sz w:val="21"/>
          <w:szCs w:val="21"/>
          <w:lang w:eastAsia="zh-CN"/>
        </w:rPr>
        <w:t>评审</w:t>
      </w:r>
    </w:p>
    <w:p w14:paraId="3E2E787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18．开标</w:t>
      </w:r>
    </w:p>
    <w:p w14:paraId="69C6633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18.1 在第一章/</w:t>
      </w:r>
      <w:r>
        <w:rPr>
          <w:rFonts w:hint="eastAsia" w:asciiTheme="minorEastAsia" w:hAnsiTheme="minorEastAsia" w:eastAsiaTheme="minorEastAsia" w:cstheme="minorEastAsia"/>
          <w:bCs/>
          <w:color w:val="auto"/>
          <w:sz w:val="21"/>
          <w:szCs w:val="21"/>
          <w:lang w:eastAsia="zh-CN"/>
        </w:rPr>
        <w:t>比选公告</w:t>
      </w:r>
      <w:r>
        <w:rPr>
          <w:rFonts w:hint="eastAsia" w:asciiTheme="minorEastAsia" w:hAnsiTheme="minorEastAsia" w:eastAsiaTheme="minorEastAsia" w:cstheme="minorEastAsia"/>
          <w:bCs/>
          <w:color w:val="auto"/>
          <w:sz w:val="21"/>
          <w:szCs w:val="21"/>
        </w:rPr>
        <w:t>所规定的开标时间和地点开标。</w:t>
      </w:r>
    </w:p>
    <w:p w14:paraId="67FA86D2">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18.2开标时，供应商法定代表人或法人授权的</w:t>
      </w:r>
      <w:r>
        <w:rPr>
          <w:rFonts w:hint="eastAsia" w:asciiTheme="minorEastAsia" w:hAnsiTheme="minorEastAsia" w:eastAsiaTheme="minorEastAsia" w:cstheme="minorEastAsia"/>
          <w:bCs/>
          <w:color w:val="auto"/>
          <w:sz w:val="21"/>
          <w:szCs w:val="21"/>
          <w:lang w:eastAsia="zh-CN"/>
        </w:rPr>
        <w:t>供应商授权代表</w:t>
      </w:r>
      <w:r>
        <w:rPr>
          <w:rFonts w:hint="eastAsia" w:asciiTheme="minorEastAsia" w:hAnsiTheme="minorEastAsia" w:eastAsiaTheme="minorEastAsia" w:cstheme="minorEastAsia"/>
          <w:bCs/>
          <w:color w:val="auto"/>
          <w:sz w:val="21"/>
          <w:szCs w:val="21"/>
        </w:rPr>
        <w:t>须携带个人身份证（或其他有效证件）复印件和授权委托书原件亲自出席开标会并确认开标情况。如果不参加开标会议的，则视为认可开标情况。</w:t>
      </w:r>
    </w:p>
    <w:p w14:paraId="4CD90AC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18.3 开标时，由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w:t>
      </w:r>
      <w:r>
        <w:rPr>
          <w:rFonts w:hint="eastAsia" w:asciiTheme="minorEastAsia" w:hAnsiTheme="minorEastAsia" w:eastAsiaTheme="minorEastAsia" w:cstheme="minorEastAsia"/>
          <w:bCs/>
          <w:color w:val="auto"/>
          <w:sz w:val="21"/>
          <w:szCs w:val="21"/>
          <w:lang w:val="en-US" w:eastAsia="zh-CN"/>
        </w:rPr>
        <w:t>或采购人内部监督部门，</w:t>
      </w:r>
      <w:r>
        <w:rPr>
          <w:rFonts w:hint="eastAsia" w:asciiTheme="minorEastAsia" w:hAnsiTheme="minorEastAsia" w:eastAsiaTheme="minorEastAsia" w:cstheme="minorEastAsia"/>
          <w:bCs/>
          <w:color w:val="auto"/>
          <w:sz w:val="21"/>
          <w:szCs w:val="21"/>
        </w:rPr>
        <w:t>检查</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的密封情况，。</w:t>
      </w:r>
      <w:r>
        <w:rPr>
          <w:rFonts w:hint="eastAsia" w:asciiTheme="minorEastAsia" w:hAnsiTheme="minorEastAsia" w:eastAsiaTheme="minorEastAsia" w:cstheme="minorEastAsia"/>
          <w:bCs/>
          <w:color w:val="auto"/>
          <w:sz w:val="21"/>
          <w:szCs w:val="21"/>
          <w:lang w:eastAsia="zh-CN"/>
        </w:rPr>
        <w:t>供应商认为</w:t>
      </w:r>
      <w:r>
        <w:rPr>
          <w:rFonts w:hint="eastAsia" w:asciiTheme="minorEastAsia" w:hAnsiTheme="minorEastAsia" w:eastAsiaTheme="minorEastAsia" w:cstheme="minorEastAsia"/>
          <w:bCs/>
          <w:color w:val="auto"/>
          <w:sz w:val="21"/>
          <w:szCs w:val="21"/>
          <w:lang w:val="en-US" w:eastAsia="zh-CN"/>
        </w:rPr>
        <w:t>响应文件存在密封有瑕疵情形的，现场应如实记录，由评审委员会对响应文件实质性有效与否作出判断，由此产生的风险由供应商自行承担。</w:t>
      </w:r>
    </w:p>
    <w:p w14:paraId="2A04C5E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18.4开标程序详见“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14:paraId="0543FCD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18.5唱标要求详见“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14:paraId="3BF12126">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w:t>
      </w:r>
      <w:r>
        <w:rPr>
          <w:rFonts w:hint="eastAsia" w:asciiTheme="minorEastAsia" w:hAnsiTheme="minorEastAsia" w:eastAsiaTheme="minorEastAsia" w:cstheme="minorEastAsia"/>
          <w:bCs/>
          <w:color w:val="auto"/>
          <w:sz w:val="21"/>
          <w:szCs w:val="21"/>
          <w:lang w:eastAsia="zh-CN"/>
        </w:rPr>
        <w:t>评审</w:t>
      </w:r>
    </w:p>
    <w:p w14:paraId="70963D79">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eastAsia="zh-CN"/>
        </w:rPr>
        <w:t>评审委员会</w:t>
      </w:r>
    </w:p>
    <w:p w14:paraId="7E614794">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19.1.1</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由采购人</w:t>
      </w:r>
      <w:r>
        <w:rPr>
          <w:rFonts w:hint="eastAsia" w:asciiTheme="minorEastAsia" w:hAnsiTheme="minorEastAsia" w:eastAsiaTheme="minorEastAsia" w:cstheme="minorEastAsia"/>
          <w:bCs/>
          <w:color w:val="auto"/>
          <w:sz w:val="21"/>
          <w:szCs w:val="21"/>
          <w:lang w:val="en-US" w:eastAsia="zh-CN"/>
        </w:rPr>
        <w:t>自行组建，人数为3人以上单数</w:t>
      </w:r>
      <w:r>
        <w:rPr>
          <w:rFonts w:hint="eastAsia" w:asciiTheme="minorEastAsia" w:hAnsiTheme="minorEastAsia" w:eastAsiaTheme="minorEastAsia" w:cstheme="minorEastAsia"/>
          <w:bCs/>
          <w:color w:val="auto"/>
          <w:sz w:val="21"/>
          <w:szCs w:val="21"/>
        </w:rPr>
        <w:t>。</w:t>
      </w:r>
    </w:p>
    <w:p w14:paraId="0C30F8D1">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rPr>
        <w:t>19.1.2</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委员会成</w:t>
      </w:r>
      <w:r>
        <w:rPr>
          <w:rFonts w:hint="eastAsia" w:ascii="宋体" w:hAnsi="宋体" w:eastAsia="宋体" w:cs="宋体"/>
          <w:bCs/>
          <w:color w:val="auto"/>
          <w:sz w:val="21"/>
          <w:szCs w:val="21"/>
          <w:lang w:eastAsia="zh-CN"/>
        </w:rPr>
        <w:t>员</w:t>
      </w:r>
      <w:r>
        <w:rPr>
          <w:rFonts w:hint="eastAsia" w:ascii="宋体" w:hAnsi="宋体" w:eastAsia="宋体" w:cs="宋体"/>
          <w:bCs/>
          <w:color w:val="auto"/>
          <w:sz w:val="21"/>
          <w:szCs w:val="21"/>
        </w:rPr>
        <w:t>与供应商有下列利害关系之一的，应当回避：</w:t>
      </w:r>
    </w:p>
    <w:p w14:paraId="39E59CF3">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参加采购活动前3年内与供应商存在劳动关系；</w:t>
      </w:r>
    </w:p>
    <w:p w14:paraId="40C28858">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参加采购活动前3年内担任供应商的董事、监事；</w:t>
      </w:r>
    </w:p>
    <w:p w14:paraId="4D7141D2">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参加采购活动前3年内是供应商的控股股东或者实际控制人；</w:t>
      </w:r>
    </w:p>
    <w:p w14:paraId="775969C4">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与供应商的法定代表人或者负责人有夫妻、直系血亲、三代以内旁系血亲或者近姻亲关系；</w:t>
      </w:r>
    </w:p>
    <w:p w14:paraId="7789CEC3">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与供应商有其他可能影响政府采购活动公平、公正进行的关系。</w:t>
      </w:r>
    </w:p>
    <w:p w14:paraId="589A6A2D">
      <w:pPr>
        <w:pageBreakBefore w:val="0"/>
        <w:wordWrap/>
        <w:topLinePunct w:val="0"/>
        <w:bidi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认为</w:t>
      </w:r>
      <w:r>
        <w:rPr>
          <w:rFonts w:hint="eastAsia" w:ascii="宋体" w:hAnsi="宋体" w:cs="宋体"/>
          <w:bCs/>
          <w:color w:val="auto"/>
          <w:sz w:val="21"/>
          <w:szCs w:val="21"/>
          <w:lang w:val="en-US" w:eastAsia="zh-CN"/>
        </w:rPr>
        <w:t>评审</w:t>
      </w:r>
      <w:r>
        <w:rPr>
          <w:rFonts w:hint="eastAsia" w:ascii="宋体" w:hAnsi="宋体" w:eastAsia="宋体" w:cs="宋体"/>
          <w:bCs/>
          <w:color w:val="auto"/>
          <w:sz w:val="21"/>
          <w:szCs w:val="21"/>
          <w:lang w:val="en-US" w:eastAsia="zh-CN"/>
        </w:rPr>
        <w:t>委员会成员与其</w:t>
      </w:r>
      <w:r>
        <w:rPr>
          <w:rFonts w:hint="eastAsia" w:ascii="宋体" w:hAnsi="宋体" w:eastAsia="宋体" w:cs="宋体"/>
          <w:bCs/>
          <w:color w:val="auto"/>
          <w:sz w:val="21"/>
          <w:szCs w:val="21"/>
        </w:rPr>
        <w:t>他供应商有利害关系的，可以向采购人书面提出回避申请，并说明理由。采购人应当及时询问被申请回避人员，有利害关系的被申请回避人员应当回避。</w:t>
      </w:r>
      <w:r>
        <w:rPr>
          <w:rFonts w:hint="eastAsia" w:ascii="宋体" w:hAnsi="宋体" w:eastAsia="宋体" w:cs="宋体"/>
          <w:bCs/>
          <w:color w:val="auto"/>
          <w:sz w:val="21"/>
          <w:szCs w:val="21"/>
          <w:lang w:val="en-US" w:eastAsia="zh-CN"/>
        </w:rPr>
        <w:t>评审专家发现本人与参加采购活动的供应商有利害关系的，应当主动提出回避。</w:t>
      </w:r>
    </w:p>
    <w:p w14:paraId="78D6A3E3">
      <w:pPr>
        <w:pStyle w:val="6"/>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val="en-US" w:eastAsia="zh-CN"/>
        </w:rPr>
        <w:t>3</w:t>
      </w:r>
      <w:r>
        <w:rPr>
          <w:rFonts w:hint="eastAsia" w:ascii="宋体" w:hAnsi="宋体" w:cs="宋体"/>
          <w:bCs/>
          <w:color w:val="auto"/>
          <w:kern w:val="2"/>
          <w:sz w:val="21"/>
          <w:szCs w:val="21"/>
          <w:lang w:val="en-US" w:eastAsia="zh-CN" w:bidi="ar-SA"/>
        </w:rPr>
        <w:t>评审</w:t>
      </w:r>
      <w:r>
        <w:rPr>
          <w:rFonts w:hint="eastAsia" w:ascii="宋体" w:hAnsi="宋体" w:eastAsia="宋体" w:cs="宋体"/>
          <w:bCs/>
          <w:color w:val="auto"/>
          <w:kern w:val="2"/>
          <w:sz w:val="21"/>
          <w:szCs w:val="21"/>
          <w:lang w:val="en-US" w:eastAsia="zh-CN" w:bidi="ar-SA"/>
        </w:rPr>
        <w:t>委员会将严格遵守评审工作纪律，按照客观、公正、审慎的原则，根据采购文件规定的评审程序、评审方法和评审标准进行独立评审。</w:t>
      </w:r>
    </w:p>
    <w:p w14:paraId="618F762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w:t>
      </w:r>
    </w:p>
    <w:p w14:paraId="23FAA38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19.2.1 要求</w:t>
      </w:r>
    </w:p>
    <w:p w14:paraId="7941CA2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对所有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的评审，都采用相同的程序和标准并严格按照采购文件的要求和条件进行。</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决定</w:t>
      </w:r>
      <w:r>
        <w:rPr>
          <w:rFonts w:hint="eastAsia" w:asciiTheme="minorEastAsia" w:hAnsiTheme="minorEastAsia" w:eastAsiaTheme="minorEastAsia" w:cstheme="minorEastAsia"/>
          <w:bCs/>
          <w:color w:val="auto"/>
          <w:sz w:val="21"/>
          <w:szCs w:val="21"/>
          <w:lang w:val="en-US" w:eastAsia="zh-CN"/>
        </w:rPr>
        <w:t>响应文件是否</w:t>
      </w:r>
      <w:r>
        <w:rPr>
          <w:rFonts w:hint="eastAsia" w:asciiTheme="minorEastAsia" w:hAnsiTheme="minorEastAsia" w:eastAsiaTheme="minorEastAsia" w:cstheme="minorEastAsia"/>
          <w:bCs/>
          <w:color w:val="auto"/>
          <w:sz w:val="21"/>
          <w:szCs w:val="21"/>
        </w:rPr>
        <w:t>实质性响应只根据</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本身的内容，以及述标和/或演示内容（如果有），而不寻求其他的外部证据。</w:t>
      </w:r>
    </w:p>
    <w:p w14:paraId="095D3E00">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19.2.2 符合性</w:t>
      </w:r>
      <w:r>
        <w:rPr>
          <w:rFonts w:hint="eastAsia" w:asciiTheme="minorEastAsia" w:hAnsiTheme="minorEastAsia" w:eastAsiaTheme="minorEastAsia" w:cstheme="minorEastAsia"/>
          <w:bCs/>
          <w:color w:val="auto"/>
          <w:sz w:val="21"/>
          <w:szCs w:val="21"/>
          <w:lang w:eastAsia="zh-CN"/>
        </w:rPr>
        <w:t>审查</w:t>
      </w:r>
      <w:r>
        <w:rPr>
          <w:rFonts w:hint="eastAsia" w:asciiTheme="minorEastAsia" w:hAnsiTheme="minorEastAsia" w:eastAsiaTheme="minorEastAsia" w:cstheme="minorEastAsia"/>
          <w:bCs/>
          <w:color w:val="auto"/>
          <w:sz w:val="21"/>
          <w:szCs w:val="21"/>
        </w:rPr>
        <w:t>：依据采购文件的规定，</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的有效性、完整性和对采购文件的响应程度进行审查，以确定是否符合对采购文件的实质性要求作出响应。</w:t>
      </w:r>
    </w:p>
    <w:p w14:paraId="2EFC745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的澄清 </w:t>
      </w:r>
    </w:p>
    <w:p w14:paraId="4F35A83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19.2.3．1对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中含义不明确、同类问题表述不一致或者有明显文字和计算错误的内容，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应当以书面形式要求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作出必要的澄清、说明或者补正。</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的澄清、说明或者补正应当在</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规定的时间内以书面形式作出，并加盖公章，或者由法定代表人或者其授权代表签字。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的澄清、说明或者补正不得超出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的范围或者改变</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的实质性内容。</w:t>
      </w:r>
    </w:p>
    <w:p w14:paraId="4C27BDF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19.2.3.2算术错误将按以下方法更正：</w:t>
      </w:r>
    </w:p>
    <w:p w14:paraId="0BDA0FA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w:t>
      </w:r>
    </w:p>
    <w:p w14:paraId="6934075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）大写金额和小写金额不一致的，以大写金额为准；</w:t>
      </w:r>
    </w:p>
    <w:p w14:paraId="1E300CD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）单价金额小数点或者百分比有明显错位的，以开标一览表的总价为准，并修改单价；</w:t>
      </w:r>
    </w:p>
    <w:p w14:paraId="7E3D490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）总价金额与按单价汇总金额不一致的，以单价金额计算结果为准；同时出现两种以上不一致的，按照前款规定的顺序修正。修正后的报价经</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确认后产生约束力，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不确认的，其</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无效。</w:t>
      </w:r>
    </w:p>
    <w:p w14:paraId="71EAB00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19.2.4 比较与评价</w:t>
      </w:r>
    </w:p>
    <w:p w14:paraId="259751D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19.2.4.1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将按第四章所规定的</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方法与标准，对</w:t>
      </w:r>
      <w:r>
        <w:rPr>
          <w:rFonts w:hint="eastAsia" w:asciiTheme="minorEastAsia" w:hAnsiTheme="minorEastAsia" w:eastAsiaTheme="minorEastAsia" w:cstheme="minorEastAsia"/>
          <w:bCs/>
          <w:color w:val="auto"/>
          <w:sz w:val="21"/>
          <w:szCs w:val="21"/>
          <w:lang w:eastAsia="zh-CN"/>
        </w:rPr>
        <w:t>资格性审查</w:t>
      </w:r>
      <w:r>
        <w:rPr>
          <w:rFonts w:hint="eastAsia" w:asciiTheme="minorEastAsia" w:hAnsiTheme="minorEastAsia" w:eastAsiaTheme="minorEastAsia" w:cstheme="minorEastAsia"/>
          <w:bCs/>
          <w:color w:val="auto"/>
          <w:sz w:val="21"/>
          <w:szCs w:val="21"/>
        </w:rPr>
        <w:t>和符合性检查合格的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进行评审。</w:t>
      </w:r>
    </w:p>
    <w:p w14:paraId="193E37C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19.2.4.2 </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委员会认为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的报价明显低于其他通过符合性审查</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的报价，有可能影响产品质量或者不能诚信履约的，应当要求其在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现场合理的时间内提供书面说明，必要时提交相关证明材料；</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不能证明其报价合理性的，经</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委员会投票认定，超过半数将以无效</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处理。</w:t>
      </w:r>
    </w:p>
    <w:p w14:paraId="5A3C369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19.2.5有下列情形之一的，视为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，其</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无效：</w:t>
      </w:r>
    </w:p>
    <w:p w14:paraId="480A211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由同一单位或者个人编制；</w:t>
      </w:r>
    </w:p>
    <w:p w14:paraId="133C451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委托同一单位或者个人办理</w:t>
      </w:r>
      <w:r>
        <w:rPr>
          <w:rFonts w:hint="eastAsia" w:asciiTheme="minorEastAsia" w:hAnsiTheme="minorEastAsia" w:eastAsiaTheme="minorEastAsia" w:cstheme="minorEastAsia"/>
          <w:bCs/>
          <w:color w:val="auto"/>
          <w:sz w:val="21"/>
          <w:szCs w:val="21"/>
          <w:lang w:val="en-US" w:eastAsia="zh-CN"/>
        </w:rPr>
        <w:t>项目</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lang w:val="en-US" w:eastAsia="zh-CN"/>
        </w:rPr>
        <w:t>相关</w:t>
      </w:r>
      <w:r>
        <w:rPr>
          <w:rFonts w:hint="eastAsia" w:asciiTheme="minorEastAsia" w:hAnsiTheme="minorEastAsia" w:eastAsiaTheme="minorEastAsia" w:cstheme="minorEastAsia"/>
          <w:bCs/>
          <w:color w:val="auto"/>
          <w:sz w:val="21"/>
          <w:szCs w:val="21"/>
        </w:rPr>
        <w:t>事宜；</w:t>
      </w:r>
    </w:p>
    <w:p w14:paraId="66EC5C4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载明的项目管理成员或者联系人员为同一人；</w:t>
      </w:r>
    </w:p>
    <w:p w14:paraId="034841F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（四）不同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异常一致或者</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呈规律性差异；</w:t>
      </w:r>
    </w:p>
    <w:p w14:paraId="071B3C7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（五）不同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相互混装；</w:t>
      </w:r>
    </w:p>
    <w:p w14:paraId="12238DD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（六）不同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保证金从同一单位或者个人的账户转出。</w:t>
      </w:r>
    </w:p>
    <w:p w14:paraId="077A127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20、废标</w:t>
      </w:r>
      <w:bookmarkStart w:id="59" w:name="_Toc217446072"/>
      <w:r>
        <w:rPr>
          <w:rFonts w:hint="eastAsia" w:asciiTheme="minorEastAsia" w:hAnsiTheme="minorEastAsia" w:eastAsiaTheme="minorEastAsia" w:cstheme="minorEastAsia"/>
          <w:bCs/>
          <w:color w:val="auto"/>
          <w:sz w:val="21"/>
          <w:szCs w:val="21"/>
        </w:rPr>
        <w:t>的情形</w:t>
      </w:r>
      <w:bookmarkEnd w:id="59"/>
    </w:p>
    <w:p w14:paraId="02814BD3">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招标采购中，出现下列情形之一的，予以废标：</w:t>
      </w:r>
    </w:p>
    <w:p w14:paraId="47E7E64A">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）出现影响采购公正的违法、违规行为的；</w:t>
      </w:r>
    </w:p>
    <w:p w14:paraId="6E408737">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的报价均超过了预算，采购人不能支付的；</w:t>
      </w:r>
    </w:p>
    <w:p w14:paraId="69C9FA75">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）因重大变故，采购任务取消的。</w:t>
      </w:r>
    </w:p>
    <w:p w14:paraId="59755C0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21、纪律和监督</w:t>
      </w:r>
    </w:p>
    <w:p w14:paraId="5C78274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0" w:name="_Toc152042351"/>
      <w:bookmarkStart w:id="61" w:name="_Toc247085733"/>
      <w:bookmarkStart w:id="62" w:name="_Toc246996219"/>
      <w:bookmarkStart w:id="63" w:name="_Toc296602462"/>
      <w:bookmarkStart w:id="64" w:name="_Toc144974543"/>
      <w:bookmarkStart w:id="65" w:name="_Toc152045575"/>
      <w:bookmarkStart w:id="66" w:name="_Toc246996962"/>
      <w:bookmarkStart w:id="67" w:name="_Toc179632593"/>
      <w:bookmarkStart w:id="68" w:name="_Toc296590983"/>
      <w:r>
        <w:rPr>
          <w:rFonts w:hint="eastAsia" w:asciiTheme="minorEastAsia" w:hAnsiTheme="minorEastAsia" w:eastAsiaTheme="minorEastAsia" w:cstheme="minorEastAsia"/>
          <w:bCs/>
          <w:color w:val="auto"/>
          <w:sz w:val="21"/>
          <w:szCs w:val="21"/>
        </w:rPr>
        <w:t>21.1 对</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的纪律要求</w:t>
      </w:r>
      <w:bookmarkEnd w:id="60"/>
      <w:bookmarkEnd w:id="61"/>
      <w:bookmarkEnd w:id="62"/>
      <w:bookmarkEnd w:id="63"/>
      <w:bookmarkEnd w:id="64"/>
      <w:bookmarkEnd w:id="65"/>
      <w:bookmarkEnd w:id="66"/>
      <w:bookmarkEnd w:id="67"/>
      <w:bookmarkEnd w:id="68"/>
    </w:p>
    <w:p w14:paraId="7BC769F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不得泄漏招标</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rPr>
        <w:t>活动中应当保密的情况和资料，不得与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串通损害国家利益、社会公共利益或者他人合法权益。</w:t>
      </w:r>
    </w:p>
    <w:p w14:paraId="5D6649E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9" w:name="_Toc247085734"/>
      <w:bookmarkStart w:id="70" w:name="_Toc152042352"/>
      <w:bookmarkStart w:id="71" w:name="_Toc144974544"/>
      <w:bookmarkStart w:id="72" w:name="_Toc296602463"/>
      <w:bookmarkStart w:id="73" w:name="_Toc152045576"/>
      <w:bookmarkStart w:id="74" w:name="_Toc179632594"/>
      <w:bookmarkStart w:id="75" w:name="_Toc246996220"/>
      <w:bookmarkStart w:id="76" w:name="_Toc246996963"/>
      <w:r>
        <w:rPr>
          <w:rFonts w:hint="eastAsia" w:asciiTheme="minorEastAsia" w:hAnsiTheme="minorEastAsia" w:eastAsiaTheme="minorEastAsia" w:cstheme="minorEastAsia"/>
          <w:bCs/>
          <w:color w:val="auto"/>
          <w:sz w:val="21"/>
          <w:szCs w:val="21"/>
        </w:rPr>
        <w:t>21.2对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的纪律要求</w:t>
      </w:r>
      <w:bookmarkEnd w:id="69"/>
      <w:bookmarkEnd w:id="70"/>
      <w:bookmarkEnd w:id="71"/>
      <w:bookmarkEnd w:id="72"/>
      <w:bookmarkEnd w:id="73"/>
      <w:bookmarkEnd w:id="74"/>
      <w:bookmarkEnd w:id="75"/>
      <w:bookmarkEnd w:id="76"/>
    </w:p>
    <w:p w14:paraId="3FE6A8A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不得相互串通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或者与</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，不得向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委员会成员行贿谋取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，不得以他人名义</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或者以其他方式弄虚作假骗取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不得以任何方式干扰、影响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工作。</w:t>
      </w:r>
    </w:p>
    <w:p w14:paraId="7DBAD59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77" w:name="_Toc152042353"/>
      <w:bookmarkStart w:id="78" w:name="_Toc246996221"/>
      <w:bookmarkStart w:id="79" w:name="_Toc179632595"/>
      <w:bookmarkStart w:id="80" w:name="_Toc296602464"/>
      <w:bookmarkStart w:id="81" w:name="_Toc247085735"/>
      <w:bookmarkStart w:id="82" w:name="_Toc144974545"/>
      <w:bookmarkStart w:id="83" w:name="_Toc246996964"/>
      <w:bookmarkStart w:id="84" w:name="_Toc152045577"/>
      <w:r>
        <w:rPr>
          <w:rFonts w:hint="eastAsia" w:asciiTheme="minorEastAsia" w:hAnsiTheme="minorEastAsia" w:eastAsiaTheme="minorEastAsia" w:cstheme="minorEastAsia"/>
          <w:bCs/>
          <w:color w:val="auto"/>
          <w:sz w:val="21"/>
          <w:szCs w:val="21"/>
        </w:rPr>
        <w:t>21.3对</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委员会成员的纪律要求</w:t>
      </w:r>
      <w:bookmarkEnd w:id="77"/>
      <w:bookmarkEnd w:id="78"/>
      <w:bookmarkEnd w:id="79"/>
      <w:bookmarkEnd w:id="80"/>
      <w:bookmarkEnd w:id="81"/>
      <w:bookmarkEnd w:id="82"/>
      <w:bookmarkEnd w:id="83"/>
      <w:bookmarkEnd w:id="84"/>
    </w:p>
    <w:p w14:paraId="245AA56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委员会成员不得收受他人的财物或者其他好处，不得向他人透漏对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委员会成员应当客观、公正地履行职责</w:t>
      </w:r>
      <w:r>
        <w:rPr>
          <w:rFonts w:hint="eastAsia" w:asciiTheme="minorEastAsia" w:hAnsiTheme="minorEastAsia" w:eastAsiaTheme="minorEastAsia" w:cstheme="minorEastAsia"/>
          <w:bCs/>
          <w:color w:val="auto"/>
          <w:sz w:val="21"/>
          <w:szCs w:val="21"/>
          <w:lang w:eastAsia="zh-CN"/>
        </w:rPr>
        <w:t>，独立评审，</w:t>
      </w:r>
      <w:r>
        <w:rPr>
          <w:rFonts w:hint="eastAsia" w:asciiTheme="minorEastAsia" w:hAnsiTheme="minorEastAsia" w:eastAsiaTheme="minorEastAsia" w:cstheme="minorEastAsia"/>
          <w:bCs/>
          <w:color w:val="auto"/>
          <w:sz w:val="21"/>
          <w:szCs w:val="21"/>
        </w:rPr>
        <w:t>遵守职业道德，不得擅离职守，影响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程序正常进行，不得使用采购文件没有规定的评审因素和标准进行</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w:t>
      </w:r>
    </w:p>
    <w:p w14:paraId="7233905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85" w:name="_Toc296602465"/>
      <w:bookmarkStart w:id="86" w:name="_Toc179632596"/>
      <w:bookmarkStart w:id="87" w:name="_Toc152045578"/>
      <w:bookmarkStart w:id="88" w:name="_Toc152042354"/>
      <w:bookmarkStart w:id="89" w:name="_Toc246996222"/>
      <w:bookmarkStart w:id="90" w:name="_Toc247085736"/>
      <w:bookmarkStart w:id="91" w:name="_Toc246996965"/>
      <w:r>
        <w:rPr>
          <w:rFonts w:hint="eastAsia" w:asciiTheme="minorEastAsia" w:hAnsiTheme="minorEastAsia" w:eastAsiaTheme="minorEastAsia" w:cstheme="minorEastAsia"/>
          <w:bCs/>
          <w:color w:val="auto"/>
          <w:sz w:val="21"/>
          <w:szCs w:val="21"/>
        </w:rPr>
        <w:t>21.4对与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活动有关的工作人员的纪律要求</w:t>
      </w:r>
      <w:bookmarkEnd w:id="85"/>
      <w:bookmarkEnd w:id="86"/>
      <w:bookmarkEnd w:id="87"/>
      <w:bookmarkEnd w:id="88"/>
      <w:bookmarkEnd w:id="89"/>
      <w:bookmarkEnd w:id="90"/>
      <w:bookmarkEnd w:id="91"/>
    </w:p>
    <w:p w14:paraId="61617A0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92" w:name="_Toc152042355"/>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w:t>
      </w:r>
      <w:bookmarkEnd w:id="92"/>
    </w:p>
    <w:p w14:paraId="39970B10">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3" w:name="_Toc246826113"/>
      <w:r>
        <w:rPr>
          <w:rFonts w:hint="eastAsia" w:asciiTheme="minorEastAsia" w:hAnsiTheme="minorEastAsia" w:eastAsiaTheme="minorEastAsia" w:cstheme="minorEastAsia"/>
          <w:bCs/>
          <w:color w:val="auto"/>
          <w:sz w:val="21"/>
          <w:szCs w:val="21"/>
        </w:rPr>
        <w:t>六、定标、合同</w:t>
      </w:r>
      <w:bookmarkEnd w:id="93"/>
      <w:r>
        <w:rPr>
          <w:rFonts w:hint="eastAsia" w:asciiTheme="minorEastAsia" w:hAnsiTheme="minorEastAsia" w:eastAsiaTheme="minorEastAsia" w:cstheme="minorEastAsia"/>
          <w:bCs/>
          <w:color w:val="auto"/>
          <w:sz w:val="21"/>
          <w:szCs w:val="21"/>
        </w:rPr>
        <w:t>与验收</w:t>
      </w:r>
    </w:p>
    <w:p w14:paraId="0DEBC30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22、定标准则</w:t>
      </w:r>
    </w:p>
    <w:p w14:paraId="7ECDB96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22.1任何单项因素的最优不能作为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的保证。</w:t>
      </w:r>
    </w:p>
    <w:p w14:paraId="65F7B89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22.2</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推荐排名第一且经采购人确认的供应商即为</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w:t>
      </w:r>
    </w:p>
    <w:p w14:paraId="45C04982">
      <w:pPr>
        <w:pageBreakBefore w:val="0"/>
        <w:wordWrap/>
        <w:topLinePunct w:val="0"/>
        <w:bidi w:val="0"/>
        <w:adjustRightInd w:val="0"/>
        <w:snapToGrid w:val="0"/>
        <w:spacing w:line="360" w:lineRule="auto"/>
        <w:ind w:left="420" w:left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通知</w:t>
      </w:r>
    </w:p>
    <w:p w14:paraId="53F0F56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23.1由</w:t>
      </w:r>
      <w:r>
        <w:rPr>
          <w:rFonts w:hint="eastAsia" w:asciiTheme="minorEastAsia" w:hAnsiTheme="minorEastAsia" w:eastAsiaTheme="minorEastAsia" w:cstheme="minorEastAsia"/>
          <w:bCs/>
          <w:color w:val="auto"/>
          <w:sz w:val="21"/>
          <w:szCs w:val="21"/>
          <w:lang w:eastAsia="zh-CN"/>
        </w:rPr>
        <w:t>采购人在</w:t>
      </w:r>
      <w:r>
        <w:rPr>
          <w:rFonts w:hint="eastAsia" w:asciiTheme="minorEastAsia" w:hAnsiTheme="minorEastAsia" w:eastAsiaTheme="minorEastAsia" w:cstheme="minorEastAsia"/>
          <w:bCs/>
          <w:color w:val="auto"/>
          <w:sz w:val="21"/>
          <w:szCs w:val="21"/>
          <w:lang w:val="en-US" w:eastAsia="zh-CN"/>
        </w:rPr>
        <w:t>比选公告发布</w:t>
      </w:r>
      <w:r>
        <w:rPr>
          <w:rFonts w:hint="eastAsia" w:asciiTheme="minorEastAsia" w:hAnsiTheme="minorEastAsia" w:eastAsiaTheme="minorEastAsia" w:cstheme="minorEastAsia"/>
          <w:bCs/>
          <w:color w:val="auto"/>
          <w:sz w:val="21"/>
          <w:szCs w:val="21"/>
        </w:rPr>
        <w:t>媒体上公布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结果，并向</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发送《</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w:t>
      </w:r>
    </w:p>
    <w:p w14:paraId="2C4CFC46">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23.2</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通知书为签订政府采购合同的依据，是合同的有效组成部分</w:t>
      </w:r>
      <w:r>
        <w:rPr>
          <w:rFonts w:hint="eastAsia" w:asciiTheme="minorEastAsia" w:hAnsiTheme="minorEastAsia" w:eastAsiaTheme="minorEastAsia" w:cstheme="minorEastAsia"/>
          <w:bCs/>
          <w:color w:val="auto"/>
          <w:sz w:val="21"/>
          <w:szCs w:val="21"/>
          <w:lang w:eastAsia="zh-CN"/>
        </w:rPr>
        <w:t>。</w:t>
      </w:r>
    </w:p>
    <w:p w14:paraId="1BDB32AA">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23.3</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通知书对采购人和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人均具有法律效力。</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通知书发出后，采购人改变</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结果，或者</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人无正当理由放弃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的，应当承担相应的法律责任</w:t>
      </w:r>
      <w:r>
        <w:rPr>
          <w:rFonts w:hint="eastAsia" w:asciiTheme="minorEastAsia" w:hAnsiTheme="minorEastAsia" w:eastAsiaTheme="minorEastAsia" w:cstheme="minorEastAsia"/>
          <w:bCs/>
          <w:color w:val="auto"/>
          <w:sz w:val="21"/>
          <w:szCs w:val="21"/>
          <w:lang w:eastAsia="zh-CN"/>
        </w:rPr>
        <w:t>。</w:t>
      </w:r>
    </w:p>
    <w:p w14:paraId="1298CE5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24、合同签订</w:t>
      </w:r>
    </w:p>
    <w:p w14:paraId="1D82A61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人在收到《</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通知书》后，应在规定的时间内与采购人签订采购合同。由于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人的原因逾期未与采购人签订采购合同的，将视为放弃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，取消其</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资格并将按相关规定进行处理。</w:t>
      </w:r>
    </w:p>
    <w:p w14:paraId="6DFB3D8B">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24.2采购人不得向</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人提出任何不合理的要求作为签订合同的条件，不得与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人私下订立背离合同实质性内容的任何协议，所签订的合同不得对采购文件和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作实质性修改。</w:t>
      </w:r>
    </w:p>
    <w:p w14:paraId="7CBD562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4" w:name="_Toc217446069"/>
      <w:r>
        <w:rPr>
          <w:rFonts w:hint="eastAsia" w:asciiTheme="minorEastAsia" w:hAnsiTheme="minorEastAsia" w:eastAsiaTheme="minorEastAsia" w:cstheme="minorEastAsia"/>
          <w:bCs/>
          <w:color w:val="auto"/>
          <w:sz w:val="21"/>
          <w:szCs w:val="21"/>
        </w:rPr>
        <w:t>25、合同</w:t>
      </w:r>
      <w:bookmarkEnd w:id="94"/>
      <w:r>
        <w:rPr>
          <w:rFonts w:hint="eastAsia" w:asciiTheme="minorEastAsia" w:hAnsiTheme="minorEastAsia" w:eastAsiaTheme="minorEastAsia" w:cstheme="minorEastAsia"/>
          <w:bCs/>
          <w:color w:val="auto"/>
          <w:sz w:val="21"/>
          <w:szCs w:val="21"/>
        </w:rPr>
        <w:t>履行</w:t>
      </w:r>
    </w:p>
    <w:p w14:paraId="0997670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25.1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人与采购人签订合同后，合同双方应严格执行合同条款，履行合同规定的义务，保证合同的顺利完成。</w:t>
      </w:r>
    </w:p>
    <w:p w14:paraId="0D998630">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25.2</w:t>
      </w:r>
      <w:r>
        <w:rPr>
          <w:rFonts w:hint="eastAsia" w:asciiTheme="minorEastAsia" w:hAnsiTheme="minorEastAsia" w:eastAsiaTheme="minorEastAsia" w:cstheme="minorEastAsia"/>
          <w:bCs/>
          <w:color w:val="auto"/>
          <w:sz w:val="21"/>
          <w:szCs w:val="21"/>
          <w:lang w:val="en-US" w:eastAsia="zh-CN"/>
        </w:rPr>
        <w:t>采购人应严格按照合同约定事项，制定科学合理的验收方案开展验收；</w:t>
      </w:r>
    </w:p>
    <w:p w14:paraId="37F33BC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25.3</w:t>
      </w:r>
      <w:r>
        <w:rPr>
          <w:rFonts w:hint="eastAsia" w:asciiTheme="minorEastAsia" w:hAnsiTheme="minorEastAsia" w:eastAsiaTheme="minorEastAsia" w:cstheme="minorEastAsia"/>
          <w:bCs/>
          <w:color w:val="auto"/>
          <w:sz w:val="21"/>
          <w:szCs w:val="21"/>
        </w:rPr>
        <w:t>在合同履行过程中，如发生合同纠纷，合同双方应按照《</w:t>
      </w:r>
      <w:r>
        <w:rPr>
          <w:rFonts w:hint="eastAsia" w:asciiTheme="minorEastAsia" w:hAnsiTheme="minorEastAsia" w:eastAsiaTheme="minorEastAsia" w:cstheme="minorEastAsia"/>
          <w:bCs/>
          <w:color w:val="auto"/>
          <w:sz w:val="21"/>
          <w:szCs w:val="21"/>
          <w:lang w:eastAsia="zh-CN"/>
        </w:rPr>
        <w:t>民法典</w:t>
      </w:r>
      <w:r>
        <w:rPr>
          <w:rFonts w:hint="eastAsia" w:asciiTheme="minorEastAsia" w:hAnsiTheme="minorEastAsia" w:eastAsiaTheme="minorEastAsia" w:cstheme="minorEastAsia"/>
          <w:bCs/>
          <w:color w:val="auto"/>
          <w:sz w:val="21"/>
          <w:szCs w:val="21"/>
        </w:rPr>
        <w:t>》的有关规定进行处理。</w:t>
      </w:r>
    </w:p>
    <w:p w14:paraId="78F0130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七、</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14:paraId="4326D8B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26、采购</w:t>
      </w:r>
      <w:r>
        <w:rPr>
          <w:rFonts w:hint="eastAsia" w:asciiTheme="minorEastAsia" w:hAnsiTheme="minorEastAsia" w:eastAsiaTheme="minorEastAsia" w:cstheme="minorEastAsia"/>
          <w:bCs/>
          <w:color w:val="auto"/>
          <w:sz w:val="21"/>
          <w:szCs w:val="21"/>
          <w:lang w:val="en-US" w:eastAsia="zh-CN"/>
        </w:rPr>
        <w:t>比选</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方法分为:综合评分法。</w:t>
      </w:r>
    </w:p>
    <w:p w14:paraId="6E5F384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综合评分法，是指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满足采购文件全部实质性要求且按照评审因素的量化指标评审得分最高的供应商为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14:paraId="52110BE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总得分＝F1×A1＋F2×A2＋……＋Fn×An</w:t>
      </w:r>
    </w:p>
    <w:p w14:paraId="015B146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F1、F2……Fn分别为价格、商务和技术部分评分因素的汇总得分；A1、A2、……An分别为价格、商务和技术部分评分因素所占的权重(A1＋A2＋......＋An＝1)。</w:t>
      </w:r>
    </w:p>
    <w:p w14:paraId="240F0D2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其中价格分统一采用低价优先法计算，即满足采购文件要求且</w:t>
      </w:r>
      <w:r>
        <w:rPr>
          <w:rFonts w:hint="eastAsia" w:asciiTheme="minorEastAsia" w:hAnsiTheme="minorEastAsia" w:eastAsiaTheme="minorEastAsia" w:cstheme="minorEastAsia"/>
          <w:bCs/>
          <w:color w:val="auto"/>
          <w:sz w:val="21"/>
          <w:szCs w:val="21"/>
          <w:lang w:eastAsia="zh-CN"/>
        </w:rPr>
        <w:t>响应价格</w:t>
      </w:r>
      <w:r>
        <w:rPr>
          <w:rFonts w:hint="eastAsia" w:asciiTheme="minorEastAsia" w:hAnsiTheme="minorEastAsia" w:eastAsiaTheme="minorEastAsia" w:cstheme="minorEastAsia"/>
          <w:bCs/>
          <w:color w:val="auto"/>
          <w:sz w:val="21"/>
          <w:szCs w:val="21"/>
        </w:rPr>
        <w:t>最低的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14:paraId="227F5B4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得分＝（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）×价格权值×100　　</w:t>
      </w:r>
    </w:p>
    <w:p w14:paraId="6C9A763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八、质疑</w:t>
      </w:r>
    </w:p>
    <w:p w14:paraId="1EB56285">
      <w:pPr>
        <w:pageBreakBefore w:val="0"/>
        <w:wordWrap/>
        <w:topLinePunct w:val="0"/>
        <w:bidi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27、供应商认为采购文件、采购过程和</w:t>
      </w:r>
      <w:r>
        <w:rPr>
          <w:rFonts w:hint="eastAsia" w:asciiTheme="minorEastAsia" w:hAnsiTheme="minorEastAsia" w:eastAsiaTheme="minorEastAsia" w:cstheme="minorEastAsia"/>
          <w:bCs/>
          <w:color w:val="auto"/>
          <w:sz w:val="21"/>
          <w:szCs w:val="21"/>
          <w:lang w:eastAsia="zh-CN"/>
        </w:rPr>
        <w:t>成交或者成交</w:t>
      </w:r>
      <w:r>
        <w:rPr>
          <w:rFonts w:hint="eastAsia" w:asciiTheme="minorEastAsia" w:hAnsiTheme="minorEastAsia" w:eastAsiaTheme="minorEastAsia" w:cstheme="minorEastAsia"/>
          <w:bCs/>
          <w:color w:val="auto"/>
          <w:sz w:val="21"/>
          <w:szCs w:val="21"/>
        </w:rPr>
        <w:t>结果使自己的合法权益受到损害的，应当在知道或者应知其权益受到损害之日起七个工作日（质疑有效期）内，向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提出询问或以书面形式向其质疑。</w:t>
      </w:r>
      <w:r>
        <w:rPr>
          <w:rFonts w:hint="eastAsia" w:asciiTheme="minorEastAsia" w:hAnsiTheme="minorEastAsia" w:eastAsiaTheme="minorEastAsia" w:cstheme="minorEastAsia"/>
          <w:bCs/>
          <w:color w:val="auto"/>
          <w:sz w:val="21"/>
          <w:szCs w:val="21"/>
          <w:lang w:val="en-US" w:eastAsia="zh-CN"/>
        </w:rPr>
        <w:t xml:space="preserve"> </w:t>
      </w:r>
    </w:p>
    <w:p w14:paraId="731C790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28、</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关于质疑受理事项依照</w:t>
      </w:r>
      <w:r>
        <w:rPr>
          <w:rFonts w:hint="default" w:asciiTheme="minorEastAsia" w:hAnsiTheme="minorEastAsia" w:eastAsiaTheme="minorEastAsia" w:cstheme="minorEastAsia"/>
          <w:bCs/>
          <w:color w:val="auto"/>
          <w:sz w:val="21"/>
          <w:szCs w:val="21"/>
        </w:rPr>
        <w:t>《中华人民共和国政府采购法》</w:t>
      </w:r>
      <w:r>
        <w:rPr>
          <w:rFonts w:hint="eastAsia" w:asciiTheme="minorEastAsia" w:hAnsiTheme="minorEastAsia" w:eastAsiaTheme="minorEastAsia" w:cstheme="minorEastAsia"/>
          <w:bCs/>
          <w:color w:val="auto"/>
          <w:sz w:val="21"/>
          <w:szCs w:val="21"/>
        </w:rPr>
        <w:t>《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14:paraId="512CBC2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29、质疑有效期的计算</w:t>
      </w:r>
    </w:p>
    <w:p w14:paraId="2FC537C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采购文件的质疑有效期为采购文件公告期限届满之日起</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个工作日内；采购过程的质疑有效期为各采购程序环节结束之日起</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个工作日内；采购结果的质疑有效期为采购结果公告期限届满之日起</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个工作日内。</w:t>
      </w:r>
    </w:p>
    <w:p w14:paraId="47427100">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九、无效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的其他有关规定：</w:t>
      </w:r>
    </w:p>
    <w:p w14:paraId="45ECAB80">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30、除符合采购文件中载明的无效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规定外，如果发现下列情况之一者，同样作无效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处理，其中30.1至30.3款情形的所有相关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均作无效</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处理。因此产生其他法律责任的由供应商自行承担：</w:t>
      </w:r>
    </w:p>
    <w:p w14:paraId="7C1B852F">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30.1不同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的法定代表人、委托代理人等由同一个单位缴纳社会保险的；</w:t>
      </w:r>
    </w:p>
    <w:p w14:paraId="26A6C9B2">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30.2由同一人携带两个及以上</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的企业资料参与开标会议的；</w:t>
      </w:r>
    </w:p>
    <w:p w14:paraId="0BECB8EA">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30.3单位负责人为同一人或者存在直接控股、管理关系的不同供应商，同时参加同一合同项下的政府采购活动的；</w:t>
      </w:r>
    </w:p>
    <w:p w14:paraId="71C37E99">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30.4为采购项目提供整体设计、规范编制或者项目管理、监理、检测等服务的供应商，再参加该采购项目的其他采购活动的；</w:t>
      </w:r>
    </w:p>
    <w:p w14:paraId="777DE02A">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30.5属于采购人任何不具有独立法人资格的附属机构（单位）；</w:t>
      </w:r>
    </w:p>
    <w:p w14:paraId="30AA2004">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30.6没有按要求提供补充文件，或调整补充内容超出规定范围。</w:t>
      </w:r>
    </w:p>
    <w:p w14:paraId="58F6627D">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30.7</w:t>
      </w:r>
      <w:r>
        <w:rPr>
          <w:rFonts w:hint="default" w:asciiTheme="minorEastAsia" w:hAnsiTheme="minorEastAsia" w:eastAsiaTheme="minorEastAsia" w:cstheme="minorEastAsia"/>
          <w:bCs/>
          <w:color w:val="auto"/>
          <w:sz w:val="21"/>
          <w:szCs w:val="21"/>
        </w:rPr>
        <w:t>未按照</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文件的规定提交</w:t>
      </w:r>
      <w:r>
        <w:rPr>
          <w:rFonts w:hint="eastAsia" w:asciiTheme="minorEastAsia" w:hAnsiTheme="minorEastAsia" w:eastAsiaTheme="minorEastAsia" w:cstheme="minorEastAsia"/>
          <w:bCs/>
          <w:color w:val="auto"/>
          <w:sz w:val="21"/>
          <w:szCs w:val="21"/>
          <w:lang w:val="en-US" w:eastAsia="zh-CN"/>
        </w:rPr>
        <w:t>响应</w:t>
      </w:r>
      <w:r>
        <w:rPr>
          <w:rFonts w:hint="default" w:asciiTheme="minorEastAsia" w:hAnsiTheme="minorEastAsia" w:eastAsiaTheme="minorEastAsia" w:cstheme="minorEastAsia"/>
          <w:bCs/>
          <w:color w:val="auto"/>
          <w:sz w:val="21"/>
          <w:szCs w:val="21"/>
        </w:rPr>
        <w:t>保证金的；</w:t>
      </w:r>
    </w:p>
    <w:p w14:paraId="3756E4E3">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30.8</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文件要求签署、盖章的；</w:t>
      </w:r>
    </w:p>
    <w:p w14:paraId="635CA13F">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30.9</w:t>
      </w:r>
      <w:r>
        <w:rPr>
          <w:rFonts w:hint="default" w:asciiTheme="minorEastAsia" w:hAnsiTheme="minorEastAsia" w:eastAsiaTheme="minorEastAsia" w:cstheme="minorEastAsia"/>
          <w:bCs/>
          <w:color w:val="auto"/>
          <w:sz w:val="21"/>
          <w:szCs w:val="21"/>
        </w:rPr>
        <w:t>不具备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文件中规定的资格要求的；</w:t>
      </w:r>
    </w:p>
    <w:p w14:paraId="7057F34F">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30.10</w:t>
      </w:r>
      <w:r>
        <w:rPr>
          <w:rFonts w:hint="default" w:asciiTheme="minorEastAsia" w:hAnsiTheme="minorEastAsia" w:eastAsiaTheme="minorEastAsia" w:cstheme="minorEastAsia"/>
          <w:bCs/>
          <w:color w:val="auto"/>
          <w:sz w:val="21"/>
          <w:szCs w:val="21"/>
        </w:rPr>
        <w:t>报价超过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文件中规定的预算金额或者最高限价的；</w:t>
      </w:r>
    </w:p>
    <w:p w14:paraId="086DA3E0">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30.11</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含有采购人不能接受的附加条件的；</w:t>
      </w:r>
    </w:p>
    <w:p w14:paraId="42D8BBCC">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30.12</w:t>
      </w:r>
      <w:r>
        <w:rPr>
          <w:rFonts w:hint="default" w:asciiTheme="minorEastAsia" w:hAnsiTheme="minorEastAsia" w:eastAsiaTheme="minorEastAsia" w:cstheme="minorEastAsia"/>
          <w:bCs/>
          <w:color w:val="auto"/>
          <w:sz w:val="21"/>
          <w:szCs w:val="21"/>
        </w:rPr>
        <w:t>法律、法规和</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文件规定的其他无效情形。</w:t>
      </w:r>
    </w:p>
    <w:p w14:paraId="0B1BBB97">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31、其他法律法规及规章制度认定参加政府采购无效的情形等。</w:t>
      </w:r>
    </w:p>
    <w:p w14:paraId="38A97CA2">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31.1存在恶意串通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行为的；</w:t>
      </w:r>
    </w:p>
    <w:p w14:paraId="7D701CDE">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31.2参与政府采购活动有不良行为记录且正处于处罚期内并适用于海口行政区域的；</w:t>
      </w:r>
    </w:p>
    <w:p w14:paraId="2767B341">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31.3企业在经营活动中存在不诚信记录且正处于处罚期内并适用于海口行政区域政府采购领域的；</w:t>
      </w:r>
    </w:p>
    <w:p w14:paraId="444BA81B">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31.4其他法律法规及规章制度认定参加政府采购活动无效并适用海口行政区域的情形等。</w:t>
      </w:r>
    </w:p>
    <w:p w14:paraId="78A33941">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十、适用法律</w:t>
      </w:r>
    </w:p>
    <w:p w14:paraId="3C85E701">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32、采购人、</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及</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的一切</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rPr>
        <w:t>活动均适用</w:t>
      </w:r>
      <w:r>
        <w:rPr>
          <w:rFonts w:hint="default" w:asciiTheme="minorEastAsia" w:hAnsiTheme="minorEastAsia" w:eastAsiaTheme="minorEastAsia" w:cstheme="minorEastAsia"/>
          <w:bCs/>
          <w:color w:val="auto"/>
          <w:sz w:val="21"/>
          <w:szCs w:val="21"/>
        </w:rPr>
        <w:t>《中华人民共和国政府采购法》</w:t>
      </w:r>
      <w:r>
        <w:rPr>
          <w:rFonts w:hint="eastAsia" w:asciiTheme="minorEastAsia" w:hAnsiTheme="minorEastAsia" w:eastAsiaTheme="minorEastAsia" w:cstheme="minorEastAsia"/>
          <w:bCs/>
          <w:color w:val="auto"/>
          <w:sz w:val="21"/>
          <w:szCs w:val="21"/>
        </w:rPr>
        <w:t>、《政府采购法实施条例》及其配套的法规、规章、政策。</w:t>
      </w:r>
    </w:p>
    <w:p w14:paraId="1F98A6CD">
      <w:pPr>
        <w:pStyle w:val="5"/>
        <w:pageBreakBefore w:val="0"/>
        <w:wordWrap/>
        <w:topLinePunct w:val="0"/>
        <w:bidi w:val="0"/>
        <w:adjustRightInd w:val="0"/>
        <w:snapToGrid w:val="0"/>
        <w:spacing w:line="360" w:lineRule="auto"/>
        <w:ind w:firstLine="0"/>
        <w:jc w:val="center"/>
        <w:textAlignment w:val="auto"/>
        <w:outlineLvl w:val="0"/>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rPr>
        <w:t xml:space="preserve">第四章  </w:t>
      </w:r>
      <w:bookmarkEnd w:id="33"/>
      <w:r>
        <w:rPr>
          <w:rFonts w:hint="eastAsia" w:asciiTheme="minorEastAsia" w:hAnsiTheme="minorEastAsia" w:eastAsiaTheme="minorEastAsia" w:cstheme="minorEastAsia"/>
          <w:b/>
          <w:color w:val="auto"/>
          <w:sz w:val="21"/>
          <w:szCs w:val="21"/>
        </w:rPr>
        <w:t>审查标准和</w:t>
      </w:r>
      <w:bookmarkStart w:id="95" w:name="_Toc246826116"/>
      <w:r>
        <w:rPr>
          <w:rFonts w:hint="eastAsia" w:asciiTheme="minorEastAsia" w:hAnsiTheme="minorEastAsia" w:eastAsiaTheme="minorEastAsia" w:cstheme="minorEastAsia"/>
          <w:b/>
          <w:color w:val="auto"/>
          <w:sz w:val="21"/>
          <w:szCs w:val="21"/>
          <w:lang w:eastAsia="zh-CN"/>
        </w:rPr>
        <w:t>评审标准</w:t>
      </w:r>
    </w:p>
    <w:bookmarkEnd w:id="95"/>
    <w:p w14:paraId="10B8A511">
      <w:pPr>
        <w:pageBreakBefore w:val="0"/>
        <w:wordWrap/>
        <w:topLinePunct w:val="0"/>
        <w:bidi w:val="0"/>
        <w:spacing w:line="360" w:lineRule="auto"/>
        <w:ind w:firstLine="422" w:firstLineChars="200"/>
        <w:textAlignment w:val="auto"/>
        <w:outlineLvl w:val="0"/>
        <w:rPr>
          <w:rFonts w:hint="eastAsia" w:ascii="宋体" w:hAnsi="宋体" w:eastAsia="宋体" w:cs="宋体"/>
          <w:b/>
          <w:color w:val="auto"/>
          <w:sz w:val="21"/>
          <w:szCs w:val="21"/>
        </w:rPr>
      </w:pPr>
      <w:bookmarkStart w:id="96" w:name="_Toc246826117"/>
      <w:r>
        <w:rPr>
          <w:rFonts w:hint="eastAsia" w:ascii="宋体" w:hAnsi="宋体" w:eastAsia="宋体" w:cs="宋体"/>
          <w:b/>
          <w:color w:val="auto"/>
          <w:sz w:val="21"/>
          <w:szCs w:val="21"/>
        </w:rPr>
        <w:t>一、基本要求：</w:t>
      </w:r>
    </w:p>
    <w:p w14:paraId="689A0E71">
      <w:pPr>
        <w:pStyle w:val="5"/>
        <w:pageBreakBefore w:val="0"/>
        <w:wordWrap/>
        <w:topLinePunct w:val="0"/>
        <w:bidi w:val="0"/>
        <w:snapToGrid w:val="0"/>
        <w:spacing w:line="360" w:lineRule="auto"/>
        <w:ind w:firstLineChars="200"/>
        <w:textAlignment w:val="auto"/>
        <w:outlineLvl w:val="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（一）资格审查、符合性审查或</w:t>
      </w:r>
      <w:r>
        <w:rPr>
          <w:rFonts w:hint="eastAsia" w:ascii="宋体" w:hAnsi="宋体" w:cs="宋体"/>
          <w:bCs/>
          <w:color w:val="auto"/>
          <w:sz w:val="21"/>
          <w:szCs w:val="21"/>
          <w:lang w:eastAsia="zh-CN"/>
        </w:rPr>
        <w:t>评审标准</w:t>
      </w:r>
      <w:r>
        <w:rPr>
          <w:rFonts w:hint="eastAsia" w:ascii="宋体" w:hAnsi="宋体" w:eastAsia="宋体" w:cs="宋体"/>
          <w:bCs/>
          <w:color w:val="auto"/>
          <w:sz w:val="21"/>
          <w:szCs w:val="21"/>
        </w:rPr>
        <w:t>中凡涉及到提供针对本项目授权书、承诺书的，均须以原件为准，否则不予认可</w:t>
      </w:r>
      <w:r>
        <w:rPr>
          <w:rFonts w:hint="eastAsia" w:ascii="宋体" w:hAnsi="宋体" w:cs="宋体"/>
          <w:bCs/>
          <w:color w:val="auto"/>
          <w:sz w:val="21"/>
          <w:szCs w:val="21"/>
          <w:lang w:val="en-US" w:eastAsia="zh-CN"/>
        </w:rPr>
        <w:t>。</w:t>
      </w:r>
    </w:p>
    <w:p w14:paraId="4967A5D1">
      <w:pPr>
        <w:pStyle w:val="5"/>
        <w:pageBreakBefore w:val="0"/>
        <w:wordWrap/>
        <w:topLinePunct w:val="0"/>
        <w:bidi w:val="0"/>
        <w:snapToGrid w:val="0"/>
        <w:spacing w:line="360" w:lineRule="auto"/>
        <w:ind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（二）资格审查、符合性审查或</w:t>
      </w:r>
      <w:r>
        <w:rPr>
          <w:rFonts w:hint="eastAsia" w:ascii="宋体" w:hAnsi="宋体" w:cs="宋体"/>
          <w:bCs/>
          <w:color w:val="auto"/>
          <w:sz w:val="21"/>
          <w:szCs w:val="21"/>
          <w:lang w:eastAsia="zh-CN"/>
        </w:rPr>
        <w:t>评审标准</w:t>
      </w:r>
      <w:r>
        <w:rPr>
          <w:rFonts w:hint="eastAsia" w:ascii="宋体" w:hAnsi="宋体" w:eastAsia="宋体" w:cs="宋体"/>
          <w:bCs/>
          <w:color w:val="auto"/>
          <w:sz w:val="21"/>
          <w:szCs w:val="21"/>
        </w:rPr>
        <w:t>中凡涉及到提供合同、报告、证书或认证等证明材料的，须提供清晰可见</w:t>
      </w:r>
      <w:r>
        <w:rPr>
          <w:rFonts w:hint="eastAsia" w:ascii="宋体" w:hAnsi="宋体" w:cs="宋体"/>
          <w:bCs/>
          <w:color w:val="auto"/>
          <w:sz w:val="21"/>
          <w:szCs w:val="21"/>
          <w:lang w:eastAsia="zh-CN"/>
        </w:rPr>
        <w:t>且在有效期内</w:t>
      </w:r>
      <w:r>
        <w:rPr>
          <w:rFonts w:hint="eastAsia" w:ascii="宋体" w:hAnsi="宋体" w:eastAsia="宋体" w:cs="宋体"/>
          <w:bCs/>
          <w:color w:val="auto"/>
          <w:sz w:val="21"/>
          <w:szCs w:val="21"/>
        </w:rPr>
        <w:t>的复印件</w:t>
      </w:r>
      <w:r>
        <w:rPr>
          <w:rFonts w:hint="eastAsia" w:ascii="宋体" w:hAnsi="宋体" w:eastAsia="宋体" w:cs="宋体"/>
          <w:bCs/>
          <w:color w:val="auto"/>
          <w:sz w:val="21"/>
          <w:szCs w:val="21"/>
          <w:lang w:eastAsia="zh-CN"/>
        </w:rPr>
        <w:t>并</w:t>
      </w:r>
      <w:r>
        <w:rPr>
          <w:rFonts w:hint="eastAsia" w:ascii="宋体" w:hAnsi="宋体" w:eastAsia="宋体" w:cs="宋体"/>
          <w:bCs/>
          <w:color w:val="auto"/>
          <w:sz w:val="21"/>
          <w:szCs w:val="21"/>
        </w:rPr>
        <w:t>加盖</w:t>
      </w:r>
      <w:r>
        <w:rPr>
          <w:rFonts w:hint="eastAsia" w:ascii="宋体" w:hAnsi="宋体" w:cs="宋体"/>
          <w:bCs/>
          <w:color w:val="auto"/>
          <w:sz w:val="21"/>
          <w:szCs w:val="21"/>
          <w:lang w:eastAsia="zh-CN"/>
        </w:rPr>
        <w:t>供应商</w:t>
      </w:r>
      <w:r>
        <w:rPr>
          <w:rFonts w:hint="eastAsia" w:ascii="宋体" w:hAnsi="宋体" w:eastAsia="宋体" w:cs="宋体"/>
          <w:bCs/>
          <w:color w:val="auto"/>
          <w:sz w:val="21"/>
          <w:szCs w:val="21"/>
        </w:rPr>
        <w:t>单位公章</w:t>
      </w:r>
      <w:r>
        <w:rPr>
          <w:rFonts w:hint="eastAsia" w:ascii="宋体" w:hAnsi="宋体" w:cs="宋体"/>
          <w:bCs/>
          <w:color w:val="auto"/>
          <w:sz w:val="21"/>
          <w:szCs w:val="21"/>
          <w:lang w:eastAsia="zh-CN"/>
        </w:rPr>
        <w:t>。</w:t>
      </w:r>
      <w:r>
        <w:rPr>
          <w:rFonts w:hint="eastAsia" w:ascii="宋体" w:hAnsi="宋体" w:eastAsia="宋体" w:cs="宋体"/>
          <w:bCs/>
          <w:color w:val="auto"/>
          <w:sz w:val="21"/>
          <w:szCs w:val="21"/>
          <w:lang w:eastAsia="zh-CN"/>
        </w:rPr>
        <w:t>如提供的证明材料不清晰或者无法明确证明的将不予认可。</w:t>
      </w:r>
      <w:r>
        <w:rPr>
          <w:rFonts w:hint="eastAsia" w:ascii="宋体" w:hAnsi="宋体" w:eastAsia="宋体" w:cs="宋体"/>
          <w:bCs/>
          <w:color w:val="auto"/>
          <w:sz w:val="21"/>
          <w:szCs w:val="21"/>
        </w:rPr>
        <w:t>如</w:t>
      </w:r>
      <w:r>
        <w:rPr>
          <w:rFonts w:hint="eastAsia" w:ascii="宋体" w:hAnsi="宋体" w:eastAsia="宋体" w:cs="宋体"/>
          <w:bCs/>
          <w:color w:val="auto"/>
          <w:sz w:val="21"/>
          <w:szCs w:val="21"/>
          <w:lang w:eastAsia="zh-CN"/>
        </w:rPr>
        <w:t>提供的证明材料</w:t>
      </w:r>
      <w:r>
        <w:rPr>
          <w:rFonts w:hint="eastAsia" w:ascii="宋体" w:hAnsi="宋体" w:eastAsia="宋体" w:cs="宋体"/>
          <w:bCs/>
          <w:color w:val="auto"/>
          <w:sz w:val="21"/>
          <w:szCs w:val="21"/>
        </w:rPr>
        <w:t>与原件不一致的，无论是在评审过程中乃至</w:t>
      </w:r>
      <w:r>
        <w:rPr>
          <w:rFonts w:hint="eastAsia" w:ascii="宋体" w:hAnsi="宋体" w:cs="宋体"/>
          <w:bCs/>
          <w:color w:val="auto"/>
          <w:sz w:val="21"/>
          <w:szCs w:val="21"/>
          <w:lang w:eastAsia="zh-CN"/>
        </w:rPr>
        <w:t>成交</w:t>
      </w:r>
      <w:r>
        <w:rPr>
          <w:rFonts w:hint="eastAsia" w:ascii="宋体" w:hAnsi="宋体" w:eastAsia="宋体" w:cs="宋体"/>
          <w:bCs/>
          <w:color w:val="auto"/>
          <w:sz w:val="21"/>
          <w:szCs w:val="21"/>
        </w:rPr>
        <w:t>后，其</w:t>
      </w:r>
      <w:r>
        <w:rPr>
          <w:rFonts w:hint="eastAsia" w:ascii="宋体" w:hAnsi="宋体" w:cs="宋体"/>
          <w:bCs/>
          <w:color w:val="auto"/>
          <w:sz w:val="21"/>
          <w:szCs w:val="21"/>
          <w:lang w:eastAsia="zh-CN"/>
        </w:rPr>
        <w:t>响应</w:t>
      </w:r>
      <w:r>
        <w:rPr>
          <w:rFonts w:hint="eastAsia" w:ascii="宋体" w:hAnsi="宋体" w:eastAsia="宋体" w:cs="宋体"/>
          <w:bCs/>
          <w:color w:val="auto"/>
          <w:sz w:val="21"/>
          <w:szCs w:val="21"/>
        </w:rPr>
        <w:t>将以无效</w:t>
      </w:r>
      <w:r>
        <w:rPr>
          <w:rFonts w:hint="eastAsia" w:ascii="宋体" w:hAnsi="宋体" w:cs="宋体"/>
          <w:bCs/>
          <w:color w:val="auto"/>
          <w:sz w:val="21"/>
          <w:szCs w:val="21"/>
          <w:lang w:eastAsia="zh-CN"/>
        </w:rPr>
        <w:t>响应</w:t>
      </w:r>
      <w:r>
        <w:rPr>
          <w:rFonts w:hint="eastAsia" w:ascii="宋体" w:hAnsi="宋体" w:eastAsia="宋体" w:cs="宋体"/>
          <w:bCs/>
          <w:color w:val="auto"/>
          <w:sz w:val="21"/>
          <w:szCs w:val="21"/>
        </w:rPr>
        <w:t>或取消</w:t>
      </w:r>
      <w:r>
        <w:rPr>
          <w:rFonts w:hint="eastAsia" w:ascii="宋体" w:hAnsi="宋体" w:cs="宋体"/>
          <w:bCs/>
          <w:color w:val="auto"/>
          <w:sz w:val="21"/>
          <w:szCs w:val="21"/>
          <w:lang w:eastAsia="zh-CN"/>
        </w:rPr>
        <w:t>成交</w:t>
      </w:r>
      <w:r>
        <w:rPr>
          <w:rFonts w:hint="eastAsia" w:ascii="宋体" w:hAnsi="宋体" w:eastAsia="宋体" w:cs="宋体"/>
          <w:bCs/>
          <w:color w:val="auto"/>
          <w:sz w:val="21"/>
          <w:szCs w:val="21"/>
        </w:rPr>
        <w:t>资格论处，并上报政府采购监督管理部门。</w:t>
      </w:r>
    </w:p>
    <w:p w14:paraId="60B5D64B">
      <w:pPr>
        <w:pStyle w:val="5"/>
        <w:pageBreakBefore w:val="0"/>
        <w:wordWrap/>
        <w:topLinePunct w:val="0"/>
        <w:bidi w:val="0"/>
        <w:snapToGrid w:val="0"/>
        <w:spacing w:line="360" w:lineRule="auto"/>
        <w:ind w:firstLine="422" w:firstLineChars="200"/>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二、审查标准</w:t>
      </w:r>
    </w:p>
    <w:p w14:paraId="30E9233B">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1、资格审查表和符合性审查表中所列内容全部审查意见为“合格”，方视为“合格”，其中有一项不合格，将视为不合格供应商。</w:t>
      </w:r>
    </w:p>
    <w:p w14:paraId="71CBACA7">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2、在审查意见汇总的过程中，如存在不同审查意见，则按照少数服从多数的原则做出结论。</w:t>
      </w:r>
    </w:p>
    <w:p w14:paraId="0AFD4C6A">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3、本表格“审查意见”栏默认“√”视为合格标示，“×”视为不合格标示。</w:t>
      </w:r>
    </w:p>
    <w:p w14:paraId="427142C5">
      <w:pPr>
        <w:pageBreakBefore w:val="0"/>
        <w:wordWrap/>
        <w:topLinePunct w:val="0"/>
        <w:bidi w:val="0"/>
        <w:snapToGrid w:val="0"/>
        <w:spacing w:line="360" w:lineRule="auto"/>
        <w:ind w:firstLine="211" w:firstLineChars="1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（一）资格审查表</w:t>
      </w:r>
    </w:p>
    <w:tbl>
      <w:tblPr>
        <w:tblStyle w:val="18"/>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14:paraId="060C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14:paraId="2A1B1B09">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14:paraId="50922ADE">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14:paraId="46D97959">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14:paraId="31EF9551">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审查意见</w:t>
            </w:r>
          </w:p>
        </w:tc>
      </w:tr>
      <w:tr w14:paraId="5FD6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3E87D113">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4650" w:type="dxa"/>
            <w:tcBorders>
              <w:top w:val="single" w:color="auto" w:sz="4" w:space="0"/>
              <w:left w:val="single" w:color="auto" w:sz="4" w:space="0"/>
              <w:bottom w:val="single" w:color="auto" w:sz="4" w:space="0"/>
              <w:right w:val="single" w:color="auto" w:sz="4" w:space="0"/>
            </w:tcBorders>
            <w:noWrap/>
            <w:vAlign w:val="center"/>
          </w:tcPr>
          <w:p w14:paraId="0572987E">
            <w:pPr>
              <w:snapToGrid w:val="0"/>
              <w:spacing w:line="360" w:lineRule="auto"/>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14:paraId="5C9786C5">
            <w:pPr>
              <w:widowControl/>
              <w:snapToGrid w:val="0"/>
              <w:spacing w:line="360" w:lineRule="auto"/>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14:paraId="4A34B8B8">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3ABD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53" w:hRule="atLeast"/>
        </w:trPr>
        <w:tc>
          <w:tcPr>
            <w:tcW w:w="561" w:type="dxa"/>
            <w:tcBorders>
              <w:top w:val="single" w:color="auto" w:sz="4" w:space="0"/>
              <w:left w:val="single" w:color="auto" w:sz="4" w:space="0"/>
              <w:right w:val="single" w:color="auto" w:sz="4" w:space="0"/>
            </w:tcBorders>
            <w:noWrap/>
            <w:vAlign w:val="center"/>
          </w:tcPr>
          <w:p w14:paraId="194DD579">
            <w:pPr>
              <w:pageBreakBefore w:val="0"/>
              <w:wordWrap/>
              <w:topLinePunct w:val="0"/>
              <w:bidi w:val="0"/>
              <w:snapToGrid w:val="0"/>
              <w:spacing w:line="360" w:lineRule="auto"/>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p>
        </w:tc>
        <w:tc>
          <w:tcPr>
            <w:tcW w:w="4650" w:type="dxa"/>
            <w:tcBorders>
              <w:top w:val="single" w:color="auto" w:sz="4" w:space="0"/>
              <w:left w:val="single" w:color="auto" w:sz="4" w:space="0"/>
              <w:right w:val="single" w:color="auto" w:sz="4" w:space="0"/>
            </w:tcBorders>
            <w:noWrap/>
            <w:vAlign w:val="center"/>
          </w:tcPr>
          <w:p w14:paraId="57CBAE28">
            <w:pPr>
              <w:snapToGrid w:val="0"/>
              <w:spacing w:line="360" w:lineRule="auto"/>
              <w:jc w:val="left"/>
              <w:rPr>
                <w:rFonts w:hint="eastAsia" w:ascii="宋体" w:hAnsi="宋体" w:eastAsia="宋体" w:cs="宋体"/>
                <w:bCs/>
                <w:color w:val="auto"/>
                <w:kern w:val="0"/>
                <w:sz w:val="21"/>
                <w:szCs w:val="21"/>
                <w:lang w:val="zh-CN" w:eastAsia="zh-CN" w:bidi="ar-SA"/>
              </w:rPr>
            </w:pPr>
            <w:r>
              <w:rPr>
                <w:rFonts w:hint="eastAsia" w:ascii="宋体" w:hAnsi="宋体" w:cs="宋体"/>
                <w:bCs/>
                <w:color w:val="auto"/>
                <w:kern w:val="0"/>
                <w:szCs w:val="21"/>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14:paraId="44CC568C">
            <w:pPr>
              <w:snapToGrid w:val="0"/>
              <w:spacing w:line="360" w:lineRule="auto"/>
              <w:jc w:val="left"/>
              <w:rPr>
                <w:rFonts w:hint="eastAsia" w:ascii="宋体" w:hAnsi="宋体" w:eastAsia="宋体" w:cs="宋体"/>
                <w:bCs/>
                <w:color w:val="auto"/>
                <w:kern w:val="0"/>
                <w:sz w:val="21"/>
                <w:szCs w:val="21"/>
                <w:lang w:val="zh-CN" w:eastAsia="zh-CN" w:bidi="ar-SA"/>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3ACF7016">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4F98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8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692E6E01">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3</w:t>
            </w:r>
          </w:p>
        </w:tc>
        <w:tc>
          <w:tcPr>
            <w:tcW w:w="4650" w:type="dxa"/>
            <w:tcBorders>
              <w:top w:val="single" w:color="auto" w:sz="4" w:space="0"/>
              <w:left w:val="single" w:color="auto" w:sz="4" w:space="0"/>
              <w:bottom w:val="single" w:color="auto" w:sz="4" w:space="0"/>
              <w:right w:val="single" w:color="auto" w:sz="4" w:space="0"/>
            </w:tcBorders>
            <w:noWrap/>
            <w:vAlign w:val="center"/>
          </w:tcPr>
          <w:p w14:paraId="699A2811">
            <w:pPr>
              <w:pStyle w:val="6"/>
              <w:spacing w:line="360" w:lineRule="auto"/>
              <w:rPr>
                <w:rFonts w:hint="eastAsia" w:ascii="宋体" w:hAnsi="宋体" w:eastAsia="宋体" w:cs="宋体"/>
                <w:bCs/>
                <w:color w:val="auto"/>
                <w:kern w:val="2"/>
                <w:sz w:val="21"/>
                <w:szCs w:val="21"/>
                <w:lang w:val="zh-CN" w:eastAsia="zh-CN" w:bidi="ar-SA"/>
              </w:rPr>
            </w:pPr>
            <w:r>
              <w:rPr>
                <w:rFonts w:hint="eastAsia" w:ascii="宋体" w:hAnsi="宋体" w:cs="宋体"/>
                <w:bCs/>
                <w:color w:val="auto"/>
                <w:szCs w:val="21"/>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3939FCD1">
            <w:pPr>
              <w:pStyle w:val="6"/>
              <w:spacing w:line="360" w:lineRule="auto"/>
              <w:rPr>
                <w:rFonts w:hint="eastAsia" w:ascii="宋体" w:hAnsi="宋体" w:eastAsia="宋体" w:cs="宋体"/>
                <w:bCs/>
                <w:color w:val="auto"/>
                <w:kern w:val="2"/>
                <w:sz w:val="21"/>
                <w:szCs w:val="21"/>
                <w:lang w:val="zh-CN" w:eastAsia="zh-CN" w:bidi="ar-SA"/>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3311545B">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7B49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6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250D79A0">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p>
        </w:tc>
        <w:tc>
          <w:tcPr>
            <w:tcW w:w="4650" w:type="dxa"/>
            <w:tcBorders>
              <w:top w:val="single" w:color="auto" w:sz="4" w:space="0"/>
              <w:left w:val="single" w:color="auto" w:sz="4" w:space="0"/>
              <w:bottom w:val="single" w:color="auto" w:sz="4" w:space="0"/>
              <w:right w:val="single" w:color="auto" w:sz="4" w:space="0"/>
            </w:tcBorders>
            <w:noWrap/>
            <w:vAlign w:val="center"/>
          </w:tcPr>
          <w:p w14:paraId="117E2815">
            <w:pPr>
              <w:pStyle w:val="6"/>
              <w:snapToGrid w:val="0"/>
              <w:spacing w:line="360" w:lineRule="auto"/>
              <w:jc w:val="both"/>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043906FD">
            <w:pPr>
              <w:pStyle w:val="6"/>
              <w:snapToGrid w:val="0"/>
              <w:spacing w:line="360" w:lineRule="auto"/>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36520036">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1C08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20C5A0A5">
            <w:pPr>
              <w:pageBreakBefore w:val="0"/>
              <w:wordWrap/>
              <w:topLinePunct w:val="0"/>
              <w:bidi w:val="0"/>
              <w:snapToGrid w:val="0"/>
              <w:spacing w:line="360" w:lineRule="auto"/>
              <w:jc w:val="center"/>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5</w:t>
            </w:r>
          </w:p>
        </w:tc>
        <w:tc>
          <w:tcPr>
            <w:tcW w:w="4650" w:type="dxa"/>
            <w:tcBorders>
              <w:top w:val="single" w:color="auto" w:sz="4" w:space="0"/>
              <w:left w:val="single" w:color="auto" w:sz="4" w:space="0"/>
              <w:bottom w:val="single" w:color="auto" w:sz="4" w:space="0"/>
              <w:right w:val="single" w:color="auto" w:sz="4" w:space="0"/>
            </w:tcBorders>
            <w:noWrap/>
            <w:vAlign w:val="center"/>
          </w:tcPr>
          <w:p w14:paraId="4BA26993">
            <w:pPr>
              <w:pStyle w:val="6"/>
              <w:snapToGrid w:val="0"/>
              <w:spacing w:line="360" w:lineRule="auto"/>
              <w:jc w:val="both"/>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rPr>
              <w:t>未被“信用中国”列入失信被执行人和重大税收违法失信主体名单、未被中国政府采购网列入政府采购严重违法失信行为记录名单</w:t>
            </w:r>
          </w:p>
        </w:tc>
        <w:tc>
          <w:tcPr>
            <w:tcW w:w="2130" w:type="dxa"/>
            <w:tcBorders>
              <w:top w:val="single" w:color="auto" w:sz="4" w:space="0"/>
              <w:left w:val="single" w:color="auto" w:sz="4" w:space="0"/>
              <w:bottom w:val="single" w:color="auto" w:sz="4" w:space="0"/>
              <w:right w:val="single" w:color="auto" w:sz="4" w:space="0"/>
            </w:tcBorders>
            <w:noWrap/>
            <w:vAlign w:val="center"/>
          </w:tcPr>
          <w:p w14:paraId="5F8E20BB">
            <w:pPr>
              <w:pStyle w:val="6"/>
              <w:snapToGrid w:val="0"/>
              <w:spacing w:line="360" w:lineRule="auto"/>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0"/>
                <w:szCs w:val="21"/>
                <w:lang w:val="zh-CN"/>
              </w:rPr>
              <w:t>提供“信用中国”、“中国政府采购网网站”截图。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14:paraId="51D347D3">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bl>
    <w:p w14:paraId="387CF892">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eastAsia="zh-CN"/>
        </w:rPr>
      </w:pPr>
    </w:p>
    <w:p w14:paraId="6E34D893">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eastAsia="zh-CN"/>
        </w:rPr>
      </w:pPr>
    </w:p>
    <w:p w14:paraId="47C6ACCD">
      <w:pPr>
        <w:pStyle w:val="30"/>
        <w:ind w:firstLine="0" w:firstLineChars="0"/>
        <w:rPr>
          <w:rFonts w:hint="eastAsia" w:asciiTheme="minorEastAsia" w:hAnsiTheme="minorEastAsia" w:eastAsiaTheme="minorEastAsia" w:cstheme="minorEastAsia"/>
          <w:b/>
          <w:color w:val="auto"/>
          <w:sz w:val="21"/>
          <w:szCs w:val="21"/>
          <w:lang w:eastAsia="zh-CN"/>
        </w:rPr>
      </w:pPr>
    </w:p>
    <w:p w14:paraId="70279170">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二</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符合性审查表</w:t>
      </w:r>
    </w:p>
    <w:tbl>
      <w:tblPr>
        <w:tblStyle w:val="18"/>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14:paraId="77A1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14:paraId="0FCF9FB9">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14:paraId="0383976D">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14:paraId="6494F071">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14:paraId="53082B10">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审查意见</w:t>
            </w:r>
          </w:p>
        </w:tc>
      </w:tr>
      <w:tr w14:paraId="51EE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41717C44">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4260" w:type="dxa"/>
            <w:tcBorders>
              <w:top w:val="single" w:color="auto" w:sz="4" w:space="0"/>
              <w:left w:val="single" w:color="auto" w:sz="4" w:space="0"/>
              <w:bottom w:val="single" w:color="auto" w:sz="4" w:space="0"/>
              <w:right w:val="single" w:color="auto" w:sz="4" w:space="0"/>
            </w:tcBorders>
            <w:noWrap/>
            <w:vAlign w:val="center"/>
          </w:tcPr>
          <w:p w14:paraId="62718144">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14:paraId="38C143F6">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14:paraId="2D5DD920">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380B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F35FF0E">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4260" w:type="dxa"/>
            <w:tcBorders>
              <w:top w:val="single" w:color="auto" w:sz="4" w:space="0"/>
              <w:left w:val="single" w:color="auto" w:sz="4" w:space="0"/>
              <w:bottom w:val="single" w:color="auto" w:sz="4" w:space="0"/>
              <w:right w:val="single" w:color="auto" w:sz="4" w:space="0"/>
            </w:tcBorders>
            <w:noWrap/>
            <w:vAlign w:val="center"/>
          </w:tcPr>
          <w:p w14:paraId="123624B5">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vAlign w:val="top"/>
          </w:tcPr>
          <w:p w14:paraId="3CE9BD39">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14:paraId="694D6723">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05C1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6DC569F7">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w:t>
            </w:r>
          </w:p>
        </w:tc>
        <w:tc>
          <w:tcPr>
            <w:tcW w:w="4260" w:type="dxa"/>
            <w:tcBorders>
              <w:top w:val="single" w:color="auto" w:sz="4" w:space="0"/>
              <w:left w:val="single" w:color="auto" w:sz="4" w:space="0"/>
              <w:bottom w:val="single" w:color="auto" w:sz="4" w:space="0"/>
              <w:right w:val="single" w:color="auto" w:sz="4" w:space="0"/>
            </w:tcBorders>
            <w:noWrap/>
            <w:vAlign w:val="center"/>
          </w:tcPr>
          <w:p w14:paraId="2B106034">
            <w:pPr>
              <w:adjustRightInd w:val="0"/>
              <w:snapToGrid w:val="0"/>
              <w:spacing w:line="360" w:lineRule="auto"/>
              <w:rPr>
                <w:rFonts w:hint="default" w:eastAsia="宋体" w:asciiTheme="minorEastAsia" w:hAnsiTheme="minorEastAsia" w:cstheme="minorEastAsia"/>
                <w:bCs/>
                <w:color w:val="auto"/>
                <w:kern w:val="2"/>
                <w:sz w:val="21"/>
                <w:szCs w:val="21"/>
                <w:lang w:val="en-US" w:eastAsia="zh-CN" w:bidi="ar-SA"/>
              </w:rPr>
            </w:pPr>
            <w:r>
              <w:rPr>
                <w:rFonts w:hint="eastAsia" w:asciiTheme="minorEastAsia" w:hAnsiTheme="minorEastAsia" w:cstheme="minorEastAsia"/>
                <w:bCs/>
                <w:color w:val="auto"/>
                <w:szCs w:val="21"/>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14:paraId="1BD00C73">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18502589">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797E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254B90EF">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4</w:t>
            </w:r>
          </w:p>
        </w:tc>
        <w:tc>
          <w:tcPr>
            <w:tcW w:w="4260" w:type="dxa"/>
            <w:tcBorders>
              <w:top w:val="single" w:color="auto" w:sz="4" w:space="0"/>
              <w:left w:val="single" w:color="auto" w:sz="4" w:space="0"/>
              <w:bottom w:val="single" w:color="auto" w:sz="4" w:space="0"/>
              <w:right w:val="single" w:color="auto" w:sz="4" w:space="0"/>
            </w:tcBorders>
            <w:noWrap/>
            <w:vAlign w:val="center"/>
          </w:tcPr>
          <w:p w14:paraId="16093279">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质量标准。</w:t>
            </w:r>
          </w:p>
        </w:tc>
        <w:tc>
          <w:tcPr>
            <w:tcW w:w="2535" w:type="dxa"/>
            <w:tcBorders>
              <w:top w:val="single" w:color="auto" w:sz="4" w:space="0"/>
              <w:left w:val="single" w:color="auto" w:sz="4" w:space="0"/>
              <w:bottom w:val="single" w:color="auto" w:sz="4" w:space="0"/>
              <w:right w:val="single" w:color="auto" w:sz="4" w:space="0"/>
            </w:tcBorders>
            <w:noWrap/>
            <w:vAlign w:val="top"/>
          </w:tcPr>
          <w:p w14:paraId="0E87F6CE">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4013D179">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45C8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392211F6">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5</w:t>
            </w:r>
          </w:p>
        </w:tc>
        <w:tc>
          <w:tcPr>
            <w:tcW w:w="4260" w:type="dxa"/>
            <w:tcBorders>
              <w:top w:val="single" w:color="auto" w:sz="4" w:space="0"/>
              <w:left w:val="single" w:color="auto" w:sz="4" w:space="0"/>
              <w:bottom w:val="single" w:color="auto" w:sz="4" w:space="0"/>
              <w:right w:val="single" w:color="auto" w:sz="4" w:space="0"/>
            </w:tcBorders>
            <w:noWrap/>
            <w:vAlign w:val="center"/>
          </w:tcPr>
          <w:p w14:paraId="0E2731E5">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报价。</w:t>
            </w:r>
          </w:p>
        </w:tc>
        <w:tc>
          <w:tcPr>
            <w:tcW w:w="2535" w:type="dxa"/>
            <w:tcBorders>
              <w:top w:val="single" w:color="auto" w:sz="4" w:space="0"/>
              <w:left w:val="single" w:color="auto" w:sz="4" w:space="0"/>
              <w:bottom w:val="single" w:color="auto" w:sz="4" w:space="0"/>
              <w:right w:val="single" w:color="auto" w:sz="4" w:space="0"/>
            </w:tcBorders>
            <w:noWrap/>
            <w:vAlign w:val="top"/>
          </w:tcPr>
          <w:p w14:paraId="34E3FEA0">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14:paraId="2E4314C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14:paraId="5D8B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588445AD">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6</w:t>
            </w:r>
          </w:p>
        </w:tc>
        <w:tc>
          <w:tcPr>
            <w:tcW w:w="4260" w:type="dxa"/>
            <w:tcBorders>
              <w:top w:val="single" w:color="auto" w:sz="4" w:space="0"/>
              <w:left w:val="single" w:color="auto" w:sz="4" w:space="0"/>
              <w:bottom w:val="single" w:color="auto" w:sz="4" w:space="0"/>
              <w:right w:val="single" w:color="auto" w:sz="4" w:space="0"/>
            </w:tcBorders>
            <w:noWrap/>
            <w:vAlign w:val="center"/>
          </w:tcPr>
          <w:p w14:paraId="4D85ECDD">
            <w:pPr>
              <w:adjustRightInd w:val="0"/>
              <w:snapToGrid w:val="0"/>
              <w:spacing w:line="360" w:lineRule="auto"/>
              <w:rPr>
                <w:rFonts w:hint="eastAsia" w:eastAsia="宋体" w:asciiTheme="minorEastAsia" w:hAnsiTheme="minorEastAsia" w:cstheme="minorEastAsia"/>
                <w:bCs/>
                <w:color w:val="auto"/>
                <w:kern w:val="2"/>
                <w:sz w:val="21"/>
                <w:szCs w:val="21"/>
                <w:lang w:val="en-US" w:eastAsia="zh-CN" w:bidi="ar-SA"/>
              </w:rPr>
            </w:pPr>
            <w:r>
              <w:rPr>
                <w:rFonts w:hint="eastAsia" w:asciiTheme="minorEastAsia" w:hAnsiTheme="minorEastAsia" w:cstheme="minorEastAsia"/>
                <w:bCs/>
                <w:color w:val="auto"/>
                <w:szCs w:val="21"/>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14:paraId="7CBDB052">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61BDE8B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14:paraId="6A41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17AE4D2D">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7</w:t>
            </w:r>
          </w:p>
        </w:tc>
        <w:tc>
          <w:tcPr>
            <w:tcW w:w="4260" w:type="dxa"/>
            <w:tcBorders>
              <w:top w:val="single" w:color="auto" w:sz="4" w:space="0"/>
              <w:left w:val="single" w:color="auto" w:sz="4" w:space="0"/>
              <w:bottom w:val="single" w:color="auto" w:sz="4" w:space="0"/>
              <w:right w:val="single" w:color="auto" w:sz="4" w:space="0"/>
            </w:tcBorders>
            <w:noWrap/>
            <w:vAlign w:val="center"/>
          </w:tcPr>
          <w:p w14:paraId="668D0D8C">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noWrap/>
            <w:vAlign w:val="top"/>
          </w:tcPr>
          <w:p w14:paraId="18EEFC94">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14:paraId="7E8A69E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bl>
    <w:p w14:paraId="32F4F62B">
      <w:pPr>
        <w:pStyle w:val="10"/>
        <w:ind w:left="0" w:leftChars="0" w:firstLine="0" w:firstLineChars="0"/>
        <w:rPr>
          <w:rFonts w:hint="eastAsia"/>
          <w:color w:val="auto"/>
        </w:rPr>
      </w:pPr>
    </w:p>
    <w:p w14:paraId="605C9809">
      <w:pPr>
        <w:pageBreakBefore w:val="0"/>
        <w:wordWrap/>
        <w:topLinePunct w:val="0"/>
        <w:bidi w:val="0"/>
        <w:adjustRightInd w:val="0"/>
        <w:snapToGrid w:val="0"/>
        <w:spacing w:line="360" w:lineRule="auto"/>
        <w:textAlignment w:val="auto"/>
        <w:outlineLvl w:val="1"/>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评审标准</w:t>
      </w:r>
    </w:p>
    <w:p w14:paraId="394BB88E">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方法及</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结果排列顺序规定如下：</w:t>
      </w:r>
    </w:p>
    <w:p w14:paraId="5607C943">
      <w:pPr>
        <w:pStyle w:val="6"/>
        <w:pageBreakBefore w:val="0"/>
        <w:kinsoku/>
        <w:wordWrap/>
        <w:overflowPunct/>
        <w:topLinePunct w:val="0"/>
        <w:bidi w:val="0"/>
        <w:spacing w:line="360" w:lineRule="auto"/>
        <w:ind w:firstLine="420" w:firstLineChars="20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采用综合评分法的，</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按评审后得分由高到低顺序排列。得分相同的，按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由低到高顺序排列</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得分且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相同的</w:t>
      </w:r>
      <w:r>
        <w:rPr>
          <w:rFonts w:hint="eastAsia" w:asciiTheme="minorEastAsia" w:hAnsiTheme="minorEastAsia" w:eastAsiaTheme="minorEastAsia" w:cstheme="minorEastAsia"/>
          <w:bCs/>
          <w:color w:val="auto"/>
          <w:sz w:val="21"/>
          <w:szCs w:val="21"/>
          <w:lang w:eastAsia="zh-CN"/>
        </w:rPr>
        <w:t>并列或者评审</w:t>
      </w:r>
      <w:r>
        <w:rPr>
          <w:rFonts w:hint="eastAsia" w:asciiTheme="minorEastAsia" w:hAnsiTheme="minorEastAsia" w:eastAsiaTheme="minorEastAsia" w:cstheme="minorEastAsia"/>
          <w:bCs/>
          <w:color w:val="auto"/>
          <w:sz w:val="21"/>
          <w:szCs w:val="21"/>
        </w:rPr>
        <w:t>委员会根据</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情况推荐</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排列顺序或予以授标建议。</w:t>
      </w:r>
    </w:p>
    <w:p w14:paraId="6647B6B5">
      <w:pPr>
        <w:pageBreakBefore w:val="0"/>
        <w:numPr>
          <w:ilvl w:val="0"/>
          <w:numId w:val="1"/>
        </w:numPr>
        <w:wordWrap/>
        <w:topLinePunct w:val="0"/>
        <w:bidi w:val="0"/>
        <w:adjustRightInd w:val="0"/>
        <w:snapToGrid w:val="0"/>
        <w:spacing w:line="360" w:lineRule="auto"/>
        <w:ind w:left="-2" w:leftChars="0" w:firstLine="422" w:firstLineChars="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评审因素及分值分配</w:t>
      </w:r>
    </w:p>
    <w:tbl>
      <w:tblPr>
        <w:tblStyle w:val="18"/>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14:paraId="096E5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14:paraId="12930FC5">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评审因素</w:t>
            </w:r>
          </w:p>
        </w:tc>
        <w:tc>
          <w:tcPr>
            <w:tcW w:w="2865" w:type="dxa"/>
            <w:tcBorders>
              <w:top w:val="single" w:color="auto" w:sz="6" w:space="0"/>
              <w:left w:val="single" w:color="auto" w:sz="6" w:space="0"/>
              <w:bottom w:val="single" w:color="auto" w:sz="6" w:space="0"/>
              <w:right w:val="single" w:color="auto" w:sz="6" w:space="0"/>
            </w:tcBorders>
            <w:noWrap w:val="0"/>
            <w:vAlign w:val="center"/>
          </w:tcPr>
          <w:p w14:paraId="0351370F">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技术商务</w:t>
            </w:r>
          </w:p>
        </w:tc>
        <w:tc>
          <w:tcPr>
            <w:tcW w:w="2911" w:type="dxa"/>
            <w:tcBorders>
              <w:top w:val="single" w:color="auto" w:sz="6" w:space="0"/>
              <w:left w:val="single" w:color="auto" w:sz="6" w:space="0"/>
              <w:bottom w:val="single" w:color="auto" w:sz="6" w:space="0"/>
              <w:right w:val="single" w:color="auto" w:sz="6" w:space="0"/>
            </w:tcBorders>
            <w:noWrap w:val="0"/>
            <w:vAlign w:val="center"/>
          </w:tcPr>
          <w:p w14:paraId="32093689">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价格</w:t>
            </w:r>
          </w:p>
        </w:tc>
      </w:tr>
      <w:tr w14:paraId="071CC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14:paraId="13F7071F">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分值</w:t>
            </w:r>
          </w:p>
        </w:tc>
        <w:tc>
          <w:tcPr>
            <w:tcW w:w="2865" w:type="dxa"/>
            <w:tcBorders>
              <w:top w:val="single" w:color="auto" w:sz="6" w:space="0"/>
              <w:left w:val="single" w:color="auto" w:sz="6" w:space="0"/>
              <w:bottom w:val="single" w:color="auto" w:sz="6" w:space="0"/>
              <w:right w:val="single" w:color="auto" w:sz="6" w:space="0"/>
            </w:tcBorders>
            <w:noWrap w:val="0"/>
            <w:vAlign w:val="center"/>
          </w:tcPr>
          <w:p w14:paraId="7A6C0474">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80</w:t>
            </w:r>
            <w:r>
              <w:rPr>
                <w:rFonts w:hint="eastAsia" w:ascii="宋体" w:hAnsi="宋体" w:eastAsia="宋体" w:cs="宋体"/>
                <w:b w:val="0"/>
                <w:bCs/>
                <w:color w:val="auto"/>
                <w:sz w:val="21"/>
                <w:szCs w:val="21"/>
              </w:rPr>
              <w:t>分</w:t>
            </w:r>
          </w:p>
        </w:tc>
        <w:tc>
          <w:tcPr>
            <w:tcW w:w="2911" w:type="dxa"/>
            <w:tcBorders>
              <w:top w:val="single" w:color="auto" w:sz="6" w:space="0"/>
              <w:left w:val="single" w:color="auto" w:sz="6" w:space="0"/>
              <w:bottom w:val="single" w:color="auto" w:sz="6" w:space="0"/>
              <w:right w:val="single" w:color="auto" w:sz="6" w:space="0"/>
            </w:tcBorders>
            <w:noWrap w:val="0"/>
            <w:vAlign w:val="center"/>
          </w:tcPr>
          <w:p w14:paraId="1B87AD7A">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20</w:t>
            </w:r>
            <w:r>
              <w:rPr>
                <w:rFonts w:hint="eastAsia" w:ascii="宋体" w:hAnsi="宋体" w:eastAsia="宋体" w:cs="宋体"/>
                <w:b w:val="0"/>
                <w:bCs/>
                <w:color w:val="auto"/>
                <w:sz w:val="21"/>
                <w:szCs w:val="21"/>
              </w:rPr>
              <w:t>分</w:t>
            </w:r>
          </w:p>
        </w:tc>
      </w:tr>
      <w:bookmarkEnd w:id="96"/>
    </w:tbl>
    <w:p w14:paraId="69922D0A">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bookmarkStart w:id="97" w:name="_Toc246826118"/>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响应报价</w:t>
      </w:r>
      <w:r>
        <w:rPr>
          <w:rFonts w:hint="eastAsia" w:asciiTheme="minorEastAsia" w:hAnsiTheme="minorEastAsia" w:eastAsiaTheme="minorEastAsia" w:cstheme="minorEastAsia"/>
          <w:b/>
          <w:color w:val="auto"/>
          <w:sz w:val="21"/>
          <w:szCs w:val="21"/>
        </w:rPr>
        <w:t>的评审要求</w:t>
      </w:r>
    </w:p>
    <w:p w14:paraId="6C93436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价格核准：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委员会对符合性审查合格的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明细进行复核，看其是否有计算错误，如有则按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须知有关规定修正或澄清。</w:t>
      </w:r>
    </w:p>
    <w:p w14:paraId="6D75F55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价格评审：</w:t>
      </w:r>
    </w:p>
    <w:p w14:paraId="23DC3BB1">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综合评分法，价格分统一采用低价优先法计算，即满足采购文件要求（通过资格审查和符合性审查）且</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价(指修正及价格扣除后的价格，下同)最低的为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14:paraId="6F32B8B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价格评分=（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价）×价格分值</w:t>
      </w:r>
    </w:p>
    <w:p w14:paraId="4B4E630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对小型、微型企业或者视同小型、微企业参与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的参照第三章5.1款的规定以扣除后的价格参与评审。</w:t>
      </w:r>
    </w:p>
    <w:p w14:paraId="3287176B">
      <w:pPr>
        <w:pageBreakBefore w:val="0"/>
        <w:wordWrap/>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四）</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细则</w:t>
      </w:r>
    </w:p>
    <w:tbl>
      <w:tblPr>
        <w:tblStyle w:val="18"/>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00"/>
        <w:gridCol w:w="5749"/>
      </w:tblGrid>
      <w:tr w14:paraId="457D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3" w:type="dxa"/>
            <w:tcBorders>
              <w:top w:val="single" w:color="auto" w:sz="4" w:space="0"/>
              <w:left w:val="single" w:color="auto" w:sz="4" w:space="0"/>
              <w:bottom w:val="single" w:color="auto" w:sz="4" w:space="0"/>
              <w:right w:val="single" w:color="auto" w:sz="4" w:space="0"/>
            </w:tcBorders>
            <w:noWrap/>
            <w:vAlign w:val="center"/>
          </w:tcPr>
          <w:p w14:paraId="6F93E7C6">
            <w:pPr>
              <w:spacing w:line="240" w:lineRule="auto"/>
              <w:jc w:val="center"/>
              <w:rPr>
                <w:rFonts w:ascii="宋体" w:hAnsi="宋体" w:cs="宋体"/>
                <w:b/>
                <w:color w:val="auto"/>
                <w:sz w:val="20"/>
                <w:szCs w:val="20"/>
              </w:rPr>
            </w:pPr>
            <w:r>
              <w:rPr>
                <w:rFonts w:hint="eastAsia" w:ascii="宋体" w:hAnsi="宋体" w:cs="宋体"/>
                <w:b/>
                <w:color w:val="auto"/>
                <w:sz w:val="20"/>
                <w:szCs w:val="20"/>
              </w:rPr>
              <w:t>条款号</w:t>
            </w:r>
          </w:p>
        </w:tc>
        <w:tc>
          <w:tcPr>
            <w:tcW w:w="2300" w:type="dxa"/>
            <w:tcBorders>
              <w:top w:val="single" w:color="auto" w:sz="4" w:space="0"/>
              <w:left w:val="single" w:color="auto" w:sz="4" w:space="0"/>
              <w:bottom w:val="single" w:color="auto" w:sz="4" w:space="0"/>
              <w:right w:val="single" w:color="auto" w:sz="4" w:space="0"/>
            </w:tcBorders>
            <w:noWrap/>
            <w:vAlign w:val="center"/>
          </w:tcPr>
          <w:p w14:paraId="76F09D43">
            <w:pPr>
              <w:spacing w:line="240" w:lineRule="auto"/>
              <w:jc w:val="center"/>
              <w:rPr>
                <w:rFonts w:ascii="宋体" w:hAnsi="宋体" w:cs="宋体"/>
                <w:b/>
                <w:color w:val="auto"/>
                <w:sz w:val="20"/>
                <w:szCs w:val="20"/>
              </w:rPr>
            </w:pPr>
            <w:r>
              <w:rPr>
                <w:rFonts w:hint="eastAsia" w:ascii="宋体" w:hAnsi="宋体" w:cs="宋体"/>
                <w:b/>
                <w:color w:val="auto"/>
                <w:sz w:val="20"/>
                <w:szCs w:val="20"/>
              </w:rPr>
              <w:t>评审因素</w:t>
            </w:r>
          </w:p>
        </w:tc>
        <w:tc>
          <w:tcPr>
            <w:tcW w:w="5749" w:type="dxa"/>
            <w:tcBorders>
              <w:top w:val="single" w:color="auto" w:sz="4" w:space="0"/>
              <w:left w:val="single" w:color="auto" w:sz="4" w:space="0"/>
              <w:bottom w:val="single" w:color="auto" w:sz="4" w:space="0"/>
              <w:right w:val="single" w:color="auto" w:sz="4" w:space="0"/>
            </w:tcBorders>
            <w:noWrap/>
            <w:vAlign w:val="center"/>
          </w:tcPr>
          <w:p w14:paraId="52ED5FE8">
            <w:pPr>
              <w:spacing w:line="240" w:lineRule="auto"/>
              <w:jc w:val="center"/>
              <w:rPr>
                <w:rFonts w:ascii="宋体" w:hAnsi="宋体" w:cs="宋体"/>
                <w:b/>
                <w:color w:val="auto"/>
                <w:sz w:val="20"/>
                <w:szCs w:val="20"/>
              </w:rPr>
            </w:pPr>
            <w:r>
              <w:rPr>
                <w:rFonts w:hint="eastAsia" w:ascii="宋体" w:hAnsi="宋体" w:cs="宋体"/>
                <w:b/>
                <w:color w:val="auto"/>
                <w:sz w:val="20"/>
                <w:szCs w:val="20"/>
              </w:rPr>
              <w:t>评审标准</w:t>
            </w:r>
          </w:p>
        </w:tc>
      </w:tr>
      <w:tr w14:paraId="193D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14:paraId="257CA418">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分值构成</w:t>
            </w:r>
          </w:p>
          <w:p w14:paraId="1BAF1782">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0"/>
                <w:szCs w:val="20"/>
              </w:rPr>
              <w:t>(总分100分)</w:t>
            </w:r>
          </w:p>
        </w:tc>
        <w:tc>
          <w:tcPr>
            <w:tcW w:w="5749" w:type="dxa"/>
            <w:tcBorders>
              <w:top w:val="single" w:color="auto" w:sz="4" w:space="0"/>
              <w:left w:val="single" w:color="auto" w:sz="4" w:space="0"/>
              <w:bottom w:val="single" w:color="auto" w:sz="4" w:space="0"/>
              <w:right w:val="single" w:color="auto" w:sz="4" w:space="0"/>
            </w:tcBorders>
            <w:noWrap/>
            <w:vAlign w:val="center"/>
          </w:tcPr>
          <w:p w14:paraId="0103D4CB">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价格评审</w:t>
            </w:r>
            <w:r>
              <w:rPr>
                <w:rFonts w:hint="eastAsia" w:asciiTheme="minorEastAsia" w:hAnsiTheme="minorEastAsia" w:eastAsiaTheme="minorEastAsia" w:cstheme="minorEastAsia"/>
                <w:color w:val="auto"/>
                <w:sz w:val="18"/>
                <w:szCs w:val="18"/>
                <w:lang w:val="en-US" w:eastAsia="zh-CN"/>
              </w:rPr>
              <w:t>20</w:t>
            </w:r>
            <w:r>
              <w:rPr>
                <w:rFonts w:hint="eastAsia" w:asciiTheme="minorEastAsia" w:hAnsiTheme="minorEastAsia" w:eastAsiaTheme="minorEastAsia" w:cstheme="minorEastAsia"/>
                <w:color w:val="auto"/>
                <w:sz w:val="18"/>
                <w:szCs w:val="18"/>
              </w:rPr>
              <w:t>分</w:t>
            </w:r>
          </w:p>
          <w:p w14:paraId="27E5A0C6">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技术部分</w:t>
            </w:r>
            <w:r>
              <w:rPr>
                <w:rFonts w:hint="eastAsia" w:asciiTheme="minorEastAsia" w:hAnsiTheme="minorEastAsia" w:eastAsiaTheme="minorEastAsia" w:cstheme="minorEastAsia"/>
                <w:color w:val="auto"/>
                <w:sz w:val="18"/>
                <w:szCs w:val="18"/>
                <w:u w:val="single"/>
                <w:lang w:val="en-US" w:eastAsia="zh-CN"/>
              </w:rPr>
              <w:t>60</w:t>
            </w:r>
            <w:r>
              <w:rPr>
                <w:rFonts w:hint="eastAsia" w:asciiTheme="minorEastAsia" w:hAnsiTheme="minorEastAsia" w:eastAsiaTheme="minorEastAsia" w:cstheme="minorEastAsia"/>
                <w:color w:val="auto"/>
                <w:sz w:val="18"/>
                <w:szCs w:val="18"/>
              </w:rPr>
              <w:t>分</w:t>
            </w:r>
          </w:p>
          <w:p w14:paraId="68CDEBA7">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18"/>
                <w:szCs w:val="18"/>
              </w:rPr>
              <w:t>商务部分</w:t>
            </w:r>
            <w:r>
              <w:rPr>
                <w:rFonts w:hint="eastAsia" w:asciiTheme="minorEastAsia" w:hAnsiTheme="minorEastAsia" w:eastAsiaTheme="minorEastAsia" w:cstheme="minorEastAsia"/>
                <w:color w:val="auto"/>
                <w:sz w:val="18"/>
                <w:szCs w:val="18"/>
                <w:lang w:val="en-US" w:eastAsia="zh-CN"/>
              </w:rPr>
              <w:t>20</w:t>
            </w:r>
            <w:r>
              <w:rPr>
                <w:rFonts w:hint="eastAsia" w:asciiTheme="minorEastAsia" w:hAnsiTheme="minorEastAsia" w:eastAsiaTheme="minorEastAsia" w:cstheme="minorEastAsia"/>
                <w:color w:val="auto"/>
                <w:sz w:val="18"/>
                <w:szCs w:val="18"/>
              </w:rPr>
              <w:t>分</w:t>
            </w:r>
          </w:p>
        </w:tc>
      </w:tr>
      <w:tr w14:paraId="34F2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14:paraId="3159F8DF">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价格评审</w:t>
            </w:r>
          </w:p>
          <w:p w14:paraId="17257916">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20</w:t>
            </w:r>
            <w:r>
              <w:rPr>
                <w:rFonts w:hint="eastAsia" w:asciiTheme="minorEastAsia" w:hAnsiTheme="minorEastAsia" w:eastAsiaTheme="minorEastAsia" w:cstheme="minorEastAsia"/>
                <w:color w:val="auto"/>
                <w:sz w:val="20"/>
                <w:szCs w:val="20"/>
              </w:rPr>
              <w:t>分）</w:t>
            </w:r>
          </w:p>
        </w:tc>
        <w:tc>
          <w:tcPr>
            <w:tcW w:w="5749" w:type="dxa"/>
            <w:tcBorders>
              <w:top w:val="single" w:color="auto" w:sz="4" w:space="0"/>
              <w:left w:val="single" w:color="auto" w:sz="4" w:space="0"/>
              <w:bottom w:val="single" w:color="auto" w:sz="4" w:space="0"/>
              <w:right w:val="single" w:color="auto" w:sz="4" w:space="0"/>
            </w:tcBorders>
            <w:noWrap/>
            <w:vAlign w:val="center"/>
          </w:tcPr>
          <w:p w14:paraId="53E7246D">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得分以满分</w:t>
            </w:r>
            <w:r>
              <w:rPr>
                <w:rFonts w:hint="eastAsia" w:asciiTheme="minorEastAsia" w:hAnsiTheme="minorEastAsia" w:eastAsiaTheme="minorEastAsia" w:cstheme="minorEastAsia"/>
                <w:color w:val="auto"/>
                <w:sz w:val="18"/>
                <w:szCs w:val="18"/>
                <w:lang w:val="en-US" w:eastAsia="zh-CN"/>
              </w:rPr>
              <w:t>20</w:t>
            </w:r>
            <w:r>
              <w:rPr>
                <w:rFonts w:hint="eastAsia" w:asciiTheme="minorEastAsia" w:hAnsiTheme="minorEastAsia" w:eastAsiaTheme="minorEastAsia" w:cstheme="minorEastAsia"/>
                <w:color w:val="auto"/>
                <w:sz w:val="18"/>
                <w:szCs w:val="18"/>
                <w:u w:val="single"/>
              </w:rPr>
              <w:t>分</w:t>
            </w:r>
            <w:r>
              <w:rPr>
                <w:rFonts w:hint="eastAsia" w:asciiTheme="minorEastAsia" w:hAnsiTheme="minorEastAsia" w:eastAsiaTheme="minorEastAsia" w:cstheme="minorEastAsia"/>
                <w:color w:val="auto"/>
                <w:sz w:val="18"/>
                <w:szCs w:val="18"/>
              </w:rPr>
              <w:t>计算。满足</w:t>
            </w:r>
            <w:r>
              <w:rPr>
                <w:rFonts w:hint="eastAsia" w:asciiTheme="minorEastAsia" w:hAnsiTheme="minorEastAsia" w:eastAsiaTheme="minorEastAsia" w:cstheme="minorEastAsia"/>
                <w:color w:val="auto"/>
                <w:sz w:val="18"/>
                <w:szCs w:val="18"/>
                <w:lang w:val="en-US" w:eastAsia="zh-CN"/>
              </w:rPr>
              <w:t>采购比选</w:t>
            </w:r>
            <w:r>
              <w:rPr>
                <w:rFonts w:hint="eastAsia" w:asciiTheme="minorEastAsia" w:hAnsiTheme="minorEastAsia" w:eastAsiaTheme="minorEastAsia" w:cstheme="minorEastAsia"/>
                <w:color w:val="auto"/>
                <w:sz w:val="18"/>
                <w:szCs w:val="18"/>
              </w:rPr>
              <w:t>文件要求且</w:t>
            </w: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最低的</w:t>
            </w: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为</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基准价，其价格分为满分。其他</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的价格分统一按照下列公式计算：</w:t>
            </w:r>
          </w:p>
          <w:p w14:paraId="78C9E5D7">
            <w:pPr>
              <w:spacing w:line="240" w:lineRule="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得分=（</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基准价/</w:t>
            </w: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20</w:t>
            </w:r>
          </w:p>
          <w:p w14:paraId="31B9DF2E">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18"/>
                <w:szCs w:val="18"/>
              </w:rPr>
              <w:t>财政部印发财政部令87号《政府采购货物和服务招标</w:t>
            </w:r>
            <w:r>
              <w:rPr>
                <w:rFonts w:hint="eastAsia" w:asciiTheme="minorEastAsia" w:hAnsiTheme="minorEastAsia" w:eastAsiaTheme="minorEastAsia" w:cstheme="minorEastAsia"/>
                <w:color w:val="auto"/>
                <w:sz w:val="18"/>
                <w:szCs w:val="18"/>
                <w:lang w:eastAsia="zh-CN"/>
              </w:rPr>
              <w:t>响应</w:t>
            </w:r>
            <w:r>
              <w:rPr>
                <w:rFonts w:hint="eastAsia" w:asciiTheme="minorEastAsia" w:hAnsiTheme="minorEastAsia" w:eastAsiaTheme="minorEastAsia" w:cstheme="minorEastAsia"/>
                <w:color w:val="auto"/>
                <w:sz w:val="18"/>
                <w:szCs w:val="18"/>
              </w:rPr>
              <w:t>管理办法》</w:t>
            </w:r>
            <w:r>
              <w:rPr>
                <w:rFonts w:hint="eastAsia" w:asciiTheme="minorEastAsia" w:hAnsiTheme="minorEastAsia" w:eastAsiaTheme="minorEastAsia" w:cstheme="minorEastAsia"/>
                <w:color w:val="auto"/>
                <w:sz w:val="18"/>
                <w:szCs w:val="18"/>
                <w:lang w:val="en-US" w:eastAsia="zh-CN"/>
              </w:rPr>
              <w:t>第六十条</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委员会认为</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的报价明显低于其他通过符合性审查</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的报价，有可能影响服务质量或者不能诚信履约的，应当要求其在</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现场合理的时间内提供书面说明，必要时提交相关证明材料；</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不能证明其报价合理性的，</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委员会应当将其作为无效</w:t>
            </w:r>
            <w:r>
              <w:rPr>
                <w:rFonts w:hint="eastAsia" w:asciiTheme="minorEastAsia" w:hAnsiTheme="minorEastAsia" w:eastAsiaTheme="minorEastAsia" w:cstheme="minorEastAsia"/>
                <w:color w:val="auto"/>
                <w:sz w:val="18"/>
                <w:szCs w:val="18"/>
                <w:lang w:val="en-US" w:eastAsia="zh-CN"/>
              </w:rPr>
              <w:t>响应</w:t>
            </w:r>
            <w:r>
              <w:rPr>
                <w:rFonts w:hint="eastAsia" w:asciiTheme="minorEastAsia" w:hAnsiTheme="minorEastAsia" w:eastAsiaTheme="minorEastAsia" w:cstheme="minorEastAsia"/>
                <w:color w:val="auto"/>
                <w:sz w:val="18"/>
                <w:szCs w:val="18"/>
              </w:rPr>
              <w:t>处理。</w:t>
            </w:r>
          </w:p>
        </w:tc>
      </w:tr>
      <w:tr w14:paraId="59A4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restart"/>
            <w:tcBorders>
              <w:top w:val="single" w:color="auto" w:sz="4" w:space="0"/>
              <w:left w:val="single" w:color="auto" w:sz="4" w:space="0"/>
              <w:right w:val="single" w:color="auto" w:sz="4" w:space="0"/>
            </w:tcBorders>
            <w:noWrap/>
            <w:vAlign w:val="center"/>
          </w:tcPr>
          <w:p w14:paraId="19E33CD7">
            <w:pPr>
              <w:spacing w:line="240" w:lineRule="auto"/>
              <w:jc w:val="center"/>
              <w:rPr>
                <w:rFonts w:ascii="宋体" w:hAnsi="宋体" w:cs="宋体"/>
                <w:color w:val="auto"/>
                <w:sz w:val="20"/>
                <w:szCs w:val="20"/>
              </w:rPr>
            </w:pPr>
            <w:r>
              <w:rPr>
                <w:rFonts w:hint="eastAsia" w:ascii="宋体" w:hAnsi="宋体" w:cs="宋体"/>
                <w:color w:val="auto"/>
                <w:sz w:val="20"/>
                <w:szCs w:val="20"/>
              </w:rPr>
              <w:t>技术部分</w:t>
            </w:r>
          </w:p>
          <w:p w14:paraId="4348A3B1">
            <w:pPr>
              <w:spacing w:line="240" w:lineRule="auto"/>
              <w:jc w:val="center"/>
              <w:rPr>
                <w:rFonts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60</w:t>
            </w:r>
            <w:r>
              <w:rPr>
                <w:rFonts w:hint="eastAsia" w:ascii="宋体" w:hAnsi="宋体" w:cs="宋体"/>
                <w:color w:val="auto"/>
                <w:sz w:val="20"/>
                <w:szCs w:val="20"/>
              </w:rPr>
              <w:t>分）</w:t>
            </w:r>
          </w:p>
          <w:p w14:paraId="17F87ABB">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19A10871">
            <w:pPr>
              <w:jc w:val="center"/>
              <w:rPr>
                <w:rFonts w:hint="eastAsia" w:ascii="Times New Roman" w:hAnsi="Times New Roman" w:eastAsia="宋体" w:cs="Times New Roman"/>
                <w:color w:val="auto"/>
                <w:kern w:val="2"/>
                <w:sz w:val="20"/>
                <w:szCs w:val="20"/>
                <w:lang w:val="en-US" w:eastAsia="zh-CN" w:bidi="ar-SA"/>
              </w:rPr>
            </w:pPr>
            <w:r>
              <w:rPr>
                <w:rFonts w:asciiTheme="minorEastAsia" w:hAnsiTheme="minorEastAsia" w:eastAsiaTheme="minorEastAsia" w:cstheme="minorEastAsia"/>
                <w:color w:val="auto"/>
                <w:sz w:val="18"/>
                <w:szCs w:val="18"/>
              </w:rPr>
              <w:t>对项目背景及需求的解读与理解程度、针对性及准确性</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25</w:t>
            </w:r>
            <w:r>
              <w:rPr>
                <w:rFonts w:hint="eastAsia" w:asciiTheme="minorEastAsia" w:hAnsiTheme="minorEastAsia" w:eastAsiaTheme="minorEastAsia" w:cstheme="minorEastAsia"/>
                <w:color w:val="auto"/>
                <w:sz w:val="18"/>
                <w:szCs w:val="18"/>
              </w:rPr>
              <w:t>分）</w:t>
            </w:r>
          </w:p>
        </w:tc>
        <w:tc>
          <w:tcPr>
            <w:tcW w:w="5749" w:type="dxa"/>
            <w:tcBorders>
              <w:top w:val="single" w:color="auto" w:sz="4" w:space="0"/>
              <w:left w:val="single" w:color="auto" w:sz="4" w:space="0"/>
              <w:bottom w:val="single" w:color="auto" w:sz="4" w:space="0"/>
              <w:right w:val="single" w:color="auto" w:sz="4" w:space="0"/>
            </w:tcBorders>
            <w:noWrap/>
            <w:vAlign w:val="center"/>
          </w:tcPr>
          <w:p w14:paraId="5B3E66D8">
            <w:pP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对高水平经贸规则、国家部委服务贸易、制度型开放政策、对先进自贸区（港）、双边经贸合作区、海南自贸港背景、发展、政策体系和政策发展沿革、海口江东新区有深度了解的，得25分。</w:t>
            </w:r>
          </w:p>
          <w:p w14:paraId="7931B6A8">
            <w:pP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对高水平经贸规则、对国家部委服务贸易、制度型开放政策、对先进自贸区（港）、双边经贸合作区、海南自贸港背景、发展、政策体系和政策发展沿革、海口江东新区有基本了解的，得15分。</w:t>
            </w:r>
          </w:p>
          <w:p w14:paraId="6FBE8FC8">
            <w:pPr>
              <w:rPr>
                <w:rFonts w:hint="default" w:asciiTheme="minorEastAsia" w:hAnsiTheme="minorEastAsia" w:eastAsiaTheme="minorEastAsia" w:cstheme="minorEastAsia"/>
                <w:b/>
                <w:bCs/>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3.对高水平经贸规则、对国家部委服务贸易、制度型开放政策、对先进自贸区（港）、双边经贸合作区、</w:t>
            </w:r>
            <w:r>
              <w:rPr>
                <w:rFonts w:hint="eastAsia" w:asciiTheme="minorEastAsia" w:hAnsiTheme="minorEastAsia" w:eastAsiaTheme="minorEastAsia" w:cstheme="minorEastAsia"/>
                <w:color w:val="auto"/>
                <w:sz w:val="18"/>
                <w:szCs w:val="18"/>
              </w:rPr>
              <w:t>海南自贸港背景、发展、政策体系和政策发展沿革</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海口江东新区</w:t>
            </w:r>
            <w:r>
              <w:rPr>
                <w:rFonts w:hint="eastAsia" w:asciiTheme="minorEastAsia" w:hAnsiTheme="minorEastAsia" w:eastAsiaTheme="minorEastAsia" w:cstheme="minorEastAsia"/>
                <w:color w:val="auto"/>
                <w:sz w:val="18"/>
                <w:szCs w:val="18"/>
              </w:rPr>
              <w:t>有了解</w:t>
            </w:r>
            <w:r>
              <w:rPr>
                <w:rFonts w:hint="eastAsia" w:asciiTheme="minorEastAsia" w:hAnsiTheme="minorEastAsia" w:eastAsiaTheme="minorEastAsia" w:cstheme="minorEastAsia"/>
                <w:color w:val="auto"/>
                <w:sz w:val="18"/>
                <w:szCs w:val="18"/>
                <w:lang w:val="en-US" w:eastAsia="zh-CN"/>
              </w:rPr>
              <w:t>但不全面</w:t>
            </w:r>
            <w:r>
              <w:rPr>
                <w:rFonts w:hint="eastAsia" w:asciiTheme="minorEastAsia" w:hAnsiTheme="minorEastAsia" w:eastAsiaTheme="minorEastAsia" w:cstheme="minorEastAsia"/>
                <w:color w:val="auto"/>
                <w:sz w:val="18"/>
                <w:szCs w:val="18"/>
              </w:rPr>
              <w:t>的，得</w:t>
            </w:r>
            <w:r>
              <w:rPr>
                <w:rFonts w:hint="eastAsia" w:asciiTheme="minorEastAsia" w:hAnsiTheme="minorEastAsia" w:eastAsiaTheme="minorEastAsia" w:cstheme="minorEastAsia"/>
                <w:color w:val="auto"/>
                <w:sz w:val="18"/>
                <w:szCs w:val="18"/>
                <w:lang w:val="en-US" w:eastAsia="zh-CN"/>
              </w:rPr>
              <w:t>10</w:t>
            </w:r>
            <w:r>
              <w:rPr>
                <w:rFonts w:hint="eastAsia" w:asciiTheme="minorEastAsia" w:hAnsiTheme="minorEastAsia" w:eastAsiaTheme="minorEastAsia" w:cstheme="minorEastAsia"/>
                <w:color w:val="auto"/>
                <w:sz w:val="18"/>
                <w:szCs w:val="18"/>
              </w:rPr>
              <w:t>分</w:t>
            </w:r>
            <w:r>
              <w:rPr>
                <w:rFonts w:hint="eastAsia" w:asciiTheme="minorEastAsia" w:hAnsiTheme="minorEastAsia" w:eastAsiaTheme="minorEastAsia" w:cstheme="minorEastAsia"/>
                <w:color w:val="auto"/>
                <w:sz w:val="18"/>
                <w:szCs w:val="18"/>
                <w:lang w:val="en-US" w:eastAsia="zh-CN"/>
              </w:rPr>
              <w:t>。</w:t>
            </w:r>
          </w:p>
          <w:p w14:paraId="2DDDA152">
            <w:pP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18"/>
                <w:szCs w:val="18"/>
                <w:lang w:val="en-US" w:eastAsia="zh-CN"/>
              </w:rPr>
              <w:t>4.对高水平经贸规则、对国家部委服务贸易、制度型开放政策、对先进自贸区（港）、双边经贸合作区、</w:t>
            </w:r>
            <w:r>
              <w:rPr>
                <w:rFonts w:hint="eastAsia" w:asciiTheme="minorEastAsia" w:hAnsiTheme="minorEastAsia" w:eastAsiaTheme="minorEastAsia" w:cstheme="minorEastAsia"/>
                <w:color w:val="auto"/>
                <w:sz w:val="18"/>
                <w:szCs w:val="18"/>
              </w:rPr>
              <w:t>海南自贸港背景、发展、政策体系和政策发展沿革</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海口江东新区完全不了解</w:t>
            </w:r>
            <w:r>
              <w:rPr>
                <w:rFonts w:hint="eastAsia" w:asciiTheme="minorEastAsia" w:hAnsiTheme="minorEastAsia" w:eastAsiaTheme="minorEastAsia" w:cstheme="minorEastAsia"/>
                <w:color w:val="auto"/>
                <w:sz w:val="18"/>
                <w:szCs w:val="18"/>
              </w:rPr>
              <w:t>的，</w:t>
            </w:r>
            <w:r>
              <w:rPr>
                <w:rFonts w:hint="eastAsia" w:asciiTheme="minorEastAsia" w:hAnsiTheme="minorEastAsia" w:eastAsiaTheme="minorEastAsia" w:cstheme="minorEastAsia"/>
                <w:color w:val="auto"/>
                <w:sz w:val="18"/>
                <w:szCs w:val="18"/>
                <w:lang w:val="en-US" w:eastAsia="zh-CN"/>
              </w:rPr>
              <w:t>不得分。</w:t>
            </w:r>
          </w:p>
        </w:tc>
      </w:tr>
      <w:tr w14:paraId="4971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14:paraId="162A37F0">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5EB31022">
            <w:pPr>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技术方案工作思路、方法、技术路线</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15</w:t>
            </w:r>
            <w:r>
              <w:rPr>
                <w:rFonts w:hint="eastAsia" w:asciiTheme="minorEastAsia" w:hAnsiTheme="minorEastAsia" w:eastAsiaTheme="minorEastAsia" w:cstheme="minorEastAsia"/>
                <w:color w:val="auto"/>
                <w:sz w:val="18"/>
                <w:szCs w:val="18"/>
              </w:rPr>
              <w:t>分）</w:t>
            </w:r>
          </w:p>
        </w:tc>
        <w:tc>
          <w:tcPr>
            <w:tcW w:w="5749" w:type="dxa"/>
            <w:tcBorders>
              <w:top w:val="single" w:color="auto" w:sz="4" w:space="0"/>
              <w:left w:val="single" w:color="auto" w:sz="4" w:space="0"/>
              <w:bottom w:val="single" w:color="auto" w:sz="4" w:space="0"/>
              <w:right w:val="single" w:color="auto" w:sz="4" w:space="0"/>
            </w:tcBorders>
            <w:noWrap/>
            <w:vAlign w:val="center"/>
          </w:tcPr>
          <w:p w14:paraId="16D20DB0">
            <w:pP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整体工作思路清晰，工作方法可行性、</w:t>
            </w:r>
            <w:r>
              <w:rPr>
                <w:rFonts w:hint="eastAsia" w:asciiTheme="minorEastAsia" w:hAnsiTheme="minorEastAsia" w:eastAsiaTheme="minorEastAsia" w:cstheme="minorEastAsia"/>
                <w:color w:val="auto"/>
                <w:kern w:val="0"/>
                <w:sz w:val="18"/>
                <w:szCs w:val="18"/>
                <w:lang w:val="en-US" w:eastAsia="zh-CN"/>
              </w:rPr>
              <w:t>项目实施逻辑</w:t>
            </w:r>
            <w:r>
              <w:rPr>
                <w:rFonts w:hint="eastAsia" w:asciiTheme="minorEastAsia" w:hAnsiTheme="minorEastAsia" w:eastAsiaTheme="minorEastAsia" w:cstheme="minorEastAsia"/>
                <w:color w:val="auto"/>
                <w:kern w:val="0"/>
                <w:sz w:val="18"/>
                <w:szCs w:val="18"/>
              </w:rPr>
              <w:t>合理性高，得</w:t>
            </w:r>
            <w:r>
              <w:rPr>
                <w:rFonts w:hint="eastAsia" w:asciiTheme="minorEastAsia" w:hAnsiTheme="minorEastAsia" w:eastAsiaTheme="minorEastAsia" w:cstheme="minorEastAsia"/>
                <w:color w:val="auto"/>
                <w:kern w:val="0"/>
                <w:sz w:val="18"/>
                <w:szCs w:val="18"/>
                <w:lang w:val="en-US" w:eastAsia="zh-CN"/>
              </w:rPr>
              <w:t>15</w:t>
            </w:r>
            <w:r>
              <w:rPr>
                <w:rFonts w:hint="eastAsia" w:asciiTheme="minorEastAsia" w:hAnsiTheme="minorEastAsia" w:eastAsiaTheme="minorEastAsia" w:cstheme="minorEastAsia"/>
                <w:color w:val="auto"/>
                <w:kern w:val="0"/>
                <w:sz w:val="18"/>
                <w:szCs w:val="18"/>
              </w:rPr>
              <w:t>分；</w:t>
            </w:r>
          </w:p>
          <w:p w14:paraId="1A3BE386">
            <w:pP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整体工作思路较清晰，工作方法可行性、</w:t>
            </w:r>
            <w:r>
              <w:rPr>
                <w:rFonts w:hint="eastAsia" w:asciiTheme="minorEastAsia" w:hAnsiTheme="minorEastAsia" w:eastAsiaTheme="minorEastAsia" w:cstheme="minorEastAsia"/>
                <w:color w:val="auto"/>
                <w:kern w:val="0"/>
                <w:sz w:val="18"/>
                <w:szCs w:val="18"/>
                <w:lang w:val="en-US" w:eastAsia="zh-CN"/>
              </w:rPr>
              <w:t>项目实施逻辑</w:t>
            </w:r>
            <w:r>
              <w:rPr>
                <w:rFonts w:hint="eastAsia" w:asciiTheme="minorEastAsia" w:hAnsiTheme="minorEastAsia" w:eastAsiaTheme="minorEastAsia" w:cstheme="minorEastAsia"/>
                <w:color w:val="auto"/>
                <w:kern w:val="0"/>
                <w:sz w:val="18"/>
                <w:szCs w:val="18"/>
              </w:rPr>
              <w:t>合理性一般，得</w:t>
            </w:r>
            <w:r>
              <w:rPr>
                <w:rFonts w:hint="eastAsia" w:asciiTheme="minorEastAsia" w:hAnsiTheme="minorEastAsia" w:eastAsiaTheme="minorEastAsia" w:cstheme="minorEastAsia"/>
                <w:color w:val="auto"/>
                <w:kern w:val="0"/>
                <w:sz w:val="18"/>
                <w:szCs w:val="18"/>
                <w:lang w:val="en-US" w:eastAsia="zh-CN"/>
              </w:rPr>
              <w:t>10</w:t>
            </w:r>
            <w:r>
              <w:rPr>
                <w:rFonts w:hint="eastAsia" w:asciiTheme="minorEastAsia" w:hAnsiTheme="minorEastAsia" w:eastAsiaTheme="minorEastAsia" w:cstheme="minorEastAsia"/>
                <w:color w:val="auto"/>
                <w:kern w:val="0"/>
                <w:sz w:val="18"/>
                <w:szCs w:val="18"/>
              </w:rPr>
              <w:t>分；</w:t>
            </w:r>
          </w:p>
          <w:p w14:paraId="09042AFB">
            <w:pP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整体工作思路不清晰，工作方法可行性、</w:t>
            </w:r>
            <w:r>
              <w:rPr>
                <w:rFonts w:hint="eastAsia" w:asciiTheme="minorEastAsia" w:hAnsiTheme="minorEastAsia" w:eastAsiaTheme="minorEastAsia" w:cstheme="minorEastAsia"/>
                <w:color w:val="auto"/>
                <w:kern w:val="0"/>
                <w:sz w:val="18"/>
                <w:szCs w:val="18"/>
                <w:lang w:val="en-US" w:eastAsia="zh-CN"/>
              </w:rPr>
              <w:t>项目实施逻辑</w:t>
            </w:r>
            <w:r>
              <w:rPr>
                <w:rFonts w:hint="eastAsia" w:asciiTheme="minorEastAsia" w:hAnsiTheme="minorEastAsia" w:eastAsiaTheme="minorEastAsia" w:cstheme="minorEastAsia"/>
                <w:color w:val="auto"/>
                <w:kern w:val="0"/>
                <w:sz w:val="18"/>
                <w:szCs w:val="18"/>
              </w:rPr>
              <w:t>合理性差，</w:t>
            </w:r>
            <w:r>
              <w:rPr>
                <w:rFonts w:hint="eastAsia" w:asciiTheme="minorEastAsia" w:hAnsiTheme="minorEastAsia" w:eastAsiaTheme="minorEastAsia" w:cstheme="minorEastAsia"/>
                <w:color w:val="auto"/>
                <w:kern w:val="0"/>
                <w:sz w:val="18"/>
                <w:szCs w:val="18"/>
                <w:lang w:val="en-US" w:eastAsia="zh-CN"/>
              </w:rPr>
              <w:t>不得分</w:t>
            </w:r>
          </w:p>
        </w:tc>
      </w:tr>
      <w:tr w14:paraId="6FD0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14:paraId="795E206F">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3FFCED08">
            <w:pPr>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工作进度计划</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10</w:t>
            </w:r>
            <w:r>
              <w:rPr>
                <w:rFonts w:hint="eastAsia" w:asciiTheme="minorEastAsia" w:hAnsiTheme="minorEastAsia" w:eastAsiaTheme="minorEastAsia" w:cstheme="minorEastAsia"/>
                <w:color w:val="auto"/>
                <w:sz w:val="18"/>
                <w:szCs w:val="18"/>
              </w:rPr>
              <w:t>分）</w:t>
            </w:r>
          </w:p>
        </w:tc>
        <w:tc>
          <w:tcPr>
            <w:tcW w:w="5749" w:type="dxa"/>
            <w:tcBorders>
              <w:top w:val="single" w:color="auto" w:sz="4" w:space="0"/>
              <w:left w:val="single" w:color="auto" w:sz="4" w:space="0"/>
              <w:bottom w:val="single" w:color="auto" w:sz="4" w:space="0"/>
              <w:right w:val="single" w:color="auto" w:sz="4" w:space="0"/>
            </w:tcBorders>
            <w:noWrap/>
            <w:vAlign w:val="center"/>
          </w:tcPr>
          <w:p w14:paraId="515EE89A">
            <w:pP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工作时间与进度计划合理，得</w:t>
            </w:r>
            <w:r>
              <w:rPr>
                <w:rFonts w:hint="eastAsia" w:asciiTheme="minorEastAsia" w:hAnsiTheme="minorEastAsia" w:eastAsiaTheme="minorEastAsia" w:cstheme="minorEastAsia"/>
                <w:color w:val="auto"/>
                <w:kern w:val="0"/>
                <w:sz w:val="18"/>
                <w:szCs w:val="18"/>
                <w:lang w:val="en-US" w:eastAsia="zh-CN"/>
              </w:rPr>
              <w:t>10</w:t>
            </w:r>
            <w:r>
              <w:rPr>
                <w:rFonts w:hint="eastAsia" w:asciiTheme="minorEastAsia" w:hAnsiTheme="minorEastAsia" w:eastAsiaTheme="minorEastAsia" w:cstheme="minorEastAsia"/>
                <w:color w:val="auto"/>
                <w:kern w:val="0"/>
                <w:sz w:val="18"/>
                <w:szCs w:val="18"/>
              </w:rPr>
              <w:t>分；</w:t>
            </w:r>
          </w:p>
          <w:p w14:paraId="381180A8">
            <w:pP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工作时间与进度计划比较合理，得6分；</w:t>
            </w:r>
          </w:p>
          <w:p w14:paraId="013EB8B1">
            <w:pP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工作时间与进度计划不合理，得</w:t>
            </w:r>
            <w:r>
              <w:rPr>
                <w:rFonts w:hint="eastAsia" w:asciiTheme="minorEastAsia" w:hAnsiTheme="minorEastAsia" w:eastAsiaTheme="minorEastAsia" w:cstheme="minorEastAsia"/>
                <w:color w:val="auto"/>
                <w:kern w:val="0"/>
                <w:sz w:val="18"/>
                <w:szCs w:val="18"/>
                <w:lang w:val="en-US" w:eastAsia="zh-CN"/>
              </w:rPr>
              <w:t>2</w:t>
            </w:r>
            <w:r>
              <w:rPr>
                <w:rFonts w:hint="eastAsia" w:asciiTheme="minorEastAsia" w:hAnsiTheme="minorEastAsia" w:eastAsiaTheme="minorEastAsia" w:cstheme="minorEastAsia"/>
                <w:color w:val="auto"/>
                <w:kern w:val="0"/>
                <w:sz w:val="18"/>
                <w:szCs w:val="18"/>
              </w:rPr>
              <w:t xml:space="preserve">分； </w:t>
            </w:r>
          </w:p>
          <w:p w14:paraId="7A5CBA82">
            <w:pPr>
              <w:pStyle w:val="30"/>
              <w:numPr>
                <w:ilvl w:val="0"/>
                <w:numId w:val="0"/>
              </w:numP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无内容此项不得分。</w:t>
            </w:r>
          </w:p>
        </w:tc>
      </w:tr>
      <w:tr w14:paraId="32B1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bottom w:val="single" w:color="auto" w:sz="4" w:space="0"/>
              <w:right w:val="single" w:color="auto" w:sz="4" w:space="0"/>
            </w:tcBorders>
            <w:noWrap/>
            <w:vAlign w:val="center"/>
          </w:tcPr>
          <w:p w14:paraId="4B2FDB30">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568179B7">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服务承诺（</w:t>
            </w:r>
            <w:r>
              <w:rPr>
                <w:rFonts w:hint="eastAsia" w:asciiTheme="minorEastAsia" w:hAnsiTheme="minorEastAsia" w:eastAsiaTheme="minorEastAsia" w:cstheme="minorEastAsia"/>
                <w:color w:val="auto"/>
                <w:kern w:val="0"/>
                <w:sz w:val="18"/>
                <w:szCs w:val="18"/>
                <w:lang w:val="en-US" w:eastAsia="zh-CN"/>
              </w:rPr>
              <w:t>10</w:t>
            </w:r>
            <w:r>
              <w:rPr>
                <w:rFonts w:hint="eastAsia" w:asciiTheme="minorEastAsia" w:hAnsiTheme="minorEastAsia" w:eastAsiaTheme="minorEastAsia" w:cstheme="minorEastAsia"/>
                <w:color w:val="auto"/>
                <w:kern w:val="0"/>
                <w:sz w:val="18"/>
                <w:szCs w:val="18"/>
              </w:rPr>
              <w:t>分）</w:t>
            </w:r>
          </w:p>
        </w:tc>
        <w:tc>
          <w:tcPr>
            <w:tcW w:w="5749" w:type="dxa"/>
            <w:tcBorders>
              <w:top w:val="single" w:color="auto" w:sz="4" w:space="0"/>
              <w:left w:val="single" w:color="auto" w:sz="4" w:space="0"/>
              <w:bottom w:val="single" w:color="auto" w:sz="4" w:space="0"/>
              <w:right w:val="single" w:color="auto" w:sz="4" w:space="0"/>
            </w:tcBorders>
            <w:noWrap/>
            <w:vAlign w:val="center"/>
          </w:tcPr>
          <w:p w14:paraId="4148B7A7">
            <w:pP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服务承诺具体详细、完善，得</w:t>
            </w:r>
            <w:r>
              <w:rPr>
                <w:rFonts w:hint="eastAsia" w:asciiTheme="minorEastAsia" w:hAnsiTheme="minorEastAsia" w:eastAsiaTheme="minorEastAsia" w:cstheme="minorEastAsia"/>
                <w:color w:val="auto"/>
                <w:kern w:val="0"/>
                <w:sz w:val="18"/>
                <w:szCs w:val="18"/>
                <w:lang w:val="en-US" w:eastAsia="zh-CN"/>
              </w:rPr>
              <w:t>10</w:t>
            </w:r>
            <w:r>
              <w:rPr>
                <w:rFonts w:hint="eastAsia" w:asciiTheme="minorEastAsia" w:hAnsiTheme="minorEastAsia" w:eastAsiaTheme="minorEastAsia" w:cstheme="minorEastAsia"/>
                <w:color w:val="auto"/>
                <w:kern w:val="0"/>
                <w:sz w:val="18"/>
                <w:szCs w:val="18"/>
              </w:rPr>
              <w:t>分；</w:t>
            </w:r>
          </w:p>
          <w:p w14:paraId="3219E257">
            <w:pP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服务承诺比较完善，得</w:t>
            </w:r>
            <w:r>
              <w:rPr>
                <w:rFonts w:hint="eastAsia" w:asciiTheme="minorEastAsia" w:hAnsiTheme="minorEastAsia" w:eastAsiaTheme="minorEastAsia" w:cstheme="minorEastAsia"/>
                <w:color w:val="auto"/>
                <w:kern w:val="0"/>
                <w:sz w:val="18"/>
                <w:szCs w:val="18"/>
                <w:lang w:val="en-US" w:eastAsia="zh-CN"/>
              </w:rPr>
              <w:t>7</w:t>
            </w:r>
            <w:r>
              <w:rPr>
                <w:rFonts w:hint="eastAsia" w:asciiTheme="minorEastAsia" w:hAnsiTheme="minorEastAsia" w:eastAsiaTheme="minorEastAsia" w:cstheme="minorEastAsia"/>
                <w:color w:val="auto"/>
                <w:kern w:val="0"/>
                <w:sz w:val="18"/>
                <w:szCs w:val="18"/>
              </w:rPr>
              <w:t>分；</w:t>
            </w:r>
          </w:p>
          <w:p w14:paraId="456C8388">
            <w:pP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服务承诺较差，得</w:t>
            </w:r>
            <w:r>
              <w:rPr>
                <w:rFonts w:hint="eastAsia" w:asciiTheme="minorEastAsia" w:hAnsiTheme="minorEastAsia" w:eastAsiaTheme="minorEastAsia" w:cstheme="minorEastAsia"/>
                <w:color w:val="auto"/>
                <w:kern w:val="0"/>
                <w:sz w:val="18"/>
                <w:szCs w:val="18"/>
                <w:lang w:val="en-US" w:eastAsia="zh-CN"/>
              </w:rPr>
              <w:t>5</w:t>
            </w:r>
            <w:r>
              <w:rPr>
                <w:rFonts w:hint="eastAsia" w:asciiTheme="minorEastAsia" w:hAnsiTheme="minorEastAsia" w:eastAsiaTheme="minorEastAsia" w:cstheme="minorEastAsia"/>
                <w:color w:val="auto"/>
                <w:kern w:val="0"/>
                <w:sz w:val="18"/>
                <w:szCs w:val="18"/>
              </w:rPr>
              <w:t>分。</w:t>
            </w:r>
          </w:p>
          <w:p w14:paraId="0F4FF3A4">
            <w:pPr>
              <w:pStyle w:val="30"/>
              <w:numPr>
                <w:ilvl w:val="0"/>
                <w:numId w:val="0"/>
              </w:numP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无内容此项不得分。</w:t>
            </w:r>
          </w:p>
        </w:tc>
      </w:tr>
      <w:tr w14:paraId="750C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tcBorders>
              <w:top w:val="single" w:color="auto" w:sz="4" w:space="0"/>
              <w:left w:val="single" w:color="auto" w:sz="4" w:space="0"/>
              <w:right w:val="single" w:color="auto" w:sz="4" w:space="0"/>
            </w:tcBorders>
            <w:noWrap/>
            <w:vAlign w:val="center"/>
          </w:tcPr>
          <w:p w14:paraId="7B70E2A6">
            <w:pPr>
              <w:spacing w:line="240" w:lineRule="auto"/>
              <w:jc w:val="center"/>
              <w:rPr>
                <w:rFonts w:ascii="宋体" w:hAnsi="宋体" w:cs="宋体"/>
                <w:color w:val="auto"/>
                <w:sz w:val="20"/>
                <w:szCs w:val="20"/>
              </w:rPr>
            </w:pPr>
            <w:r>
              <w:rPr>
                <w:rFonts w:hint="eastAsia" w:ascii="宋体" w:hAnsi="宋体" w:cs="宋体"/>
                <w:color w:val="auto"/>
                <w:sz w:val="20"/>
                <w:szCs w:val="20"/>
              </w:rPr>
              <w:t>商务部分</w:t>
            </w:r>
          </w:p>
          <w:p w14:paraId="729E9F7F">
            <w:pPr>
              <w:spacing w:line="240" w:lineRule="auto"/>
              <w:jc w:val="center"/>
              <w:rPr>
                <w:rFonts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20</w:t>
            </w:r>
            <w:r>
              <w:rPr>
                <w:rFonts w:hint="eastAsia" w:ascii="宋体" w:hAnsi="宋体" w:cs="宋体"/>
                <w:color w:val="auto"/>
                <w:sz w:val="20"/>
                <w:szCs w:val="20"/>
              </w:rPr>
              <w:t>分）</w:t>
            </w:r>
          </w:p>
        </w:tc>
        <w:tc>
          <w:tcPr>
            <w:tcW w:w="2300" w:type="dxa"/>
            <w:tcBorders>
              <w:top w:val="single" w:color="auto" w:sz="4" w:space="0"/>
              <w:left w:val="single" w:color="auto" w:sz="4" w:space="0"/>
              <w:bottom w:val="single" w:color="auto" w:sz="4" w:space="0"/>
              <w:right w:val="single" w:color="auto" w:sz="4" w:space="0"/>
            </w:tcBorders>
            <w:noWrap/>
            <w:vAlign w:val="center"/>
          </w:tcPr>
          <w:p w14:paraId="2FC1ABA3">
            <w:pPr>
              <w:pStyle w:val="10"/>
              <w:ind w:left="0" w:leftChars="0" w:firstLine="0" w:firstLineChars="0"/>
              <w:jc w:val="center"/>
              <w:rPr>
                <w:rFonts w:ascii="仿宋_GB2312" w:hAnsi="Times New Roman" w:eastAsia="仿宋_GB2312" w:cs="Times New Roman"/>
                <w:bCs/>
                <w:color w:val="auto"/>
                <w:kern w:val="2"/>
                <w:sz w:val="20"/>
                <w:szCs w:val="20"/>
                <w:lang w:val="en-US" w:eastAsia="zh-CN" w:bidi="ar-SA"/>
              </w:rPr>
            </w:pPr>
            <w:r>
              <w:rPr>
                <w:rFonts w:hint="eastAsia" w:asciiTheme="minorEastAsia" w:hAnsiTheme="minorEastAsia" w:eastAsiaTheme="minorEastAsia" w:cstheme="minorEastAsia"/>
                <w:color w:val="auto"/>
                <w:sz w:val="18"/>
                <w:szCs w:val="18"/>
              </w:rPr>
              <w:t>供应商实力（</w:t>
            </w:r>
            <w:r>
              <w:rPr>
                <w:rFonts w:hint="eastAsia" w:asciiTheme="minorEastAsia" w:hAnsiTheme="minorEastAsia" w:eastAsiaTheme="minorEastAsia" w:cstheme="minorEastAsia"/>
                <w:color w:val="auto"/>
                <w:sz w:val="18"/>
                <w:szCs w:val="18"/>
                <w:lang w:val="en-US" w:eastAsia="zh-CN"/>
              </w:rPr>
              <w:t>20</w:t>
            </w:r>
            <w:r>
              <w:rPr>
                <w:rFonts w:hint="eastAsia" w:asciiTheme="minorEastAsia" w:hAnsiTheme="minorEastAsia" w:eastAsiaTheme="minorEastAsia" w:cstheme="minorEastAsia"/>
                <w:color w:val="auto"/>
                <w:sz w:val="18"/>
                <w:szCs w:val="18"/>
              </w:rPr>
              <w:t>分）</w:t>
            </w:r>
          </w:p>
        </w:tc>
        <w:tc>
          <w:tcPr>
            <w:tcW w:w="5749" w:type="dxa"/>
            <w:tcBorders>
              <w:top w:val="single" w:color="auto" w:sz="4" w:space="0"/>
              <w:left w:val="single" w:color="auto" w:sz="4" w:space="0"/>
              <w:bottom w:val="single" w:color="auto" w:sz="4" w:space="0"/>
              <w:right w:val="single" w:color="auto" w:sz="4" w:space="0"/>
            </w:tcBorders>
            <w:noWrap/>
            <w:vAlign w:val="center"/>
          </w:tcPr>
          <w:p w14:paraId="5F98EE72">
            <w:pPr>
              <w:rPr>
                <w:color w:val="auto"/>
              </w:rPr>
            </w:pPr>
            <w:r>
              <w:rPr>
                <w:rFonts w:hint="eastAsia" w:asciiTheme="minorEastAsia" w:hAnsiTheme="minorEastAsia" w:eastAsiaTheme="minorEastAsia" w:cstheme="minorEastAsia"/>
                <w:color w:val="auto"/>
                <w:kern w:val="0"/>
                <w:sz w:val="18"/>
                <w:szCs w:val="18"/>
                <w:lang w:val="en-US" w:eastAsia="zh-CN"/>
              </w:rPr>
              <w:t>项目负责人以往参与过1个以上国家级经贸规则研究项目的</w:t>
            </w:r>
            <w:r>
              <w:rPr>
                <w:rFonts w:hint="eastAsia" w:asciiTheme="minorEastAsia" w:hAnsiTheme="minorEastAsia" w:eastAsiaTheme="minorEastAsia" w:cstheme="minorEastAsia"/>
                <w:color w:val="auto"/>
                <w:kern w:val="0"/>
                <w:sz w:val="18"/>
                <w:szCs w:val="18"/>
              </w:rPr>
              <w:t>得</w:t>
            </w:r>
            <w:r>
              <w:rPr>
                <w:rFonts w:hint="eastAsia" w:asciiTheme="minorEastAsia" w:hAnsiTheme="minorEastAsia" w:eastAsiaTheme="minorEastAsia" w:cstheme="minorEastAsia"/>
                <w:color w:val="auto"/>
                <w:kern w:val="0"/>
                <w:sz w:val="18"/>
                <w:szCs w:val="18"/>
                <w:lang w:val="en-US" w:eastAsia="zh-CN"/>
              </w:rPr>
              <w:t>5</w:t>
            </w:r>
            <w:r>
              <w:rPr>
                <w:rFonts w:hint="eastAsia" w:asciiTheme="minorEastAsia" w:hAnsiTheme="minorEastAsia" w:eastAsiaTheme="minorEastAsia" w:cstheme="minorEastAsia"/>
                <w:color w:val="auto"/>
                <w:kern w:val="0"/>
                <w:sz w:val="18"/>
                <w:szCs w:val="18"/>
              </w:rPr>
              <w:t>分，</w:t>
            </w:r>
            <w:r>
              <w:rPr>
                <w:rFonts w:hint="eastAsia" w:asciiTheme="minorEastAsia" w:hAnsiTheme="minorEastAsia" w:eastAsiaTheme="minorEastAsia" w:cstheme="minorEastAsia"/>
                <w:color w:val="auto"/>
                <w:kern w:val="0"/>
                <w:sz w:val="18"/>
                <w:szCs w:val="18"/>
                <w:lang w:val="en-US" w:eastAsia="zh-CN"/>
              </w:rPr>
              <w:t>最高分20分。</w:t>
            </w:r>
          </w:p>
          <w:p w14:paraId="35C1EE60">
            <w:pP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证明材料：</w:t>
            </w:r>
            <w:r>
              <w:rPr>
                <w:rFonts w:hint="eastAsia" w:asciiTheme="minorEastAsia" w:hAnsiTheme="minorEastAsia" w:eastAsiaTheme="minorEastAsia" w:cstheme="minorEastAsia"/>
                <w:color w:val="auto"/>
                <w:kern w:val="0"/>
                <w:sz w:val="18"/>
                <w:szCs w:val="18"/>
              </w:rPr>
              <w:t>请提供中标（成交）通知书或合同</w:t>
            </w:r>
            <w:r>
              <w:rPr>
                <w:rFonts w:hint="eastAsia" w:asciiTheme="minorEastAsia" w:hAnsiTheme="minorEastAsia" w:eastAsiaTheme="minorEastAsia" w:cstheme="minorEastAsia"/>
                <w:color w:val="auto"/>
                <w:kern w:val="0"/>
                <w:sz w:val="18"/>
                <w:szCs w:val="18"/>
                <w:lang w:val="en-US" w:eastAsia="zh-CN"/>
              </w:rPr>
              <w:t>或项目成果</w:t>
            </w:r>
            <w:r>
              <w:rPr>
                <w:rFonts w:hint="eastAsia" w:asciiTheme="minorEastAsia" w:hAnsiTheme="minorEastAsia" w:eastAsiaTheme="minorEastAsia" w:cstheme="minorEastAsia"/>
                <w:color w:val="auto"/>
                <w:kern w:val="0"/>
                <w:sz w:val="18"/>
                <w:szCs w:val="18"/>
              </w:rPr>
              <w:t>关键页，须体现项目负责人姓名，否则不予计分</w:t>
            </w:r>
            <w:r>
              <w:rPr>
                <w:rFonts w:hint="eastAsia" w:asciiTheme="minorEastAsia" w:hAnsiTheme="minorEastAsia" w:eastAsiaTheme="minorEastAsia" w:cstheme="minorEastAsia"/>
                <w:color w:val="auto"/>
                <w:kern w:val="0"/>
                <w:sz w:val="18"/>
                <w:szCs w:val="18"/>
                <w:lang w:val="en-US" w:eastAsia="zh-CN"/>
              </w:rPr>
              <w:t>。</w:t>
            </w:r>
          </w:p>
        </w:tc>
      </w:tr>
    </w:tbl>
    <w:p w14:paraId="41648F6B">
      <w:pPr>
        <w:pStyle w:val="10"/>
        <w:ind w:left="0" w:leftChars="0" w:firstLine="0" w:firstLineChars="0"/>
        <w:rPr>
          <w:rFonts w:hint="eastAsia" w:asciiTheme="minorEastAsia" w:hAnsiTheme="minorEastAsia" w:eastAsiaTheme="minorEastAsia" w:cstheme="minorEastAsia"/>
          <w:b/>
          <w:color w:val="auto"/>
          <w:sz w:val="21"/>
          <w:szCs w:val="21"/>
        </w:rPr>
      </w:pPr>
    </w:p>
    <w:p w14:paraId="0DD7BDD7">
      <w:pPr>
        <w:rPr>
          <w:rFonts w:hint="eastAsia"/>
          <w:color w:val="auto"/>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7B15AD07">
      <w:pPr>
        <w:rPr>
          <w:rFonts w:hint="eastAsia"/>
          <w:color w:val="auto"/>
        </w:rPr>
      </w:pPr>
    </w:p>
    <w:p w14:paraId="03475D71">
      <w:pPr>
        <w:pageBreakBefore w:val="0"/>
        <w:wordWrap/>
        <w:topLinePunct w:val="0"/>
        <w:bidi w:val="0"/>
        <w:adjustRightInd w:val="0"/>
        <w:snapToGrid w:val="0"/>
        <w:spacing w:line="360" w:lineRule="auto"/>
        <w:jc w:val="both"/>
        <w:textAlignment w:val="auto"/>
        <w:outlineLvl w:val="1"/>
        <w:rPr>
          <w:rFonts w:hint="eastAsia" w:asciiTheme="minorEastAsia" w:hAnsiTheme="minorEastAsia" w:eastAsiaTheme="minorEastAsia" w:cstheme="minorEastAsia"/>
          <w:b/>
          <w:color w:val="auto"/>
          <w:sz w:val="21"/>
          <w:szCs w:val="21"/>
        </w:rPr>
      </w:pPr>
    </w:p>
    <w:p w14:paraId="3F5572D6">
      <w:pPr>
        <w:adjustRightInd/>
        <w:snapToGrid/>
        <w:spacing w:line="240" w:lineRule="auto"/>
        <w:jc w:val="left"/>
        <w:outlineLvl w:val="9"/>
        <w:rPr>
          <w:rFonts w:hint="eastAsia" w:asciiTheme="minorEastAsia" w:hAnsiTheme="minorEastAsia" w:eastAsiaTheme="minorEastAsia" w:cstheme="minorEastAsia"/>
          <w:b/>
          <w:color w:val="auto"/>
          <w:szCs w:val="21"/>
        </w:rPr>
      </w:pPr>
    </w:p>
    <w:p w14:paraId="338658EB">
      <w:pPr>
        <w:adjustRightInd w:val="0"/>
        <w:snapToGrid w:val="0"/>
        <w:spacing w:line="360" w:lineRule="auto"/>
        <w:jc w:val="center"/>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第五章  采购合同格式</w:t>
      </w:r>
    </w:p>
    <w:p w14:paraId="4295B48A">
      <w:pPr>
        <w:spacing w:line="360" w:lineRule="atLeast"/>
        <w:jc w:val="center"/>
        <w:rPr>
          <w:color w:val="auto"/>
          <w:szCs w:val="21"/>
        </w:rPr>
      </w:pPr>
      <w:r>
        <w:rPr>
          <w:rFonts w:hint="eastAsia"/>
          <w:color w:val="auto"/>
          <w:szCs w:val="21"/>
        </w:rPr>
        <w:t>（注：本合同格式为参考格式，具体内容按采购人及比选文件要求与中标单位签订）</w:t>
      </w:r>
    </w:p>
    <w:p w14:paraId="79FE5A2C">
      <w:pPr>
        <w:keepNext w:val="0"/>
        <w:keepLines w:val="0"/>
        <w:widowControl/>
        <w:suppressLineNumbers w:val="0"/>
        <w:jc w:val="center"/>
        <w:rPr>
          <w:color w:val="auto"/>
        </w:rPr>
      </w:pPr>
      <w:r>
        <w:rPr>
          <w:rFonts w:ascii="方正小标宋简体" w:hAnsi="方正小标宋简体" w:eastAsia="方正小标宋简体" w:cs="方正小标宋简体"/>
          <w:color w:val="auto"/>
          <w:kern w:val="0"/>
          <w:sz w:val="43"/>
          <w:szCs w:val="43"/>
          <w:lang w:val="en-US" w:eastAsia="zh-CN" w:bidi="ar"/>
        </w:rPr>
        <w:t>咨询服务合同</w:t>
      </w:r>
    </w:p>
    <w:p w14:paraId="5023E089">
      <w:pPr>
        <w:keepNext w:val="0"/>
        <w:keepLines w:val="0"/>
        <w:widowControl/>
        <w:suppressLineNumbers w:val="0"/>
        <w:jc w:val="left"/>
        <w:rPr>
          <w:color w:val="auto"/>
        </w:rPr>
      </w:pPr>
      <w:r>
        <w:rPr>
          <w:rFonts w:ascii="仿宋_GB2312" w:hAnsi="宋体" w:eastAsia="仿宋_GB2312" w:cs="仿宋_GB2312"/>
          <w:color w:val="auto"/>
          <w:kern w:val="0"/>
          <w:sz w:val="31"/>
          <w:szCs w:val="31"/>
          <w:lang w:val="en-US" w:eastAsia="zh-CN" w:bidi="ar"/>
        </w:rPr>
        <w:t xml:space="preserve">项目名称：海口江东新区政策研究咨询服务项目 </w:t>
      </w:r>
    </w:p>
    <w:p w14:paraId="70779250">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委托方（甲方）：海口江东新区管理局 </w:t>
      </w:r>
    </w:p>
    <w:p w14:paraId="14E47C20">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受托方（乙方）： </w:t>
      </w:r>
    </w:p>
    <w:p w14:paraId="21BB3D21">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委托方（甲方）：海口江东新区管理局 </w:t>
      </w:r>
    </w:p>
    <w:p w14:paraId="3AFB88CC">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项目联系人：王舒 </w:t>
      </w:r>
    </w:p>
    <w:p w14:paraId="093141E2">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联系方式：18617181540 </w:t>
      </w:r>
    </w:p>
    <w:p w14:paraId="5C15695F">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通讯地址：海南省海口市美兰区江东大道202号江东发展大厦B 区5层 </w:t>
      </w:r>
    </w:p>
    <w:p w14:paraId="4FB5AB77">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受托方（乙方）： </w:t>
      </w:r>
    </w:p>
    <w:p w14:paraId="220AC8FF">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项目联系人： </w:t>
      </w:r>
    </w:p>
    <w:p w14:paraId="6510C606">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联系方式： </w:t>
      </w:r>
    </w:p>
    <w:p w14:paraId="03849198">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通讯地址： </w:t>
      </w:r>
    </w:p>
    <w:p w14:paraId="0FEF2446">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本合同甲方委托乙方就海口江东新区 4+X 产业（即临空经 济、新金融、消费精品、数字智慧及出口型、外向型产业领域， 下同）开展政策研究咨询服务工作。双方经过平等协商，在真实、充分地表达各自意愿的基础上，根据《中华人民共和国民法典》及其他法律法规的规定，达成如下协议，并由双方共同恪守。 </w:t>
      </w:r>
    </w:p>
    <w:p w14:paraId="0C9E52BC">
      <w:pPr>
        <w:keepNext w:val="0"/>
        <w:keepLines w:val="0"/>
        <w:widowControl/>
        <w:suppressLineNumbers w:val="0"/>
        <w:ind w:firstLine="622" w:firstLineChars="200"/>
        <w:jc w:val="left"/>
        <w:rPr>
          <w:color w:val="auto"/>
        </w:rPr>
      </w:pPr>
      <w:r>
        <w:rPr>
          <w:rFonts w:hint="eastAsia" w:ascii="仿宋_GB2312" w:hAnsi="宋体" w:eastAsia="仿宋_GB2312" w:cs="仿宋_GB2312"/>
          <w:b/>
          <w:bCs/>
          <w:color w:val="auto"/>
          <w:kern w:val="0"/>
          <w:sz w:val="31"/>
          <w:szCs w:val="31"/>
          <w:lang w:val="en-US" w:eastAsia="zh-CN" w:bidi="ar"/>
        </w:rPr>
        <w:t xml:space="preserve">1.项目目的 </w:t>
      </w:r>
    </w:p>
    <w:p w14:paraId="2A8DCE14">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2020年6月《海南自贸港建设总体方案》正式发布，标志海 南自贸港建设进入新篇章。《海南自贸港建设总体方案》总体要求提出：海南应对标国际高水平经贸规则，解放思想、大胆创新，聚焦贸易投资自由化便利化，建立与高水平自由贸易港相适应的政策制度体系。2024年7月《中共中央关于进一步全面深化改革、推进中国式现代化的决定》再次提出：“加快建设海南自由贸易港”。为更好地探索研究高水平经贸规则，更好地落实以“贸易、投资、跨境资金流动、人员进出、交通运输来往自由便利和数据安全有序流动”为主框架的自贸港政策制度，以制度性开放助力海口江东新区4+X产业可持续发展，拟通过引入第三方专业咨询机构，结合江东新区主导产业开展政策研究咨询服务，从高水平经贸规则、先进自贸区政策创新举措、海南自贸港政策等视角出发，协助甲方对主导产业核心政策进行编制、分析、复核和完善。 </w:t>
      </w:r>
    </w:p>
    <w:p w14:paraId="08304C23">
      <w:pPr>
        <w:keepNext w:val="0"/>
        <w:keepLines w:val="0"/>
        <w:widowControl/>
        <w:suppressLineNumbers w:val="0"/>
        <w:ind w:firstLine="622" w:firstLineChars="200"/>
        <w:jc w:val="left"/>
        <w:rPr>
          <w:rFonts w:hint="eastAsia" w:ascii="仿宋_GB2312" w:hAnsi="宋体" w:eastAsia="仿宋_GB2312" w:cs="仿宋_GB2312"/>
          <w:b/>
          <w:bCs/>
          <w:color w:val="auto"/>
          <w:kern w:val="0"/>
          <w:sz w:val="31"/>
          <w:szCs w:val="31"/>
          <w:lang w:bidi="ar"/>
        </w:rPr>
      </w:pPr>
      <w:r>
        <w:rPr>
          <w:rFonts w:hint="eastAsia" w:ascii="仿宋_GB2312" w:hAnsi="宋体" w:eastAsia="仿宋_GB2312" w:cs="仿宋_GB2312"/>
          <w:b/>
          <w:bCs/>
          <w:color w:val="auto"/>
          <w:kern w:val="0"/>
          <w:sz w:val="31"/>
          <w:szCs w:val="31"/>
          <w:lang w:val="en-US" w:eastAsia="zh-CN" w:bidi="ar"/>
        </w:rPr>
        <w:t xml:space="preserve">2.项目范围及交付物 </w:t>
      </w:r>
    </w:p>
    <w:p w14:paraId="0F7A0CC7">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如上第1部分所陈述，乙方将配合甲方编制《海口江东新区 现代服务业示范区建设发展方案》（暂定名，以下简称：方案），并配合甲方对方案所获取的反馈意见进行修改和完善，最终配合甲方完成方案的申报和出台。合同服务时限为合同签订之日起至方案获批之日止，乙方应于 2024 年合同签订之日起两个月内提交项目交付物，但是经双方协商一致，可以对递交物递交时间进行变更，不视为乙方违约。 </w:t>
      </w:r>
    </w:p>
    <w:p w14:paraId="51F4797B">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乙方具体服务和交付物内容应包括： </w:t>
      </w:r>
    </w:p>
    <w:p w14:paraId="32112F4F">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1.对接高水平经贸规则，自上而下层面，国家部委已明确支 </w:t>
      </w:r>
    </w:p>
    <w:p w14:paraId="3ACDE851">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持可落地政策方向、政策具体举措。延循该方向，提出海口江东新区可关注、发展的产业赛道方向。 </w:t>
      </w:r>
    </w:p>
    <w:p w14:paraId="5F5A58B5">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2.对接高水平经贸规则，自上而下层面，国家部委未来拟出 </w:t>
      </w:r>
    </w:p>
    <w:p w14:paraId="17CF026A">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台、支持的政策方向、政策举措。延循该方向，提出海口江东新区可争取落地、可谋划准备的试点。 </w:t>
      </w:r>
    </w:p>
    <w:p w14:paraId="365218D1">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3.对接已签订的自贸协定和高水平经贸规则，提出可在海口 </w:t>
      </w:r>
    </w:p>
    <w:p w14:paraId="5B678FDD">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江东新区落地的努力条款。 </w:t>
      </w:r>
    </w:p>
    <w:p w14:paraId="5E2E4EED">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4.对接未签订的高水平经贸规则，提出海口江东新区可争取 </w:t>
      </w:r>
    </w:p>
    <w:p w14:paraId="6B4A116E">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出台的政策清单和对接路径。 </w:t>
      </w:r>
    </w:p>
    <w:p w14:paraId="4B37C317">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5.对接先进自贸区，提出海口江东新区可复制落地或优化的 </w:t>
      </w:r>
    </w:p>
    <w:p w14:paraId="6103F311">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举措。 </w:t>
      </w:r>
    </w:p>
    <w:p w14:paraId="5E7A14C6">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乙方的咨询服务只为甲方产业发展工作提供方向和指引。重要的是，按照方案执行适合的履行计划是甲方的责任，并不包含 </w:t>
      </w:r>
    </w:p>
    <w:p w14:paraId="7900B243">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在本项目中。在另行签订合同的前提下，乙方将非常愿意为甲方提供进一步的服务，以帮助甲方制定弥补缺陷的执行计划。 </w:t>
      </w:r>
    </w:p>
    <w:p w14:paraId="4C61D078">
      <w:pPr>
        <w:keepNext w:val="0"/>
        <w:keepLines w:val="0"/>
        <w:widowControl/>
        <w:suppressLineNumbers w:val="0"/>
        <w:ind w:firstLine="622" w:firstLineChars="200"/>
        <w:jc w:val="left"/>
        <w:rPr>
          <w:rFonts w:hint="eastAsia" w:ascii="仿宋_GB2312" w:hAnsi="宋体" w:eastAsia="仿宋_GB2312" w:cs="仿宋_GB2312"/>
          <w:b/>
          <w:bCs/>
          <w:color w:val="auto"/>
          <w:kern w:val="0"/>
          <w:sz w:val="31"/>
          <w:szCs w:val="31"/>
          <w:lang w:val="en-US" w:eastAsia="zh-CN" w:bidi="ar"/>
        </w:rPr>
      </w:pPr>
    </w:p>
    <w:p w14:paraId="2727B5E5">
      <w:pPr>
        <w:keepNext w:val="0"/>
        <w:keepLines w:val="0"/>
        <w:widowControl/>
        <w:suppressLineNumbers w:val="0"/>
        <w:ind w:firstLine="622" w:firstLineChars="200"/>
        <w:jc w:val="left"/>
        <w:rPr>
          <w:rFonts w:hint="eastAsia" w:ascii="仿宋_GB2312" w:hAnsi="宋体" w:eastAsia="仿宋_GB2312" w:cs="仿宋_GB2312"/>
          <w:b/>
          <w:bCs/>
          <w:color w:val="auto"/>
          <w:kern w:val="0"/>
          <w:sz w:val="31"/>
          <w:szCs w:val="31"/>
          <w:lang w:val="en-US" w:eastAsia="zh-CN" w:bidi="ar"/>
        </w:rPr>
      </w:pPr>
    </w:p>
    <w:p w14:paraId="195DBE5F">
      <w:pPr>
        <w:keepNext w:val="0"/>
        <w:keepLines w:val="0"/>
        <w:widowControl/>
        <w:suppressLineNumbers w:val="0"/>
        <w:ind w:firstLine="622" w:firstLineChars="200"/>
        <w:jc w:val="left"/>
        <w:rPr>
          <w:rFonts w:hint="eastAsia" w:ascii="仿宋_GB2312" w:hAnsi="宋体" w:eastAsia="仿宋_GB2312" w:cs="仿宋_GB2312"/>
          <w:b/>
          <w:bCs/>
          <w:color w:val="auto"/>
          <w:kern w:val="0"/>
          <w:sz w:val="31"/>
          <w:szCs w:val="31"/>
          <w:lang w:val="en-US" w:eastAsia="zh-CN" w:bidi="ar"/>
        </w:rPr>
      </w:pPr>
    </w:p>
    <w:p w14:paraId="388ED58A">
      <w:pPr>
        <w:keepNext w:val="0"/>
        <w:keepLines w:val="0"/>
        <w:widowControl/>
        <w:suppressLineNumbers w:val="0"/>
        <w:ind w:firstLine="622" w:firstLineChars="200"/>
        <w:jc w:val="left"/>
        <w:rPr>
          <w:rFonts w:hint="eastAsia" w:ascii="仿宋_GB2312" w:hAnsi="宋体" w:eastAsia="仿宋_GB2312" w:cs="仿宋_GB2312"/>
          <w:b/>
          <w:bCs/>
          <w:color w:val="auto"/>
          <w:kern w:val="0"/>
          <w:sz w:val="31"/>
          <w:szCs w:val="31"/>
          <w:lang w:bidi="ar"/>
        </w:rPr>
      </w:pPr>
      <w:r>
        <w:rPr>
          <w:rFonts w:hint="eastAsia" w:ascii="仿宋_GB2312" w:hAnsi="宋体" w:eastAsia="仿宋_GB2312" w:cs="仿宋_GB2312"/>
          <w:b/>
          <w:bCs/>
          <w:color w:val="auto"/>
          <w:kern w:val="0"/>
          <w:sz w:val="31"/>
          <w:szCs w:val="31"/>
          <w:lang w:val="en-US" w:eastAsia="zh-CN" w:bidi="ar"/>
        </w:rPr>
        <w:t xml:space="preserve">3．会议 </w:t>
      </w:r>
    </w:p>
    <w:p w14:paraId="6A9F9CB4">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乙方可能有必要参加讨论有关乙方工作、发现及建议的会议（包括但不限于与甲方、甲方或甲方聘请的第三方（诸如甲方的咨询顾问)。会议上提出的问题，乙方会作出非正式的解答，但该非正式回答未于报告内确定前，甲方不应该根据该非正式回答作出或限制作出任何行动。在未有此等书面确定前，乙方不就该回答对甲方承担任何合同或侵权（包括但不限于疏忽)责任。 </w:t>
      </w:r>
    </w:p>
    <w:p w14:paraId="633CA91C">
      <w:pPr>
        <w:keepNext w:val="0"/>
        <w:keepLines w:val="0"/>
        <w:widowControl/>
        <w:suppressLineNumbers w:val="0"/>
        <w:ind w:firstLine="622" w:firstLineChars="200"/>
        <w:jc w:val="left"/>
        <w:rPr>
          <w:rFonts w:hint="eastAsia" w:ascii="仿宋_GB2312" w:hAnsi="宋体" w:eastAsia="仿宋_GB2312" w:cs="仿宋_GB2312"/>
          <w:b/>
          <w:bCs/>
          <w:color w:val="auto"/>
          <w:kern w:val="0"/>
          <w:sz w:val="31"/>
          <w:szCs w:val="31"/>
          <w:lang w:bidi="ar"/>
        </w:rPr>
      </w:pPr>
      <w:r>
        <w:rPr>
          <w:rFonts w:hint="eastAsia" w:ascii="仿宋_GB2312" w:hAnsi="宋体" w:eastAsia="仿宋_GB2312" w:cs="仿宋_GB2312"/>
          <w:b/>
          <w:bCs/>
          <w:color w:val="auto"/>
          <w:kern w:val="0"/>
          <w:sz w:val="31"/>
          <w:szCs w:val="31"/>
          <w:lang w:val="en-US" w:eastAsia="zh-CN" w:bidi="ar"/>
        </w:rPr>
        <w:t xml:space="preserve">4．管理层责任 </w:t>
      </w:r>
    </w:p>
    <w:p w14:paraId="13DA8358">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甲方管理层实质和有意义的介入对于项目的成功至关紧要。甲方必须负责确保甲方的管理层积极参与计划和执行本业务约定。若由于甲方配合原因导致本项目的任何延误、中止或无法完成，乙方不承担任何责任，提交工作成果的期限可以相应顺延。本项目中，甲方应确保甲方向乙方提供所有与本项目相关的信息、文件和资料以及乙方为履行本项目职责所合理需要的任何信息和文件（包括与本项目相关的机密资料和信息），并对本次项目所涉及所有相关信息的准确性、完整性和陈述负责。甲方保证甲方向乙方提供的信息不会有遗漏或导致乙方将被误导或可能被误导。 </w:t>
      </w:r>
    </w:p>
    <w:p w14:paraId="274C2600">
      <w:pPr>
        <w:keepNext w:val="0"/>
        <w:keepLines w:val="0"/>
        <w:widowControl/>
        <w:suppressLineNumbers w:val="0"/>
        <w:ind w:firstLine="622" w:firstLineChars="200"/>
        <w:jc w:val="left"/>
        <w:rPr>
          <w:rFonts w:hint="eastAsia" w:ascii="仿宋_GB2312" w:hAnsi="宋体" w:eastAsia="仿宋_GB2312" w:cs="仿宋_GB2312"/>
          <w:b/>
          <w:bCs/>
          <w:color w:val="auto"/>
          <w:kern w:val="0"/>
          <w:sz w:val="31"/>
          <w:szCs w:val="31"/>
          <w:lang w:bidi="ar"/>
        </w:rPr>
      </w:pPr>
      <w:r>
        <w:rPr>
          <w:rFonts w:hint="eastAsia" w:ascii="仿宋_GB2312" w:hAnsi="宋体" w:eastAsia="仿宋_GB2312" w:cs="仿宋_GB2312"/>
          <w:b/>
          <w:bCs/>
          <w:color w:val="auto"/>
          <w:kern w:val="0"/>
          <w:sz w:val="31"/>
          <w:szCs w:val="31"/>
          <w:lang w:val="en-US" w:eastAsia="zh-CN" w:bidi="ar"/>
        </w:rPr>
        <w:t xml:space="preserve">5．时间和人员 </w:t>
      </w:r>
    </w:p>
    <w:p w14:paraId="7814F706">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乙方的工作时间主要取决于甲方接受并签署本合同的时间，同时也将考虑甲方员工可以配合乙方工作的便利期间。 </w:t>
      </w:r>
    </w:p>
    <w:p w14:paraId="18D139AB">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根据目前乙方对项目需求的理解、乙方提议的工作方法和甲 </w:t>
      </w:r>
    </w:p>
    <w:p w14:paraId="288B541A">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方及其人员积极配合和参与的基础上，XXXX 将全面负责本项目。乙方将视乎需要和适当性，选派专业人员组成专业队伍支持本项目工作。乙方保留调换其他具有同等资格的专业人员参与本项目的权利。 </w:t>
      </w:r>
    </w:p>
    <w:p w14:paraId="1D0A9E3E">
      <w:pPr>
        <w:keepNext w:val="0"/>
        <w:keepLines w:val="0"/>
        <w:widowControl/>
        <w:suppressLineNumbers w:val="0"/>
        <w:ind w:firstLine="622" w:firstLineChars="200"/>
        <w:jc w:val="left"/>
        <w:rPr>
          <w:rFonts w:hint="eastAsia" w:ascii="仿宋_GB2312" w:hAnsi="宋体" w:eastAsia="仿宋_GB2312" w:cs="仿宋_GB2312"/>
          <w:b/>
          <w:bCs/>
          <w:color w:val="auto"/>
          <w:kern w:val="0"/>
          <w:sz w:val="31"/>
          <w:szCs w:val="31"/>
          <w:lang w:bidi="ar"/>
        </w:rPr>
      </w:pPr>
      <w:r>
        <w:rPr>
          <w:rFonts w:hint="eastAsia" w:ascii="仿宋_GB2312" w:hAnsi="宋体" w:eastAsia="仿宋_GB2312" w:cs="仿宋_GB2312"/>
          <w:b/>
          <w:bCs/>
          <w:color w:val="auto"/>
          <w:kern w:val="0"/>
          <w:sz w:val="31"/>
          <w:szCs w:val="31"/>
          <w:lang w:val="en-US" w:eastAsia="zh-CN" w:bidi="ar"/>
        </w:rPr>
        <w:t xml:space="preserve">6．软件的使用 </w:t>
      </w:r>
    </w:p>
    <w:p w14:paraId="5DD59AA9">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乙方可能在提供服务时使用现由乙方拥有或被许可使用的软件。若甲方希望乙方使用其它软件，则必须由甲方获得相关软件并被许可使用，而乙方作为分许可人在提供本合同项下服务时使用此软件。对于乙方所拥有或被许可使用的软件，若甲方员工查阅或使用该软件，则甲方同意依照乙方创设的规定成为此软件的被许可证人或分许可人。 </w:t>
      </w:r>
    </w:p>
    <w:p w14:paraId="10093500">
      <w:pPr>
        <w:keepNext w:val="0"/>
        <w:keepLines w:val="0"/>
        <w:widowControl/>
        <w:suppressLineNumbers w:val="0"/>
        <w:ind w:firstLine="622" w:firstLineChars="200"/>
        <w:jc w:val="left"/>
        <w:rPr>
          <w:rFonts w:hint="eastAsia" w:ascii="仿宋_GB2312" w:hAnsi="宋体" w:eastAsia="仿宋_GB2312" w:cs="仿宋_GB2312"/>
          <w:b/>
          <w:bCs/>
          <w:color w:val="auto"/>
          <w:kern w:val="0"/>
          <w:sz w:val="31"/>
          <w:szCs w:val="31"/>
          <w:lang w:bidi="ar"/>
        </w:rPr>
      </w:pPr>
      <w:r>
        <w:rPr>
          <w:rFonts w:hint="eastAsia" w:ascii="仿宋_GB2312" w:hAnsi="宋体" w:eastAsia="仿宋_GB2312" w:cs="仿宋_GB2312"/>
          <w:b/>
          <w:bCs/>
          <w:color w:val="auto"/>
          <w:kern w:val="0"/>
          <w:sz w:val="31"/>
          <w:szCs w:val="31"/>
          <w:lang w:val="en-US" w:eastAsia="zh-CN" w:bidi="ar"/>
        </w:rPr>
        <w:t xml:space="preserve">7．保密性 </w:t>
      </w:r>
    </w:p>
    <w:p w14:paraId="1480DD69">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甲方提供予乙方的信息被视为保密资料，并供乙方和乙方的指定人员用于与本次项目有关之用途，但此等限制并不适用于如下任何文件和信息资料： </w:t>
      </w:r>
    </w:p>
    <w:p w14:paraId="6127EFFC">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i)公开发布的或可供一般公众公开取阅的信息和资料； </w:t>
      </w:r>
    </w:p>
    <w:p w14:paraId="37076131">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ii)提供予乙方之前已由乙方通过非保密渠道获得的信息和 </w:t>
      </w:r>
    </w:p>
    <w:p w14:paraId="694CF3CF">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资料； </w:t>
      </w:r>
    </w:p>
    <w:p w14:paraId="00C4AEE0">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iii）依照任何法定或监管要求、任何政府部门或监管机构、 </w:t>
      </w:r>
    </w:p>
    <w:p w14:paraId="1F4B37E1">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任何适用之法律、法规或规定、专业职责、本合同项下报告义务 </w:t>
      </w:r>
    </w:p>
    <w:p w14:paraId="2C2F24DA">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所要求披露的文件或信息，或者因本合同或其项下服务所引起的或以任何方式与之有关的任何索偿或潜在索偿而需要披露的各种信息和资料；或 </w:t>
      </w:r>
    </w:p>
    <w:p w14:paraId="63DB90EB">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iv)为确保顺利完成本合同约定的服务，乙方可能需要利用 </w:t>
      </w:r>
    </w:p>
    <w:p w14:paraId="115B974D">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向乙方提供基础设施支持服务的第三方提供的设施对保密信息进行传输或存储，该等第三方负有相关保密义务并采取合理措施保证该等信息的安全和保密性。甲方应对乙方在项目中使用的技术和方法保密。乙方通常希望为代表甲方完成的项目寻求公开宣传的机会。在公开宣传有关信息之前，乙方均将事先获得甲方的许可，除非有关信息资料在此之前已被公开。尽管如此，乙方有权在向其它客户提交的建议书或其它类似文件中提及甲方为我们的客户并提及本次服务。 </w:t>
      </w:r>
    </w:p>
    <w:p w14:paraId="05F4E2C2">
      <w:pPr>
        <w:keepNext w:val="0"/>
        <w:keepLines w:val="0"/>
        <w:widowControl/>
        <w:suppressLineNumbers w:val="0"/>
        <w:ind w:firstLine="622" w:firstLineChars="200"/>
        <w:jc w:val="left"/>
        <w:rPr>
          <w:color w:val="auto"/>
        </w:rPr>
      </w:pPr>
      <w:r>
        <w:rPr>
          <w:rFonts w:hint="eastAsia" w:ascii="仿宋_GB2312" w:hAnsi="宋体" w:eastAsia="仿宋_GB2312" w:cs="仿宋_GB2312"/>
          <w:b/>
          <w:bCs/>
          <w:color w:val="auto"/>
          <w:kern w:val="0"/>
          <w:sz w:val="31"/>
          <w:szCs w:val="31"/>
          <w:lang w:val="en-US" w:eastAsia="zh-CN" w:bidi="ar"/>
        </w:rPr>
        <w:t xml:space="preserve">8．收费和付款方式 </w:t>
      </w:r>
    </w:p>
    <w:p w14:paraId="34236F90">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服务费用为人民币肆拾万元整（￥400,000.00)，且为含税价格，增值税税率 6%，该费用已经包括增值税、附加税费等额外费用。乙方将在每个阶段完成后向甲方发出付款通知并开具等额发票，甲方应于收到付款通知及发票后支付款项。但甲方出现政府封账等特殊情况无法及时支付费用，付款可顺延，不视为甲方违约。 </w:t>
      </w:r>
    </w:p>
    <w:p w14:paraId="33AB0A1B">
      <w:pPr>
        <w:keepNext w:val="0"/>
        <w:keepLines w:val="0"/>
        <w:widowControl/>
        <w:suppressLineNumbers w:val="0"/>
        <w:ind w:firstLine="620" w:firstLineChars="200"/>
        <w:jc w:val="left"/>
        <w:rPr>
          <w:color w:val="auto"/>
        </w:rPr>
      </w:pPr>
      <w:r>
        <w:rPr>
          <w:rFonts w:hint="eastAsia" w:ascii="仿宋_GB2312" w:hAnsi="宋体" w:eastAsia="仿宋_GB2312" w:cs="仿宋_GB2312"/>
          <w:color w:val="auto"/>
          <w:kern w:val="0"/>
          <w:sz w:val="31"/>
          <w:szCs w:val="31"/>
          <w:lang w:val="en-US" w:eastAsia="zh-CN" w:bidi="ar"/>
        </w:rPr>
        <w:t xml:space="preserve">乙方将按以下进度发出付款通知书分期付款如下： </w:t>
      </w:r>
    </w:p>
    <w:p w14:paraId="0AF8DB9F">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１.合同签署且甲方收到乙方付款通知及发票后 30 个工作 </w:t>
      </w:r>
    </w:p>
    <w:p w14:paraId="2A60C76F">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日内支付收取服务费用的 50%，即人民币贰拾万元整 </w:t>
      </w:r>
    </w:p>
    <w:p w14:paraId="2BECF0AA">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（￥200,000.00 元)； </w:t>
      </w:r>
    </w:p>
    <w:p w14:paraId="4EB971C3">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２.完成交付物递交工作且甲方收到乙方付款通知及发票后 </w:t>
      </w:r>
    </w:p>
    <w:p w14:paraId="11B6D5F0">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30 个工作日内支付收取服务费用的 50%，即人民币贰拾万元整（￥200,000.00 元)。 </w:t>
      </w:r>
    </w:p>
    <w:p w14:paraId="10047960">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乙方的账户如下： </w:t>
      </w:r>
    </w:p>
    <w:p w14:paraId="514F7322">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乙方： </w:t>
      </w:r>
    </w:p>
    <w:p w14:paraId="36DEAB4B">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开户行： </w:t>
      </w:r>
    </w:p>
    <w:p w14:paraId="7CC7C988">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账户名称： </w:t>
      </w:r>
    </w:p>
    <w:p w14:paraId="1CCDA855">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账号： </w:t>
      </w:r>
    </w:p>
    <w:p w14:paraId="20FC862D">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若发生预计以外的情况，以致乙方预计成本大幅度上升或职 </w:t>
      </w:r>
    </w:p>
    <w:p w14:paraId="1B446250">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员可能需要提供除本项目项下服务外的额外工作，由此需要收取额外服务费用时，乙方会立即通知甲方并讨论可选择的费用安排。此外，任何可能因项目范围实质性变化而要求的额外工作，甲方应支付额外费用/签署一份新的合同（或补充协议)。乙方将在开始任何额外工作前与甲方商谈此等费用/安排的事宜。 </w:t>
      </w:r>
    </w:p>
    <w:p w14:paraId="6CD03DF1">
      <w:pPr>
        <w:keepNext w:val="0"/>
        <w:keepLines w:val="0"/>
        <w:widowControl/>
        <w:suppressLineNumbers w:val="0"/>
        <w:ind w:firstLine="622" w:firstLineChars="200"/>
        <w:jc w:val="left"/>
        <w:rPr>
          <w:rFonts w:hint="eastAsia" w:ascii="仿宋_GB2312" w:hAnsi="宋体" w:eastAsia="仿宋_GB2312" w:cs="仿宋_GB2312"/>
          <w:b/>
          <w:bCs/>
          <w:color w:val="auto"/>
          <w:kern w:val="0"/>
          <w:sz w:val="31"/>
          <w:szCs w:val="31"/>
          <w:lang w:bidi="ar"/>
        </w:rPr>
      </w:pPr>
      <w:r>
        <w:rPr>
          <w:rFonts w:hint="eastAsia" w:ascii="仿宋_GB2312" w:hAnsi="宋体" w:eastAsia="仿宋_GB2312" w:cs="仿宋_GB2312"/>
          <w:b/>
          <w:bCs/>
          <w:color w:val="auto"/>
          <w:kern w:val="0"/>
          <w:sz w:val="31"/>
          <w:szCs w:val="31"/>
          <w:lang w:val="en-US" w:eastAsia="zh-CN" w:bidi="ar"/>
        </w:rPr>
        <w:t xml:space="preserve">9.违约责任 </w:t>
      </w:r>
    </w:p>
    <w:p w14:paraId="4B3BF5F1">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（1）乙方逾期未能提交工作成果的，每逾期一日，向甲方 </w:t>
      </w:r>
    </w:p>
    <w:p w14:paraId="3CC418D8">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支付合同金额千分之一的违约金；逾期达十五日的，甲方有权解除合同，并要求乙方支付合同金额 20%的违约金，违约金不足以弥补由此造成的损失的，应予以补足。同时根据乙方贡献和参与 </w:t>
      </w:r>
    </w:p>
    <w:p w14:paraId="38CA774E">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程度支付合理专业服务费用。 </w:t>
      </w:r>
    </w:p>
    <w:p w14:paraId="03EC77C0">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（2）若乙方出现下列情形之一的，甲方有权解除合同，并 </w:t>
      </w:r>
    </w:p>
    <w:p w14:paraId="712D4BED">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要求乙方支付合同金额 20%的违约金，违约金不足以弥补由此造成的损失的，应予以补足。同时根据乙方贡献和参与程度支付合理专业服务费用： </w:t>
      </w:r>
    </w:p>
    <w:p w14:paraId="5C3311E7">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A．未经甲方同意部分或全部转让合同权利义务的； </w:t>
      </w:r>
    </w:p>
    <w:p w14:paraId="66CCF3C1">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B．与甲方或关联方等单位发生不正当利益输送的； </w:t>
      </w:r>
    </w:p>
    <w:p w14:paraId="257466F0">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C.乙方违反保密义务的； </w:t>
      </w:r>
    </w:p>
    <w:p w14:paraId="53589501">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D.乙方提交的工作成果违反法律、法规及现行国家、地区及 </w:t>
      </w:r>
    </w:p>
    <w:p w14:paraId="7B31A3F1">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行业有关规范和标准或侵犯任何第三方权利的。 </w:t>
      </w:r>
    </w:p>
    <w:p w14:paraId="3F71D6F9">
      <w:pPr>
        <w:keepNext w:val="0"/>
        <w:keepLines w:val="0"/>
        <w:widowControl/>
        <w:suppressLineNumbers w:val="0"/>
        <w:jc w:val="left"/>
        <w:rPr>
          <w:color w:val="auto"/>
        </w:rPr>
      </w:pPr>
      <w:r>
        <w:rPr>
          <w:rFonts w:hint="eastAsia" w:ascii="仿宋_GB2312" w:hAnsi="宋体" w:eastAsia="仿宋_GB2312" w:cs="仿宋_GB2312"/>
          <w:b/>
          <w:bCs/>
          <w:color w:val="auto"/>
          <w:kern w:val="0"/>
          <w:sz w:val="31"/>
          <w:szCs w:val="31"/>
          <w:lang w:val="en-US" w:eastAsia="zh-CN" w:bidi="ar"/>
        </w:rPr>
        <w:t xml:space="preserve">10．生效条款 </w:t>
      </w:r>
    </w:p>
    <w:p w14:paraId="6EE3244A">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本合同自双方签字盖章之日起生效，一式 4 份，甲方执 2 份， </w:t>
      </w:r>
    </w:p>
    <w:p w14:paraId="33AD011A">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乙方执 2 份，具有同等法律效力。 </w:t>
      </w:r>
    </w:p>
    <w:p w14:paraId="2E37678F">
      <w:pPr>
        <w:keepNext w:val="0"/>
        <w:keepLines w:val="0"/>
        <w:widowControl/>
        <w:suppressLineNumbers w:val="0"/>
        <w:jc w:val="left"/>
        <w:rPr>
          <w:color w:val="auto"/>
        </w:rPr>
      </w:pPr>
      <w:r>
        <w:rPr>
          <w:rFonts w:hint="eastAsia" w:ascii="仿宋_GB2312" w:hAnsi="宋体" w:eastAsia="仿宋_GB2312" w:cs="仿宋_GB2312"/>
          <w:b/>
          <w:bCs/>
          <w:color w:val="auto"/>
          <w:kern w:val="0"/>
          <w:sz w:val="31"/>
          <w:szCs w:val="31"/>
          <w:lang w:val="en-US" w:eastAsia="zh-CN" w:bidi="ar"/>
        </w:rPr>
        <w:t xml:space="preserve">11．通用商业条款 </w:t>
      </w:r>
    </w:p>
    <w:p w14:paraId="674712E3">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本项目的通用商业条款在本合同中附件一陈述，该附件构成 </w:t>
      </w:r>
    </w:p>
    <w:p w14:paraId="33224C24">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甲方和乙方之间协议的一部分。 </w:t>
      </w:r>
    </w:p>
    <w:p w14:paraId="4BEE0686">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此合同，连同在其附件中陈述的通用商业条款共同组成甲方 </w:t>
      </w:r>
    </w:p>
    <w:p w14:paraId="08F0A454">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和乙方之间本项目的完整协议，并取代其他有关此项目的任何口头和书面陈述、理解或协议。此合同除甲方和乙方双方的书面同意外不可被修改。若在此合同和附属于本合同的通用商业条款之间存在任何抵触，则按下列顺序确定优先性：（1)在附件一中的 </w:t>
      </w:r>
    </w:p>
    <w:p w14:paraId="53CE4393">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通用商业条款和（2)合同。 </w:t>
      </w:r>
    </w:p>
    <w:p w14:paraId="01802C22">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（以下为海口江东新区政策研究咨询服务项目合同的签字页） </w:t>
      </w:r>
      <w:r>
        <w:rPr>
          <w:rFonts w:ascii="黑体" w:hAnsi="宋体" w:eastAsia="黑体" w:cs="黑体"/>
          <w:color w:val="auto"/>
          <w:kern w:val="0"/>
          <w:sz w:val="31"/>
          <w:szCs w:val="31"/>
          <w:lang w:val="en-US" w:eastAsia="zh-CN" w:bidi="ar"/>
        </w:rPr>
        <w:t xml:space="preserve">甲方（盖章）： </w:t>
      </w:r>
      <w:r>
        <w:rPr>
          <w:rFonts w:hint="eastAsia" w:ascii="黑体" w:hAnsi="宋体" w:eastAsia="黑体" w:cs="黑体"/>
          <w:color w:val="auto"/>
          <w:kern w:val="0"/>
          <w:sz w:val="31"/>
          <w:szCs w:val="31"/>
          <w:lang w:val="en-US" w:eastAsia="zh-CN" w:bidi="ar"/>
        </w:rPr>
        <w:t xml:space="preserve">                     乙方（盖章）： </w:t>
      </w:r>
    </w:p>
    <w:p w14:paraId="087A86AD">
      <w:pPr>
        <w:keepNext w:val="0"/>
        <w:keepLines w:val="0"/>
        <w:widowControl/>
        <w:suppressLineNumbers w:val="0"/>
        <w:jc w:val="left"/>
        <w:rPr>
          <w:color w:val="auto"/>
        </w:rPr>
      </w:pPr>
    </w:p>
    <w:p w14:paraId="4424A69C">
      <w:pPr>
        <w:keepNext w:val="0"/>
        <w:keepLines w:val="0"/>
        <w:widowControl/>
        <w:suppressLineNumbers w:val="0"/>
        <w:jc w:val="left"/>
        <w:rPr>
          <w:color w:val="auto"/>
        </w:rPr>
      </w:pPr>
      <w:r>
        <w:rPr>
          <w:rFonts w:hint="eastAsia" w:ascii="黑体" w:hAnsi="宋体" w:eastAsia="黑体" w:cs="黑体"/>
          <w:color w:val="auto"/>
          <w:kern w:val="0"/>
          <w:sz w:val="31"/>
          <w:szCs w:val="31"/>
          <w:lang w:val="en-US" w:eastAsia="zh-CN" w:bidi="ar"/>
        </w:rPr>
        <w:t xml:space="preserve">海口江东新区管理局 </w:t>
      </w:r>
    </w:p>
    <w:p w14:paraId="48AB9526">
      <w:pPr>
        <w:keepNext w:val="0"/>
        <w:keepLines w:val="0"/>
        <w:widowControl/>
        <w:suppressLineNumbers w:val="0"/>
        <w:jc w:val="left"/>
        <w:rPr>
          <w:color w:val="auto"/>
        </w:rPr>
      </w:pPr>
      <w:r>
        <w:rPr>
          <w:rFonts w:hint="eastAsia" w:ascii="黑体" w:hAnsi="宋体" w:eastAsia="黑体" w:cs="黑体"/>
          <w:color w:val="auto"/>
          <w:kern w:val="0"/>
          <w:sz w:val="31"/>
          <w:szCs w:val="31"/>
          <w:lang w:val="en-US" w:eastAsia="zh-CN" w:bidi="ar"/>
        </w:rPr>
        <w:t>姓名：                              姓名：</w:t>
      </w:r>
    </w:p>
    <w:p w14:paraId="452722D9">
      <w:pPr>
        <w:keepNext w:val="0"/>
        <w:keepLines w:val="0"/>
        <w:widowControl/>
        <w:suppressLineNumbers w:val="0"/>
        <w:jc w:val="left"/>
        <w:rPr>
          <w:color w:val="auto"/>
        </w:rPr>
      </w:pPr>
      <w:r>
        <w:rPr>
          <w:rFonts w:hint="eastAsia" w:ascii="黑体" w:hAnsi="宋体" w:eastAsia="黑体" w:cs="黑体"/>
          <w:color w:val="auto"/>
          <w:kern w:val="0"/>
          <w:sz w:val="31"/>
          <w:szCs w:val="31"/>
          <w:lang w:val="en-US" w:eastAsia="zh-CN" w:bidi="ar"/>
        </w:rPr>
        <w:t xml:space="preserve"> </w:t>
      </w:r>
    </w:p>
    <w:p w14:paraId="41231A0F">
      <w:pPr>
        <w:keepNext w:val="0"/>
        <w:keepLines w:val="0"/>
        <w:widowControl/>
        <w:suppressLineNumbers w:val="0"/>
        <w:jc w:val="left"/>
        <w:rPr>
          <w:color w:val="auto"/>
        </w:rPr>
      </w:pPr>
      <w:r>
        <w:rPr>
          <w:rFonts w:hint="eastAsia" w:ascii="黑体" w:hAnsi="宋体" w:eastAsia="黑体" w:cs="黑体"/>
          <w:color w:val="auto"/>
          <w:kern w:val="0"/>
          <w:sz w:val="31"/>
          <w:szCs w:val="31"/>
          <w:lang w:val="en-US" w:eastAsia="zh-CN" w:bidi="ar"/>
        </w:rPr>
        <w:t xml:space="preserve">（授权签字人签字)                 （授权签字人签字) </w:t>
      </w:r>
    </w:p>
    <w:p w14:paraId="4397CF86">
      <w:pPr>
        <w:keepNext w:val="0"/>
        <w:keepLines w:val="0"/>
        <w:widowControl/>
        <w:suppressLineNumbers w:val="0"/>
        <w:jc w:val="left"/>
        <w:rPr>
          <w:color w:val="auto"/>
        </w:rPr>
      </w:pPr>
    </w:p>
    <w:p w14:paraId="2D9C946B">
      <w:pPr>
        <w:keepNext w:val="0"/>
        <w:keepLines w:val="0"/>
        <w:widowControl/>
        <w:suppressLineNumbers w:val="0"/>
        <w:jc w:val="left"/>
        <w:rPr>
          <w:color w:val="auto"/>
        </w:rPr>
      </w:pPr>
      <w:r>
        <w:rPr>
          <w:rFonts w:hint="eastAsia" w:ascii="黑体" w:hAnsi="宋体" w:eastAsia="黑体" w:cs="黑体"/>
          <w:color w:val="auto"/>
          <w:kern w:val="0"/>
          <w:sz w:val="31"/>
          <w:szCs w:val="31"/>
          <w:lang w:val="en-US" w:eastAsia="zh-CN" w:bidi="ar"/>
        </w:rPr>
        <w:t xml:space="preserve">日期：    </w:t>
      </w:r>
      <w:r>
        <w:rPr>
          <w:rFonts w:hint="eastAsia" w:ascii="黑体" w:hAnsi="宋体" w:eastAsia="黑体" w:cs="黑体"/>
          <w:color w:val="auto"/>
          <w:kern w:val="0"/>
          <w:sz w:val="31"/>
          <w:szCs w:val="31"/>
          <w:lang w:val="en-US" w:eastAsia="zh-CN" w:bidi="ar"/>
        </w:rPr>
        <w:tab/>
      </w:r>
      <w:r>
        <w:rPr>
          <w:rFonts w:hint="eastAsia" w:ascii="黑体" w:hAnsi="宋体" w:eastAsia="黑体" w:cs="黑体"/>
          <w:color w:val="auto"/>
          <w:kern w:val="0"/>
          <w:sz w:val="31"/>
          <w:szCs w:val="31"/>
          <w:lang w:val="en-US" w:eastAsia="zh-CN" w:bidi="ar"/>
        </w:rPr>
        <w:tab/>
      </w:r>
      <w:r>
        <w:rPr>
          <w:rFonts w:hint="eastAsia" w:ascii="黑体" w:hAnsi="宋体" w:eastAsia="黑体" w:cs="黑体"/>
          <w:color w:val="auto"/>
          <w:kern w:val="0"/>
          <w:sz w:val="31"/>
          <w:szCs w:val="31"/>
          <w:lang w:val="en-US" w:eastAsia="zh-CN" w:bidi="ar"/>
        </w:rPr>
        <w:tab/>
      </w:r>
      <w:r>
        <w:rPr>
          <w:rFonts w:hint="eastAsia" w:ascii="黑体" w:hAnsi="宋体" w:eastAsia="黑体" w:cs="黑体"/>
          <w:color w:val="auto"/>
          <w:kern w:val="0"/>
          <w:sz w:val="31"/>
          <w:szCs w:val="31"/>
          <w:lang w:val="en-US" w:eastAsia="zh-CN" w:bidi="ar"/>
        </w:rPr>
        <w:tab/>
      </w:r>
      <w:r>
        <w:rPr>
          <w:rFonts w:hint="eastAsia" w:ascii="黑体" w:hAnsi="宋体" w:eastAsia="黑体" w:cs="黑体"/>
          <w:color w:val="auto"/>
          <w:kern w:val="0"/>
          <w:sz w:val="31"/>
          <w:szCs w:val="31"/>
          <w:lang w:val="en-US" w:eastAsia="zh-CN" w:bidi="ar"/>
        </w:rPr>
        <w:tab/>
      </w:r>
      <w:r>
        <w:rPr>
          <w:rFonts w:hint="eastAsia" w:ascii="黑体" w:hAnsi="宋体" w:eastAsia="黑体" w:cs="黑体"/>
          <w:color w:val="auto"/>
          <w:kern w:val="0"/>
          <w:sz w:val="31"/>
          <w:szCs w:val="31"/>
          <w:lang w:val="en-US" w:eastAsia="zh-CN" w:bidi="ar"/>
        </w:rPr>
        <w:tab/>
      </w:r>
      <w:r>
        <w:rPr>
          <w:rFonts w:hint="eastAsia" w:ascii="黑体" w:hAnsi="宋体" w:eastAsia="黑体" w:cs="黑体"/>
          <w:color w:val="auto"/>
          <w:kern w:val="0"/>
          <w:sz w:val="31"/>
          <w:szCs w:val="31"/>
          <w:lang w:val="en-US" w:eastAsia="zh-CN" w:bidi="ar"/>
        </w:rPr>
        <w:tab/>
      </w:r>
      <w:r>
        <w:rPr>
          <w:rFonts w:hint="eastAsia" w:ascii="黑体" w:hAnsi="宋体" w:eastAsia="黑体" w:cs="黑体"/>
          <w:color w:val="auto"/>
          <w:kern w:val="0"/>
          <w:sz w:val="31"/>
          <w:szCs w:val="31"/>
          <w:lang w:val="en-US" w:eastAsia="zh-CN" w:bidi="ar"/>
        </w:rPr>
        <w:tab/>
      </w:r>
      <w:r>
        <w:rPr>
          <w:rFonts w:hint="eastAsia" w:ascii="黑体" w:hAnsi="宋体" w:eastAsia="黑体" w:cs="黑体"/>
          <w:color w:val="auto"/>
          <w:kern w:val="0"/>
          <w:sz w:val="31"/>
          <w:szCs w:val="31"/>
          <w:lang w:val="en-US" w:eastAsia="zh-CN" w:bidi="ar"/>
        </w:rPr>
        <w:tab/>
      </w:r>
      <w:r>
        <w:rPr>
          <w:rFonts w:hint="eastAsia" w:ascii="黑体" w:hAnsi="宋体" w:eastAsia="黑体" w:cs="黑体"/>
          <w:color w:val="auto"/>
          <w:kern w:val="0"/>
          <w:sz w:val="31"/>
          <w:szCs w:val="31"/>
          <w:lang w:val="en-US" w:eastAsia="zh-CN" w:bidi="ar"/>
        </w:rPr>
        <w:t xml:space="preserve">   日期：</w:t>
      </w:r>
    </w:p>
    <w:p w14:paraId="3A54FA20">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附件一 通用商业条款 </w:t>
      </w:r>
    </w:p>
    <w:p w14:paraId="577EF504">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1.服务：双方均理解及同意乙方的服务包括提供建议，但是 </w:t>
      </w:r>
    </w:p>
    <w:p w14:paraId="3CDEB7D3">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否执行有关建议则由甲方自行负责作出决定。就本合同约定的有关服务，乙方有权依赖甲方作出的相关所有决定及批准。 </w:t>
      </w:r>
    </w:p>
    <w:p w14:paraId="71FE85F9">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2.付款条款：如甲方在收到乙方的付款通知书及发票后三十 </w:t>
      </w:r>
    </w:p>
    <w:p w14:paraId="7A542E3D">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个工作日内仍未支付有关费用，则乙方将在法律允许的范畴内对逾期款项收取逾期费用。逾期费用将以如下两项中较低者为计算标准计收：i) 从逾期之日起按逾期应付款项每个月百分之一点五计算或 ii) 法律允许的最高逾期利率。但甲方出现政府封账等特殊情况无法及时支付费用，付款可顺延，不视为甲方违约。 </w:t>
      </w:r>
    </w:p>
    <w:p w14:paraId="7B1BEF42">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3.终止条款：本合同应持续有效，直至本次服务完成（即交 </w:t>
      </w:r>
    </w:p>
    <w:p w14:paraId="2B9A0DE8">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付项目提交物且结清全部服务费用）或任何一方根据本条款的约定终止本合同（以较早发生者为准）。任何一方均有权经提前三十日给予对方书面通知而终止本合同。若发生导致乙方认为其已不适宜继续为甲方提供服务的任何情况，包括法定要求，或乙方认为其履行本合同的任何部分将变为不合法，或者与独立性或专业规则产生冲突，乙方亦可在向甲方作出书面通知后立即终止本合同。在提前终止本合同的任何情况下，甲方和乙方均一致同意 </w:t>
      </w:r>
    </w:p>
    <w:p w14:paraId="71163836">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乙方有权就其于终止之日前对约定的专业服务项目所作出的贡献和参与程度收取合理专业服务费用，并且乙方不承担因本条款引起之履行终止所产生的任何责任。 </w:t>
      </w:r>
    </w:p>
    <w:p w14:paraId="2A4ACD20">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4.保密义务：对于乙方根据本合同项下提供予甲方的保密信 </w:t>
      </w:r>
    </w:p>
    <w:p w14:paraId="18C4E725">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息或专有信息，甲方应以保护甲方自己的保密信息同样的谨慎标准履行保密义务，但至少应做到合理的谨慎。 </w:t>
      </w:r>
    </w:p>
    <w:p w14:paraId="78762F73">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5.保证的限制：这是关于提供专业服务的合同，乙方保证其 </w:t>
      </w:r>
    </w:p>
    <w:p w14:paraId="4E881FB6">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将以诚信的态度履行本合同所约定的服务。鉴于乙方在本合同及相关交易中的角色的局限性，乙方否认任何其他所有明示或暗示的保证，包括但不限于商销性及适合特定目的任何保证。乙方并不对甲方或任何第三方订约人所履行的工作作出保证；亦不保证所有错误或缺陷已经或将从系统中去除，或者系统的运作将是毫无差错的。乙方对本合同项下之编码更改工序的执行及测试工作不承担任何责任。 </w:t>
      </w:r>
    </w:p>
    <w:p w14:paraId="27F8D597">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6. 项目提交物的使用 </w:t>
      </w:r>
    </w:p>
    <w:p w14:paraId="5BDDA226">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(i) 乙方在本合同正文第 2 条中列明的项目提交物仅是为 </w:t>
      </w:r>
    </w:p>
    <w:p w14:paraId="421AD5C9">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本合同正文约定的项目目的为供甲方参考而编制的，并不能用作其他用途。 </w:t>
      </w:r>
    </w:p>
    <w:p w14:paraId="2405B457">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(ii) </w:t>
      </w:r>
    </w:p>
    <w:p w14:paraId="641F9171">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在未事先得到乙方书面同意，甲方不得向任何第三方提供或披露项目提交物或其任何部分的内容，或与任何第三方分享。乙方有权自行决定是否给予此等书面同意以及此等书面同意的前提条件（包括接受披露方须承担保密义务以及无权依赖本 </w:t>
      </w:r>
    </w:p>
    <w:p w14:paraId="6825B38B">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项目提交物等）。乙方不对任何第三方承担任何责任（包括但不限于疏忽引致的责任）。</w:t>
      </w:r>
    </w:p>
    <w:p w14:paraId="4272A495">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(iii) 除此之外，乙方向甲方提供的任何口头解答同样受本条款保密限制的约束，乙方并不承担与该等口头解答相关的任何义务或责任（包括但不限于疏忽引起的责任）。 </w:t>
      </w:r>
    </w:p>
    <w:p w14:paraId="7CE3377E">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（iv）除了甲方对乙方项目递交物的内部使用外，若甲方希 </w:t>
      </w:r>
    </w:p>
    <w:p w14:paraId="1B08111B">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望将项目递交物（或项目递交物的任何部分)以任何文档形式（包括电子格式或其它媒体)公开或复制，或除此之外在任何包含其它信息的文档（包括除了内部报告、文章和通讯的电子格式或其它媒体)中引述乙方的名称，甲方应在作上述公布、复制或引述前（1)向乙方提交甲方所希望发布的文档的草稿和（2)取得乙方对上述公布、复制或引述的许可。 </w:t>
      </w:r>
    </w:p>
    <w:p w14:paraId="7A2F5D18">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7.不可抗力：除甲方对乙方的付款义务以外，任何一方对 </w:t>
      </w:r>
    </w:p>
    <w:p w14:paraId="2F971EA5">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其可以合理控制之外的任何情况或因素而导致的延误不承担责任，包括但不限于火灾、疫症或其他意外事故、自然灾害、罢工或劳资纠纷、战争或其他暴乱，或任何法律、法规及政府机构和有权部门的要求等。 </w:t>
      </w:r>
    </w:p>
    <w:p w14:paraId="7723B5EA">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8.反洗钱条款：如果乙方在提供本合同项下服务的过程中 </w:t>
      </w:r>
    </w:p>
    <w:p w14:paraId="66055BC9">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怀疑有任何洗钱、贿赂或其他犯罪行为（无论该行为是涉及甲方、甲方的代理方或任何第三方），乙方可能需要向有关部门报告。按照任何适用法律、法规、规章或有关部门的限制，甲方同意并理解乙方可能无法通知甲方或向甲方披露任何信息。 </w:t>
      </w:r>
    </w:p>
    <w:p w14:paraId="14F29E2C">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9．时效：任何因本合同所引起的或与之有关的任何形式的 </w:t>
      </w:r>
    </w:p>
    <w:p w14:paraId="35981A85">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法律行动均应于诉因产生后的 3 年内提出。但因一方不履行付款义务所引起的法律行动，另一方可于最后一笔应收款项到期之日起3年内提出。 </w:t>
      </w:r>
    </w:p>
    <w:p w14:paraId="1660EBF6">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10.独立订约人：双方理解并同意各方乃独立订约人，任何 </w:t>
      </w:r>
    </w:p>
    <w:p w14:paraId="4227F69C">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一方均不是亦不应被当作另一方的代理人、分销商或代表。任何一方亦不能以明示或默示方式表示或在行为上作为另一方的代理人，或以任何方式以另一方的名义承担或创造任何义务。 </w:t>
      </w:r>
    </w:p>
    <w:p w14:paraId="1CD23F59">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11.效力：本附件的任何条款在本合同到期或终止后仍然有 </w:t>
      </w:r>
    </w:p>
    <w:p w14:paraId="30BD10A9">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效。 </w:t>
      </w:r>
    </w:p>
    <w:p w14:paraId="212B4CA7">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12.转让：本合同仅在乙方和甲方之间订立，且不可转让。履行本合同之目的，乙方在其需要时可能使用其他分包商所提供 </w:t>
      </w:r>
    </w:p>
    <w:p w14:paraId="46807284">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的服务。 </w:t>
      </w:r>
    </w:p>
    <w:p w14:paraId="014589B7">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13.完整协议：本附件、本附件所附属的合同及其他附件，构成甲方与乙方之间就乙方提供本约定服务的完整协议，并取替 </w:t>
      </w:r>
    </w:p>
    <w:p w14:paraId="7F1E6BA1">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先前双方可能存在的关于本约定服务的任何口头或书面的协议、陈述或保证。 </w:t>
      </w:r>
    </w:p>
    <w:p w14:paraId="069D765D">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14. 适用法律及争议解决：本合同的所有方面均应适用中华人民共和国法律进行解释并受其约束。因合同所引起的或与其有关的任何争议（包括关于本合同之存在、效力或终止，或条款无效之后果等争议)，均应提交予位于甲方所在地有管辖权的 </w:t>
      </w:r>
    </w:p>
    <w:p w14:paraId="2ACF873C">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法院进行诉讼解决。 </w:t>
      </w:r>
    </w:p>
    <w:p w14:paraId="40E48C0B">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 xml:space="preserve">15.约定书：在本通用商业条款中所使用之“合同”是指甲 </w:t>
      </w:r>
    </w:p>
    <w:p w14:paraId="2EE0F4EA">
      <w:pPr>
        <w:keepNext w:val="0"/>
        <w:keepLines w:val="0"/>
        <w:widowControl/>
        <w:suppressLineNumbers w:val="0"/>
        <w:jc w:val="left"/>
        <w:rPr>
          <w:color w:val="auto"/>
        </w:rPr>
      </w:pPr>
      <w:r>
        <w:rPr>
          <w:rFonts w:hint="eastAsia" w:ascii="仿宋_GB2312" w:hAnsi="宋体" w:eastAsia="仿宋_GB2312" w:cs="仿宋_GB2312"/>
          <w:color w:val="auto"/>
          <w:kern w:val="0"/>
          <w:sz w:val="31"/>
          <w:szCs w:val="31"/>
          <w:lang w:val="en-US" w:eastAsia="zh-CN" w:bidi="ar"/>
        </w:rPr>
        <w:t>方聘请乙方提供约定的专业服务或工作的合同。本附件所列述的通用商业条款（包括对此等通用商业条款的修改）是合同不可分割的附件。</w:t>
      </w:r>
    </w:p>
    <w:p w14:paraId="2F7B5B34">
      <w:pPr>
        <w:pStyle w:val="11"/>
        <w:spacing w:line="560" w:lineRule="exact"/>
        <w:ind w:left="0" w:firstLine="0" w:firstLineChars="0"/>
        <w:jc w:val="both"/>
        <w:rPr>
          <w:rFonts w:hint="eastAsia" w:ascii="黑体" w:hAnsi="黑体" w:eastAsia="黑体" w:cs="黑体"/>
          <w:bCs/>
          <w:color w:val="auto"/>
          <w:sz w:val="32"/>
          <w:szCs w:val="32"/>
          <w:highlight w:val="none"/>
          <w:lang w:val="en-US" w:eastAsia="zh-CN"/>
        </w:rPr>
      </w:pPr>
    </w:p>
    <w:p w14:paraId="3E3D641F">
      <w:pPr>
        <w:pStyle w:val="11"/>
        <w:spacing w:afterLines="0" w:line="560" w:lineRule="exact"/>
        <w:ind w:left="0" w:firstLine="0" w:firstLineChars="0"/>
        <w:jc w:val="center"/>
        <w:rPr>
          <w:rFonts w:hint="eastAsia" w:ascii="黑体" w:hAnsi="黑体" w:eastAsia="黑体" w:cs="黑体"/>
          <w:bCs/>
          <w:color w:val="auto"/>
          <w:sz w:val="32"/>
          <w:szCs w:val="32"/>
          <w:highlight w:val="none"/>
          <w:lang w:val="en-US" w:eastAsia="zh-CN"/>
        </w:rPr>
      </w:pPr>
    </w:p>
    <w:p w14:paraId="3A5B7130">
      <w:pPr>
        <w:spacing w:before="93" w:beforeLines="30" w:after="93" w:afterLines="30" w:line="360" w:lineRule="exact"/>
        <w:ind w:firstLine="440"/>
        <w:rPr>
          <w:rFonts w:hint="eastAsia" w:cs="仿宋"/>
          <w:color w:val="auto"/>
          <w:kern w:val="0"/>
          <w:sz w:val="22"/>
        </w:rPr>
        <w:sectPr>
          <w:headerReference r:id="rId12" w:type="default"/>
          <w:footerReference r:id="rId13" w:type="default"/>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97"/>
    <w:p w14:paraId="6D48CF6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第六章  </w:t>
      </w:r>
      <w:r>
        <w:rPr>
          <w:rFonts w:hint="eastAsia" w:asciiTheme="minorEastAsia" w:hAnsiTheme="minorEastAsia" w:eastAsiaTheme="minorEastAsia" w:cstheme="minorEastAsia"/>
          <w:b/>
          <w:color w:val="auto"/>
          <w:sz w:val="21"/>
          <w:szCs w:val="21"/>
          <w:lang w:eastAsia="zh-CN"/>
        </w:rPr>
        <w:t>响应文件</w:t>
      </w:r>
      <w:r>
        <w:rPr>
          <w:rFonts w:hint="eastAsia" w:asciiTheme="minorEastAsia" w:hAnsiTheme="minorEastAsia" w:eastAsiaTheme="minorEastAsia" w:cstheme="minorEastAsia"/>
          <w:b/>
          <w:color w:val="auto"/>
          <w:sz w:val="21"/>
          <w:szCs w:val="21"/>
        </w:rPr>
        <w:t>格式及附件</w:t>
      </w:r>
    </w:p>
    <w:p w14:paraId="7DB92A38">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79F32B26">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 xml:space="preserve">格式1:                </w:t>
      </w:r>
      <w:r>
        <w:rPr>
          <w:rFonts w:hint="eastAsia" w:asciiTheme="minorEastAsia" w:hAnsiTheme="minorEastAsia" w:eastAsiaTheme="minorEastAsia" w:cstheme="minorEastAsia"/>
          <w:b/>
          <w:color w:val="auto"/>
          <w:sz w:val="21"/>
          <w:szCs w:val="21"/>
          <w:lang w:val="en-US" w:eastAsia="zh-CN"/>
        </w:rPr>
        <w:t xml:space="preserve">           响 应</w:t>
      </w:r>
      <w:r>
        <w:rPr>
          <w:rFonts w:hint="eastAsia" w:asciiTheme="minorEastAsia" w:hAnsiTheme="minorEastAsia" w:eastAsiaTheme="minorEastAsia" w:cstheme="minorEastAsia"/>
          <w:b/>
          <w:color w:val="auto"/>
          <w:sz w:val="21"/>
          <w:szCs w:val="21"/>
        </w:rPr>
        <w:t xml:space="preserve"> 声 明 函</w:t>
      </w:r>
    </w:p>
    <w:p w14:paraId="14CCDB4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14:paraId="2EA9DDE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致：</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i/>
          <w:iCs/>
          <w:color w:val="auto"/>
          <w:sz w:val="21"/>
          <w:szCs w:val="21"/>
          <w:u w:val="single"/>
          <w:lang w:val="en-US" w:eastAsia="zh-CN"/>
        </w:rPr>
        <w:t>采购人）</w:t>
      </w:r>
    </w:p>
    <w:p w14:paraId="28F6147C">
      <w:pPr>
        <w:pStyle w:val="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根据贵方</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u w:val="single"/>
        </w:rPr>
        <w:t>项目名称）</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项目（项目编号（分包号）：</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lang w:eastAsia="zh-CN"/>
        </w:rPr>
        <w:t>比选公告</w:t>
      </w:r>
      <w:r>
        <w:rPr>
          <w:rFonts w:hint="eastAsia" w:asciiTheme="minorEastAsia" w:hAnsiTheme="minorEastAsia" w:eastAsiaTheme="minorEastAsia" w:cstheme="minorEastAsia"/>
          <w:bCs/>
          <w:color w:val="auto"/>
          <w:sz w:val="21"/>
          <w:szCs w:val="21"/>
        </w:rPr>
        <w:t>，本签字代表</w:t>
      </w:r>
      <w:r>
        <w:rPr>
          <w:rFonts w:hint="eastAsia" w:asciiTheme="minorEastAsia" w:hAnsiTheme="minorEastAsia" w:eastAsiaTheme="minorEastAsia" w:cstheme="minorEastAsia"/>
          <w:bCs/>
          <w:color w:val="auto"/>
          <w:sz w:val="21"/>
          <w:szCs w:val="21"/>
          <w:u w:val="single"/>
        </w:rPr>
        <w:t>（全名、职务）</w:t>
      </w:r>
      <w:r>
        <w:rPr>
          <w:rFonts w:hint="eastAsia" w:asciiTheme="minorEastAsia" w:hAnsiTheme="minorEastAsia" w:eastAsiaTheme="minorEastAsia" w:cstheme="minorEastAsia"/>
          <w:bCs/>
          <w:color w:val="auto"/>
          <w:sz w:val="21"/>
          <w:szCs w:val="21"/>
        </w:rPr>
        <w:t>代表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u w:val="single"/>
        </w:rPr>
        <w:t>（</w:t>
      </w:r>
      <w:r>
        <w:rPr>
          <w:rFonts w:hint="eastAsia" w:asciiTheme="minorEastAsia" w:hAnsiTheme="minorEastAsia" w:eastAsiaTheme="minorEastAsia" w:cstheme="minorEastAsia"/>
          <w:bCs/>
          <w:color w:val="auto"/>
          <w:sz w:val="21"/>
          <w:szCs w:val="21"/>
          <w:u w:val="single"/>
          <w:lang w:eastAsia="zh-CN"/>
        </w:rPr>
        <w:t>供应商</w:t>
      </w:r>
      <w:r>
        <w:rPr>
          <w:rFonts w:hint="eastAsia" w:asciiTheme="minorEastAsia" w:hAnsiTheme="minorEastAsia" w:eastAsiaTheme="minorEastAsia" w:cstheme="minorEastAsia"/>
          <w:bCs/>
          <w:color w:val="auto"/>
          <w:sz w:val="21"/>
          <w:szCs w:val="21"/>
          <w:u w:val="single"/>
        </w:rPr>
        <w:t>单位名称、地址）</w:t>
      </w:r>
      <w:r>
        <w:rPr>
          <w:rFonts w:hint="eastAsia" w:asciiTheme="minorEastAsia" w:hAnsiTheme="minorEastAsia" w:eastAsiaTheme="minorEastAsia" w:cstheme="minorEastAsia"/>
          <w:bCs/>
          <w:color w:val="auto"/>
          <w:sz w:val="21"/>
          <w:szCs w:val="21"/>
        </w:rPr>
        <w:t>提交下述文件正本一份和副本</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份及电子版U盘一个。</w:t>
      </w:r>
    </w:p>
    <w:p w14:paraId="4B2EA72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据此函，签字代表承诺如下内容（本承诺内容为</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基本要求，如不满足或有缺漏项的，视为</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无效）：</w:t>
      </w:r>
    </w:p>
    <w:p w14:paraId="0F5EFD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1、我们愿意遵守采购比选文件中的各项规定，提供符合采购比选文件所要求的各项服务。</w:t>
      </w:r>
    </w:p>
    <w:p w14:paraId="13D8E6B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2、我们同意本响应文件自响应文件接收截止日起90天内有效。</w:t>
      </w:r>
    </w:p>
    <w:p w14:paraId="512B98B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3、我们已经详细地阅读了全部采购比选文件及附件，包括澄清及参考文件（若有），我们完全理解并同意放弃对这方面有不明及误解的权利。</w:t>
      </w:r>
    </w:p>
    <w:p w14:paraId="5665A24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Cs w:val="21"/>
        </w:rPr>
        <w:t>4.我们同意按贵司的要求提供有关资料，并保证真实性。</w:t>
      </w:r>
      <w:r>
        <w:rPr>
          <w:rFonts w:hint="eastAsia" w:asciiTheme="minorEastAsia" w:hAnsiTheme="minorEastAsia" w:eastAsiaTheme="minorEastAsia" w:cstheme="minorEastAsia"/>
          <w:bCs/>
          <w:color w:val="auto"/>
          <w:sz w:val="21"/>
          <w:szCs w:val="21"/>
        </w:rPr>
        <w:t xml:space="preserve">     </w:t>
      </w:r>
    </w:p>
    <w:p w14:paraId="1EDA19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14:paraId="7BAB7B4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代表签字：                 </w:t>
      </w:r>
    </w:p>
    <w:p w14:paraId="54C1D8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（全称并加盖公章）：            </w:t>
      </w:r>
    </w:p>
    <w:p w14:paraId="49C32E4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 w:val="21"/>
          <w:szCs w:val="21"/>
        </w:rPr>
        <w:t>日  期：</w:t>
      </w:r>
    </w:p>
    <w:p w14:paraId="1C054784">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006251DD">
      <w:pPr>
        <w:pStyle w:val="10"/>
        <w:rPr>
          <w:rFonts w:hint="eastAsia"/>
          <w:color w:val="auto"/>
        </w:rPr>
      </w:pPr>
    </w:p>
    <w:p w14:paraId="198674AE">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color w:val="auto"/>
          <w:sz w:val="21"/>
          <w:szCs w:val="21"/>
        </w:rPr>
        <w:t>格式2:</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bCs w:val="0"/>
          <w:color w:val="auto"/>
          <w:sz w:val="21"/>
          <w:szCs w:val="21"/>
        </w:rPr>
        <w:t>开标一览表</w:t>
      </w:r>
    </w:p>
    <w:p w14:paraId="75177E19">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项目名称：                             项目编号（分包号）：</w:t>
      </w:r>
    </w:p>
    <w:tbl>
      <w:tblPr>
        <w:tblStyle w:val="1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14:paraId="7D30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14:paraId="680CCDE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总价(小写)（元）</w:t>
            </w:r>
          </w:p>
        </w:tc>
        <w:tc>
          <w:tcPr>
            <w:tcW w:w="2823" w:type="dxa"/>
            <w:noWrap/>
            <w:vAlign w:val="center"/>
          </w:tcPr>
          <w:p w14:paraId="69671EA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服务期限</w:t>
            </w:r>
          </w:p>
        </w:tc>
        <w:tc>
          <w:tcPr>
            <w:tcW w:w="1527" w:type="dxa"/>
            <w:noWrap/>
            <w:vAlign w:val="center"/>
          </w:tcPr>
          <w:p w14:paraId="634E2362">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响应有效期</w:t>
            </w:r>
          </w:p>
        </w:tc>
      </w:tr>
      <w:tr w14:paraId="429F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14:paraId="143C6FB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2823" w:type="dxa"/>
            <w:noWrap/>
          </w:tcPr>
          <w:p w14:paraId="509BF03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527" w:type="dxa"/>
            <w:noWrap/>
          </w:tcPr>
          <w:p w14:paraId="12BF5218">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highlight w:val="none"/>
                <w:lang w:val="en-US" w:eastAsia="zh-CN"/>
              </w:rPr>
              <w:t>90天</w:t>
            </w:r>
          </w:p>
        </w:tc>
      </w:tr>
      <w:tr w14:paraId="2A4F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14:paraId="324C5521">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总价（大写）：</w:t>
            </w:r>
          </w:p>
        </w:tc>
      </w:tr>
      <w:tr w14:paraId="1D38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noWrap/>
            <w:vAlign w:val="bottom"/>
          </w:tcPr>
          <w:p w14:paraId="7915E8AD">
            <w:pPr>
              <w:pStyle w:val="6"/>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是否为符合条件的小微型企业:是（   ）；否（   ）</w:t>
            </w:r>
          </w:p>
        </w:tc>
      </w:tr>
      <w:tr w14:paraId="41CB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14:paraId="273B5EC7">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是否监狱企业参加采购活动：是（   ）；否（   ）</w:t>
            </w:r>
          </w:p>
        </w:tc>
      </w:tr>
      <w:tr w14:paraId="6AFB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14:paraId="28A9ADF4">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是否为符合条件的残疾人福利性单位：是（   ）；否（   ）</w:t>
            </w:r>
          </w:p>
        </w:tc>
      </w:tr>
      <w:tr w14:paraId="6680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14:paraId="664EDFD8">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备注：（其他需要说明的情形）</w:t>
            </w:r>
          </w:p>
        </w:tc>
      </w:tr>
    </w:tbl>
    <w:p w14:paraId="68689A29">
      <w:pPr>
        <w:pageBreakBefore w:val="0"/>
        <w:widowControl w:val="0"/>
        <w:kinsoku/>
        <w:wordWrap/>
        <w:overflowPunct/>
        <w:topLinePunct w:val="0"/>
        <w:autoSpaceDE/>
        <w:autoSpaceDN/>
        <w:bidi w:val="0"/>
        <w:adjustRightInd w:val="0"/>
        <w:snapToGrid w:val="0"/>
        <w:spacing w:line="360" w:lineRule="auto"/>
        <w:ind w:firstLine="560"/>
        <w:textAlignment w:val="auto"/>
        <w:rPr>
          <w:rFonts w:asciiTheme="minorEastAsia" w:hAnsiTheme="minorEastAsia" w:eastAsiaTheme="minorEastAsia" w:cstheme="minorEastAsia"/>
          <w:bCs/>
          <w:color w:val="auto"/>
          <w:sz w:val="21"/>
          <w:szCs w:val="21"/>
        </w:rPr>
      </w:pPr>
    </w:p>
    <w:p w14:paraId="15A7CB84">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14:paraId="51DB4D05">
      <w:pPr>
        <w:pStyle w:val="6"/>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14:paraId="45F39B1A">
      <w:pPr>
        <w:pStyle w:val="6"/>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代表签名：                日期：  </w:t>
      </w:r>
    </w:p>
    <w:p w14:paraId="3B9D622D">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格式3:</w:t>
      </w:r>
      <w:r>
        <w:rPr>
          <w:rFonts w:hint="eastAsia" w:ascii="宋体" w:hAnsi="宋体" w:eastAsia="宋体" w:cs="宋体"/>
          <w:bCs/>
          <w:color w:val="auto"/>
          <w:kern w:val="2"/>
          <w:sz w:val="21"/>
          <w:szCs w:val="21"/>
          <w:lang w:val="en-US" w:eastAsia="zh-CN" w:bidi="ar-SA"/>
        </w:rPr>
        <w:t xml:space="preserve">                            </w:t>
      </w:r>
      <w:r>
        <w:rPr>
          <w:rFonts w:hint="eastAsia" w:ascii="宋体" w:hAnsi="宋体" w:cs="宋体"/>
          <w:b/>
          <w:bCs w:val="0"/>
          <w:color w:val="auto"/>
          <w:kern w:val="2"/>
          <w:sz w:val="21"/>
          <w:szCs w:val="21"/>
          <w:lang w:val="en-US" w:eastAsia="zh-CN" w:bidi="ar-SA"/>
        </w:rPr>
        <w:t>响应报价</w:t>
      </w:r>
      <w:r>
        <w:rPr>
          <w:rFonts w:hint="eastAsia" w:ascii="宋体" w:hAnsi="宋体" w:eastAsia="宋体" w:cs="宋体"/>
          <w:b/>
          <w:bCs w:val="0"/>
          <w:color w:val="auto"/>
          <w:kern w:val="2"/>
          <w:sz w:val="21"/>
          <w:szCs w:val="21"/>
          <w:lang w:val="en-US" w:eastAsia="zh-CN" w:bidi="ar-SA"/>
        </w:rPr>
        <w:t>明细表</w:t>
      </w:r>
    </w:p>
    <w:p w14:paraId="7D0B4645">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项目名称：                         项目编号（分包号）∶ </w:t>
      </w:r>
    </w:p>
    <w:tbl>
      <w:tblPr>
        <w:tblStyle w:val="18"/>
        <w:tblpPr w:leftFromText="180" w:rightFromText="180" w:vertAnchor="text" w:horzAnchor="page" w:tblpX="1885" w:tblpY="376"/>
        <w:tblOverlap w:val="never"/>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1093"/>
      </w:tblGrid>
      <w:tr w14:paraId="696D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5F364EAA">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14:paraId="689D017F">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14:paraId="7C252F0C">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14:paraId="3CA2BC10">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14:paraId="56283FC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单项总价</w:t>
            </w:r>
          </w:p>
        </w:tc>
        <w:tc>
          <w:tcPr>
            <w:tcW w:w="1093" w:type="dxa"/>
            <w:tcBorders>
              <w:top w:val="single" w:color="auto" w:sz="4" w:space="0"/>
              <w:left w:val="single" w:color="auto" w:sz="4" w:space="0"/>
              <w:bottom w:val="single" w:color="auto" w:sz="4" w:space="0"/>
              <w:right w:val="single" w:color="auto" w:sz="4" w:space="0"/>
            </w:tcBorders>
            <w:noWrap/>
            <w:vAlign w:val="center"/>
          </w:tcPr>
          <w:p w14:paraId="4BEF3602">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14:paraId="583C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3852663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14:paraId="0F34180A">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73EB34BD">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F81E23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63A8F463">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61E07234">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78FB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7CF7A3C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14:paraId="11A4F698">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3B5DEAA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FDF66C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7F867F9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028BD51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0A7E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37927236">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14:paraId="45B46DB9">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15C7808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53746C7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47454E5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143368F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42D5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19632DCB">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14:paraId="5A9EF5DF">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1390A173">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24B463F">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31AB8712">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5906F497">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1755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74" w:type="dxa"/>
            <w:gridSpan w:val="6"/>
            <w:tcBorders>
              <w:top w:val="single" w:color="auto" w:sz="4" w:space="0"/>
              <w:left w:val="single" w:color="auto" w:sz="4" w:space="0"/>
              <w:bottom w:val="single" w:color="auto" w:sz="4" w:space="0"/>
              <w:right w:val="single" w:color="auto" w:sz="4" w:space="0"/>
            </w:tcBorders>
            <w:noWrap/>
            <w:vAlign w:val="center"/>
          </w:tcPr>
          <w:p w14:paraId="6C199DDB">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总价（大小写）：</w:t>
            </w:r>
          </w:p>
        </w:tc>
      </w:tr>
    </w:tbl>
    <w:p w14:paraId="6B8AC709">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p>
    <w:p w14:paraId="75AFA013">
      <w:pPr>
        <w:pStyle w:val="6"/>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14:paraId="138D5F0F">
      <w:pPr>
        <w:pStyle w:val="6"/>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14:paraId="242C9AEE">
      <w:pPr>
        <w:pStyle w:val="6"/>
        <w:pageBreakBefore w:val="0"/>
        <w:wordWrap/>
        <w:topLinePunct w:val="0"/>
        <w:bidi w:val="0"/>
        <w:adjustRightInd w:val="0"/>
        <w:snapToGrid w:val="0"/>
        <w:spacing w:line="360" w:lineRule="auto"/>
        <w:ind w:firstLine="210" w:firstLineChars="100"/>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代表签名：                日期：</w:t>
      </w:r>
    </w:p>
    <w:p w14:paraId="45A468DF">
      <w:pPr>
        <w:pStyle w:val="10"/>
        <w:rPr>
          <w:rFonts w:hint="eastAsia"/>
          <w:color w:val="auto"/>
        </w:rPr>
      </w:pPr>
    </w:p>
    <w:p w14:paraId="0F4FE1D3">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格式4：</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法定代表人授权委托书</w:t>
      </w:r>
    </w:p>
    <w:p w14:paraId="2550C177">
      <w:pPr>
        <w:jc w:val="center"/>
        <w:rPr>
          <w:color w:val="auto"/>
        </w:rPr>
      </w:pPr>
      <w:r>
        <w:rPr>
          <w:rFonts w:hint="eastAsia"/>
          <w:color w:val="auto"/>
        </w:rPr>
        <w:t>法定代表人授权委托书</w:t>
      </w:r>
    </w:p>
    <w:p w14:paraId="3D030DFD">
      <w:pPr>
        <w:rPr>
          <w:color w:val="auto"/>
        </w:rPr>
      </w:pPr>
    </w:p>
    <w:p w14:paraId="716CABD5">
      <w:pPr>
        <w:rPr>
          <w:color w:val="auto"/>
        </w:rPr>
      </w:pPr>
      <w:r>
        <w:rPr>
          <w:rFonts w:hint="eastAsia"/>
          <w:color w:val="auto"/>
          <w:u w:val="single"/>
        </w:rPr>
        <w:t xml:space="preserve">     （供应商名称）     </w:t>
      </w:r>
      <w:r>
        <w:rPr>
          <w:rFonts w:hint="eastAsia"/>
          <w:color w:val="auto"/>
        </w:rPr>
        <w:t>法定代表人授权我司员工</w:t>
      </w:r>
      <w:r>
        <w:rPr>
          <w:rFonts w:hint="eastAsia"/>
          <w:color w:val="auto"/>
          <w:lang w:val="en-US" w:eastAsia="zh-CN"/>
        </w:rPr>
        <w:t xml:space="preserve">      </w:t>
      </w:r>
      <w:r>
        <w:rPr>
          <w:rFonts w:hint="eastAsia"/>
          <w:color w:val="auto"/>
        </w:rPr>
        <w:t>全权负责项目的一切相关事宜。本授权书于_______年_____月_____日签字生效，特此声明。</w:t>
      </w:r>
    </w:p>
    <w:p w14:paraId="157637F1">
      <w:pPr>
        <w:rPr>
          <w:color w:val="auto"/>
        </w:rPr>
      </w:pPr>
    </w:p>
    <w:p w14:paraId="0D643105">
      <w:pPr>
        <w:rPr>
          <w:color w:val="auto"/>
        </w:rPr>
      </w:pPr>
    </w:p>
    <w:p w14:paraId="3AD32DAC">
      <w:pPr>
        <w:rPr>
          <w:color w:val="auto"/>
        </w:rPr>
      </w:pPr>
    </w:p>
    <w:p w14:paraId="5583884D">
      <w:pPr>
        <w:rPr>
          <w:color w:val="auto"/>
        </w:rPr>
      </w:pPr>
      <w:r>
        <w:rPr>
          <w:rFonts w:hint="eastAsia"/>
          <w:color w:val="auto"/>
        </w:rPr>
        <w:t xml:space="preserve">供应商（公章）：                                                         </w:t>
      </w:r>
    </w:p>
    <w:p w14:paraId="6D91F4A0">
      <w:pPr>
        <w:rPr>
          <w:color w:val="auto"/>
        </w:rPr>
      </w:pPr>
      <w:r>
        <w:rPr>
          <w:rFonts w:hint="eastAsia"/>
          <w:color w:val="auto"/>
        </w:rPr>
        <w:t>法定代表人签字：（或法人章）</w:t>
      </w:r>
    </w:p>
    <w:p w14:paraId="2A9E6B73">
      <w:pPr>
        <w:rPr>
          <w:color w:val="auto"/>
        </w:rPr>
      </w:pPr>
      <w:r>
        <w:rPr>
          <w:rFonts w:hint="eastAsia"/>
          <w:color w:val="auto"/>
        </w:rPr>
        <w:t>被授权人签字：</w:t>
      </w:r>
    </w:p>
    <w:p w14:paraId="68401F59">
      <w:pPr>
        <w:pStyle w:val="10"/>
        <w:ind w:left="0" w:leftChars="0" w:firstLine="0" w:firstLineChars="0"/>
        <w:rPr>
          <w:color w:val="auto"/>
        </w:rPr>
      </w:pPr>
    </w:p>
    <w:p w14:paraId="507C7680">
      <w:pPr>
        <w:pStyle w:val="10"/>
        <w:ind w:left="0" w:leftChars="0" w:firstLine="0" w:firstLineChars="0"/>
        <w:rPr>
          <w:color w:val="auto"/>
        </w:rPr>
      </w:pPr>
    </w:p>
    <w:p w14:paraId="3D0D33E3">
      <w:pPr>
        <w:pStyle w:val="10"/>
        <w:ind w:left="0" w:leftChars="0" w:firstLine="0" w:firstLineChars="0"/>
        <w:rPr>
          <w:rFonts w:ascii="宋体" w:hAnsi="宋体" w:eastAsia="宋体" w:cs="宋体"/>
          <w:color w:val="auto"/>
        </w:rPr>
      </w:pPr>
      <w:r>
        <w:rPr>
          <w:rFonts w:hint="eastAsia" w:ascii="宋体" w:hAnsi="宋体" w:eastAsia="宋体" w:cs="宋体"/>
          <w:color w:val="auto"/>
        </w:rPr>
        <w:t>附：法定代表人身份证复印件</w:t>
      </w:r>
    </w:p>
    <w:p w14:paraId="6CA3319B">
      <w:pPr>
        <w:pStyle w:val="10"/>
        <w:ind w:left="0" w:leftChars="0" w:firstLine="0" w:firstLineChars="0"/>
        <w:rPr>
          <w:rFonts w:hint="eastAsia" w:ascii="Times New Roman" w:hAnsi="Times New Roman" w:eastAsia="宋体" w:cs="Times New Roman"/>
          <w:color w:val="auto"/>
          <w:szCs w:val="24"/>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宋体" w:cs="Times New Roman"/>
          <w:color w:val="auto"/>
          <w:szCs w:val="24"/>
        </w:rPr>
        <w:t>授权委托人身份证复印件</w:t>
      </w:r>
    </w:p>
    <w:p w14:paraId="7C5B286A">
      <w:pPr>
        <w:pStyle w:val="33"/>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格式5：</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法定代表人身份证明书</w:t>
      </w:r>
    </w:p>
    <w:p w14:paraId="44AA0D24">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法定代表人身份证明书</w:t>
      </w:r>
    </w:p>
    <w:p w14:paraId="65317CB0">
      <w:pPr>
        <w:adjustRightInd w:val="0"/>
        <w:snapToGrid w:val="0"/>
        <w:spacing w:line="360" w:lineRule="auto"/>
        <w:rPr>
          <w:rFonts w:asciiTheme="minorEastAsia" w:hAnsiTheme="minorEastAsia" w:eastAsiaTheme="minorEastAsia" w:cstheme="minorEastAsia"/>
          <w:bCs/>
          <w:color w:val="auto"/>
          <w:szCs w:val="21"/>
        </w:rPr>
      </w:pPr>
    </w:p>
    <w:p w14:paraId="735CEF4B">
      <w:pPr>
        <w:adjustRightInd w:val="0"/>
        <w:snapToGrid w:val="0"/>
        <w:spacing w:line="360" w:lineRule="auto"/>
        <w:rPr>
          <w:rFonts w:hint="default" w:asciiTheme="minorEastAsia" w:hAnsiTheme="minorEastAsia" w:eastAsiaTheme="minorEastAsia" w:cstheme="minorEastAsia"/>
          <w:bCs/>
          <w:color w:val="auto"/>
          <w:szCs w:val="21"/>
          <w:u w:val="single"/>
          <w:lang w:val="en-US" w:eastAsia="zh-CN"/>
        </w:rPr>
      </w:pPr>
      <w:r>
        <w:rPr>
          <w:rFonts w:hint="eastAsia" w:asciiTheme="minorEastAsia" w:hAnsiTheme="minorEastAsia" w:eastAsiaTheme="minorEastAsia" w:cstheme="minorEastAsia"/>
          <w:bCs/>
          <w:color w:val="auto"/>
          <w:szCs w:val="21"/>
        </w:rPr>
        <w:t>姓    名：性别：</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年龄：</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职务：</w:t>
      </w:r>
      <w:r>
        <w:rPr>
          <w:rFonts w:hint="eastAsia" w:asciiTheme="minorEastAsia" w:hAnsiTheme="minorEastAsia" w:eastAsiaTheme="minorEastAsia" w:cstheme="minorEastAsia"/>
          <w:bCs/>
          <w:color w:val="auto"/>
          <w:szCs w:val="21"/>
          <w:lang w:val="en-US" w:eastAsia="zh-CN"/>
        </w:rPr>
        <w:t xml:space="preserve">    </w:t>
      </w:r>
    </w:p>
    <w:p w14:paraId="664596E9">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系</w:t>
      </w:r>
      <w:r>
        <w:rPr>
          <w:rFonts w:hint="eastAsia" w:asciiTheme="minorEastAsia" w:hAnsiTheme="minorEastAsia" w:eastAsiaTheme="minorEastAsia" w:cstheme="minorEastAsia"/>
          <w:bCs/>
          <w:color w:val="auto"/>
          <w:szCs w:val="21"/>
          <w:u w:val="single"/>
        </w:rPr>
        <w:t xml:space="preserve">    （供应商名称） </w:t>
      </w:r>
      <w:r>
        <w:rPr>
          <w:rFonts w:hint="eastAsia" w:asciiTheme="minorEastAsia" w:hAnsiTheme="minorEastAsia" w:eastAsiaTheme="minorEastAsia" w:cstheme="minorEastAsia"/>
          <w:bCs/>
          <w:color w:val="auto"/>
          <w:szCs w:val="21"/>
          <w:u w:val="single"/>
          <w:lang w:val="en-US" w:eastAsia="zh-CN"/>
        </w:rPr>
        <w:t xml:space="preserve"> </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的法定代表人。</w:t>
      </w:r>
    </w:p>
    <w:p w14:paraId="4C47725A">
      <w:pPr>
        <w:adjustRightInd w:val="0"/>
        <w:snapToGrid w:val="0"/>
        <w:spacing w:line="360" w:lineRule="auto"/>
        <w:rPr>
          <w:rFonts w:asciiTheme="minorEastAsia" w:hAnsiTheme="minorEastAsia" w:eastAsiaTheme="minorEastAsia" w:cstheme="minorEastAsia"/>
          <w:bCs/>
          <w:color w:val="auto"/>
          <w:szCs w:val="21"/>
        </w:rPr>
      </w:pPr>
    </w:p>
    <w:p w14:paraId="32475F09">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特此证明。</w:t>
      </w:r>
    </w:p>
    <w:p w14:paraId="127B7B4F">
      <w:pPr>
        <w:adjustRightInd w:val="0"/>
        <w:snapToGrid w:val="0"/>
        <w:spacing w:line="360" w:lineRule="auto"/>
        <w:rPr>
          <w:rFonts w:asciiTheme="minorEastAsia" w:hAnsiTheme="minorEastAsia" w:eastAsiaTheme="minorEastAsia" w:cstheme="minorEastAsia"/>
          <w:bCs/>
          <w:color w:val="auto"/>
          <w:szCs w:val="21"/>
        </w:rPr>
      </w:pPr>
    </w:p>
    <w:p w14:paraId="3B4219D4">
      <w:pPr>
        <w:adjustRightInd w:val="0"/>
        <w:snapToGrid w:val="0"/>
        <w:spacing w:line="360" w:lineRule="auto"/>
        <w:rPr>
          <w:rFonts w:asciiTheme="minorEastAsia" w:hAnsiTheme="minorEastAsia" w:eastAsiaTheme="minorEastAsia" w:cstheme="minorEastAsia"/>
          <w:bCs/>
          <w:color w:val="auto"/>
          <w:szCs w:val="21"/>
        </w:rPr>
      </w:pPr>
    </w:p>
    <w:p w14:paraId="448BF8E9">
      <w:pPr>
        <w:adjustRightInd w:val="0"/>
        <w:snapToGrid w:val="0"/>
        <w:spacing w:line="360" w:lineRule="auto"/>
        <w:rPr>
          <w:rFonts w:asciiTheme="minorEastAsia" w:hAnsiTheme="minorEastAsia" w:eastAsiaTheme="minorEastAsia" w:cstheme="minorEastAsia"/>
          <w:bCs/>
          <w:color w:val="auto"/>
          <w:szCs w:val="21"/>
        </w:rPr>
      </w:pPr>
    </w:p>
    <w:p w14:paraId="1FD2DCB0">
      <w:pPr>
        <w:adjustRightInd w:val="0"/>
        <w:snapToGrid w:val="0"/>
        <w:spacing w:line="360" w:lineRule="auto"/>
        <w:rPr>
          <w:rFonts w:asciiTheme="minorEastAsia" w:hAnsiTheme="minorEastAsia" w:eastAsiaTheme="minorEastAsia" w:cstheme="minorEastAsia"/>
          <w:bCs/>
          <w:color w:val="auto"/>
          <w:szCs w:val="21"/>
        </w:rPr>
      </w:pPr>
    </w:p>
    <w:p w14:paraId="330A3BEC">
      <w:pPr>
        <w:adjustRightInd w:val="0"/>
        <w:snapToGrid w:val="0"/>
        <w:spacing w:line="360" w:lineRule="auto"/>
        <w:rPr>
          <w:rFonts w:asciiTheme="minorEastAsia" w:hAnsiTheme="minorEastAsia" w:eastAsiaTheme="minorEastAsia" w:cstheme="minorEastAsia"/>
          <w:bCs/>
          <w:color w:val="auto"/>
          <w:szCs w:val="21"/>
        </w:rPr>
      </w:pPr>
    </w:p>
    <w:p w14:paraId="5FDC7EC9">
      <w:pPr>
        <w:adjustRightInd w:val="0"/>
        <w:snapToGrid w:val="0"/>
        <w:spacing w:line="360" w:lineRule="auto"/>
        <w:rPr>
          <w:rFonts w:asciiTheme="minorEastAsia" w:hAnsiTheme="minorEastAsia" w:eastAsiaTheme="minorEastAsia" w:cstheme="minorEastAsia"/>
          <w:bCs/>
          <w:color w:val="auto"/>
          <w:szCs w:val="21"/>
        </w:rPr>
      </w:pPr>
    </w:p>
    <w:p w14:paraId="7F911FAF">
      <w:pPr>
        <w:adjustRightInd w:val="0"/>
        <w:snapToGrid w:val="0"/>
        <w:spacing w:line="360" w:lineRule="auto"/>
        <w:rPr>
          <w:rFonts w:asciiTheme="minorEastAsia" w:hAnsiTheme="minorEastAsia" w:eastAsiaTheme="minorEastAsia" w:cstheme="minorEastAsia"/>
          <w:bCs/>
          <w:color w:val="auto"/>
          <w:szCs w:val="21"/>
        </w:rPr>
      </w:pPr>
    </w:p>
    <w:p w14:paraId="13A2704B">
      <w:pPr>
        <w:adjustRightInd w:val="0"/>
        <w:snapToGrid w:val="0"/>
        <w:spacing w:line="360" w:lineRule="auto"/>
        <w:rPr>
          <w:rFonts w:asciiTheme="minorEastAsia" w:hAnsiTheme="minorEastAsia" w:eastAsiaTheme="minorEastAsia" w:cstheme="minorEastAsia"/>
          <w:bCs/>
          <w:color w:val="auto"/>
          <w:szCs w:val="21"/>
        </w:rPr>
      </w:pPr>
    </w:p>
    <w:p w14:paraId="6B4AFC72">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供应商（公章）：                </w:t>
      </w:r>
    </w:p>
    <w:p w14:paraId="7F9B427F">
      <w:pPr>
        <w:adjustRightInd w:val="0"/>
        <w:snapToGrid w:val="0"/>
        <w:spacing w:line="360" w:lineRule="auto"/>
        <w:rPr>
          <w:rFonts w:asciiTheme="minorEastAsia" w:hAnsiTheme="minorEastAsia" w:eastAsiaTheme="minorEastAsia" w:cstheme="minorEastAsia"/>
          <w:bCs/>
          <w:color w:val="auto"/>
          <w:szCs w:val="21"/>
        </w:rPr>
      </w:pPr>
    </w:p>
    <w:p w14:paraId="53B73C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Cs w:val="21"/>
        </w:rPr>
        <w:t xml:space="preserve">日期：  </w:t>
      </w:r>
    </w:p>
    <w:p w14:paraId="3599B6E7">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0ADC45E2">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bCs/>
          <w:color w:val="auto"/>
          <w:spacing w:val="0"/>
          <w:w w:val="100"/>
          <w:position w:val="0"/>
          <w:sz w:val="21"/>
          <w:szCs w:val="21"/>
        </w:rPr>
      </w:pPr>
      <w:r>
        <w:rPr>
          <w:rFonts w:hint="eastAsia" w:ascii="宋体" w:hAnsi="宋体" w:eastAsia="宋体" w:cs="宋体"/>
          <w:b/>
          <w:color w:val="auto"/>
          <w:sz w:val="21"/>
          <w:szCs w:val="21"/>
        </w:rPr>
        <w:t>格式6：</w:t>
      </w:r>
      <w:r>
        <w:rPr>
          <w:rFonts w:hint="eastAsia" w:ascii="宋体" w:hAnsi="宋体" w:eastAsia="宋体" w:cs="宋体"/>
          <w:b/>
          <w:color w:val="auto"/>
          <w:sz w:val="21"/>
          <w:szCs w:val="21"/>
          <w:lang w:val="en-US" w:eastAsia="zh-CN"/>
        </w:rPr>
        <w:t xml:space="preserve">                    </w:t>
      </w:r>
      <w:r>
        <w:rPr>
          <w:rFonts w:hint="eastAsia" w:ascii="宋体" w:hAnsi="宋体" w:eastAsia="宋体" w:cs="宋体"/>
          <w:b/>
          <w:bCs/>
          <w:color w:val="auto"/>
          <w:spacing w:val="0"/>
          <w:w w:val="100"/>
          <w:position w:val="0"/>
          <w:sz w:val="21"/>
          <w:szCs w:val="21"/>
        </w:rPr>
        <w:t>资格承诺函</w:t>
      </w:r>
    </w:p>
    <w:p w14:paraId="38DE15D1">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p>
    <w:p w14:paraId="4E987ACD">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致：</w:t>
      </w:r>
      <w:r>
        <w:rPr>
          <w:rFonts w:hint="eastAsia" w:ascii="宋体" w:hAnsi="宋体" w:eastAsia="宋体" w:cs="宋体"/>
          <w:color w:val="auto"/>
          <w:spacing w:val="0"/>
          <w:w w:val="100"/>
          <w:position w:val="0"/>
          <w:sz w:val="21"/>
          <w:szCs w:val="21"/>
          <w:u w:val="single"/>
        </w:rPr>
        <w:t>（采购人）</w:t>
      </w:r>
    </w:p>
    <w:p w14:paraId="24C55B85">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我单位参与</w:t>
      </w:r>
      <w:r>
        <w:rPr>
          <w:rFonts w:hint="eastAsia" w:ascii="宋体" w:hAnsi="宋体" w:eastAsia="宋体" w:cs="宋体"/>
          <w:color w:val="auto"/>
          <w:spacing w:val="0"/>
          <w:w w:val="100"/>
          <w:position w:val="0"/>
          <w:sz w:val="21"/>
          <w:szCs w:val="21"/>
          <w:u w:val="single"/>
        </w:rPr>
        <w:t>（项目名称）（项目编号</w:t>
      </w:r>
      <w:r>
        <w:rPr>
          <w:rFonts w:hint="eastAsia" w:ascii="宋体" w:hAnsi="宋体" w:eastAsia="宋体" w:cs="宋体"/>
          <w:color w:val="auto"/>
          <w:spacing w:val="0"/>
          <w:w w:val="100"/>
          <w:position w:val="0"/>
          <w:sz w:val="21"/>
          <w:szCs w:val="21"/>
          <w:u w:val="single"/>
          <w:lang w:eastAsia="zh-CN"/>
        </w:rPr>
        <w:t>（分包号）</w:t>
      </w:r>
      <w:r>
        <w:rPr>
          <w:rFonts w:hint="eastAsia" w:ascii="宋体" w:hAnsi="宋体" w:eastAsia="宋体" w:cs="宋体"/>
          <w:color w:val="auto"/>
          <w:spacing w:val="0"/>
          <w:w w:val="100"/>
          <w:position w:val="0"/>
          <w:sz w:val="21"/>
          <w:szCs w:val="21"/>
          <w:u w:val="single"/>
        </w:rPr>
        <w:t>： ）</w:t>
      </w:r>
      <w:r>
        <w:rPr>
          <w:rFonts w:hint="eastAsia" w:ascii="宋体" w:hAnsi="宋体" w:eastAsia="宋体" w:cs="宋体"/>
          <w:color w:val="auto"/>
          <w:spacing w:val="0"/>
          <w:w w:val="100"/>
          <w:position w:val="0"/>
          <w:sz w:val="21"/>
          <w:szCs w:val="21"/>
        </w:rPr>
        <w:t>项目的采购活动，现承诺如下：</w:t>
      </w:r>
    </w:p>
    <w:p w14:paraId="598FA529">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规定的良好的商业信誉和健全</w:t>
      </w:r>
      <w:r>
        <w:rPr>
          <w:rFonts w:hint="eastAsia" w:ascii="宋体" w:hAnsi="宋体" w:eastAsia="宋体" w:cs="宋体"/>
          <w:color w:val="auto"/>
          <w:spacing w:val="0"/>
          <w:w w:val="100"/>
          <w:position w:val="0"/>
          <w:sz w:val="21"/>
          <w:szCs w:val="21"/>
        </w:rPr>
        <w:t>的财务</w:t>
      </w:r>
      <w:r>
        <w:rPr>
          <w:rFonts w:hint="eastAsia" w:ascii="宋体" w:hAnsi="宋体" w:eastAsia="宋体" w:cs="宋体"/>
          <w:color w:val="auto"/>
          <w:spacing w:val="0"/>
          <w:w w:val="100"/>
          <w:position w:val="0"/>
          <w:sz w:val="21"/>
          <w:szCs w:val="21"/>
          <w:lang w:eastAsia="zh-CN"/>
        </w:rPr>
        <w:t>会计制度</w:t>
      </w:r>
      <w:r>
        <w:rPr>
          <w:rFonts w:hint="eastAsia" w:ascii="宋体" w:hAnsi="宋体" w:eastAsia="宋体" w:cs="宋体"/>
          <w:color w:val="auto"/>
          <w:spacing w:val="0"/>
          <w:w w:val="100"/>
          <w:position w:val="0"/>
          <w:sz w:val="21"/>
          <w:szCs w:val="21"/>
        </w:rPr>
        <w:t>。</w:t>
      </w:r>
    </w:p>
    <w:p w14:paraId="1980E1A0">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2.我单位具有</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w:t>
      </w:r>
      <w:r>
        <w:rPr>
          <w:rFonts w:hint="eastAsia" w:ascii="宋体" w:hAnsi="宋体" w:eastAsia="宋体" w:cs="宋体"/>
          <w:color w:val="auto"/>
          <w:spacing w:val="0"/>
          <w:w w:val="100"/>
          <w:position w:val="0"/>
          <w:sz w:val="21"/>
          <w:szCs w:val="21"/>
          <w:lang w:val="en-US" w:eastAsia="zh-CN"/>
        </w:rPr>
        <w:t>履行合同所必需的设备和专业技术能力。</w:t>
      </w:r>
    </w:p>
    <w:p w14:paraId="5F17DAEF">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的依法缴纳税收和社会保障资金的相关证明材料。</w:t>
      </w:r>
    </w:p>
    <w:p w14:paraId="09170DAC">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t>.我</w:t>
      </w:r>
      <w:r>
        <w:rPr>
          <w:rFonts w:hint="eastAsia" w:ascii="宋体" w:hAnsi="宋体" w:eastAsia="宋体" w:cs="宋体"/>
          <w:color w:val="auto"/>
          <w:spacing w:val="0"/>
          <w:w w:val="100"/>
          <w:position w:val="0"/>
          <w:sz w:val="21"/>
          <w:szCs w:val="21"/>
          <w:lang w:eastAsia="zh-CN"/>
        </w:rPr>
        <w:t>单位</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w:t>
      </w:r>
      <w:r>
        <w:rPr>
          <w:rFonts w:hint="eastAsia" w:ascii="宋体" w:hAnsi="宋体" w:eastAsia="宋体" w:cs="宋体"/>
          <w:color w:val="auto"/>
          <w:spacing w:val="0"/>
          <w:w w:val="100"/>
          <w:position w:val="0"/>
          <w:sz w:val="21"/>
          <w:szCs w:val="21"/>
          <w:lang w:eastAsia="zh-CN"/>
        </w:rPr>
        <w:t>在参加政府采购活动前三年内，在经营活动中没有重大违法记录</w:t>
      </w:r>
      <w:r>
        <w:rPr>
          <w:rFonts w:hint="eastAsia" w:ascii="宋体" w:hAnsi="宋体" w:eastAsia="宋体" w:cs="宋体"/>
          <w:color w:val="auto"/>
          <w:spacing w:val="0"/>
          <w:w w:val="100"/>
          <w:position w:val="0"/>
          <w:sz w:val="21"/>
          <w:szCs w:val="21"/>
        </w:rPr>
        <w:t>。</w:t>
      </w:r>
    </w:p>
    <w:p w14:paraId="4E35F16D">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5</w:t>
      </w:r>
      <w:r>
        <w:rPr>
          <w:rFonts w:hint="eastAsia" w:ascii="宋体" w:hAnsi="宋体" w:eastAsia="宋体" w:cs="宋体"/>
          <w:color w:val="auto"/>
          <w:spacing w:val="0"/>
          <w:w w:val="100"/>
          <w:position w:val="0"/>
          <w:sz w:val="21"/>
          <w:szCs w:val="21"/>
        </w:rPr>
        <w:t>.如违反上述承诺，同意将相关失信行为纳入海口市信用信息共享平台。</w:t>
      </w:r>
    </w:p>
    <w:p w14:paraId="34088266">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6</w:t>
      </w:r>
      <w:r>
        <w:rPr>
          <w:rFonts w:hint="eastAsia" w:ascii="宋体" w:hAnsi="宋体" w:eastAsia="宋体" w:cs="宋体"/>
          <w:color w:val="auto"/>
          <w:spacing w:val="0"/>
          <w:w w:val="100"/>
          <w:position w:val="0"/>
          <w:sz w:val="21"/>
          <w:szCs w:val="21"/>
        </w:rPr>
        <w:t>.同意此承诺书在</w:t>
      </w:r>
      <w:r>
        <w:rPr>
          <w:rFonts w:hint="eastAsia" w:ascii="宋体" w:hAnsi="宋体" w:eastAsia="宋体" w:cs="宋体"/>
          <w:color w:val="auto"/>
          <w:spacing w:val="0"/>
          <w:w w:val="100"/>
          <w:position w:val="0"/>
          <w:sz w:val="21"/>
          <w:szCs w:val="21"/>
          <w:lang w:eastAsia="zh-CN"/>
        </w:rPr>
        <w:t>市公共资源中心的政府采购信息发布平台</w:t>
      </w:r>
      <w:r>
        <w:rPr>
          <w:rFonts w:hint="eastAsia" w:ascii="宋体" w:hAnsi="宋体" w:eastAsia="宋体" w:cs="宋体"/>
          <w:color w:val="auto"/>
          <w:spacing w:val="0"/>
          <w:w w:val="100"/>
          <w:position w:val="0"/>
          <w:sz w:val="21"/>
          <w:szCs w:val="21"/>
        </w:rPr>
        <w:t>公示，接受社会各界监督。</w:t>
      </w:r>
    </w:p>
    <w:p w14:paraId="7359BC7D">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若我单位以上承诺不实，自愿承担提供虚假材料谋取</w:t>
      </w:r>
      <w:r>
        <w:rPr>
          <w:rFonts w:hint="eastAsia" w:ascii="宋体" w:hAnsi="宋体" w:cs="宋体"/>
          <w:color w:val="auto"/>
          <w:spacing w:val="0"/>
          <w:w w:val="100"/>
          <w:position w:val="0"/>
          <w:sz w:val="21"/>
          <w:szCs w:val="21"/>
          <w:lang w:eastAsia="zh-CN"/>
        </w:rPr>
        <w:t>成交</w:t>
      </w:r>
      <w:r>
        <w:rPr>
          <w:rFonts w:hint="eastAsia" w:ascii="宋体" w:hAnsi="宋体" w:eastAsia="宋体" w:cs="宋体"/>
          <w:color w:val="auto"/>
          <w:spacing w:val="0"/>
          <w:w w:val="100"/>
          <w:position w:val="0"/>
          <w:sz w:val="21"/>
          <w:szCs w:val="21"/>
        </w:rPr>
        <w:t>、成交的法律责任。</w:t>
      </w:r>
    </w:p>
    <w:p w14:paraId="34C79EB1">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auto"/>
          <w:spacing w:val="0"/>
          <w:w w:val="100"/>
          <w:position w:val="0"/>
          <w:sz w:val="21"/>
          <w:szCs w:val="21"/>
        </w:rPr>
      </w:pPr>
    </w:p>
    <w:p w14:paraId="1F89DD56">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承诺供应商（全称并加盖公章）：</w:t>
      </w:r>
    </w:p>
    <w:p w14:paraId="388CA052">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单位负责人或授权代表（签字）：</w:t>
      </w:r>
    </w:p>
    <w:p w14:paraId="46C8A127">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spacing w:val="0"/>
          <w:w w:val="100"/>
          <w:position w:val="0"/>
          <w:sz w:val="21"/>
          <w:szCs w:val="21"/>
        </w:rPr>
        <w:t>日期：</w:t>
      </w:r>
    </w:p>
    <w:p w14:paraId="18311FF9">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附件</w:t>
      </w:r>
      <w:r>
        <w:rPr>
          <w:rFonts w:hint="eastAsia" w:asciiTheme="minorEastAsia" w:hAnsiTheme="minorEastAsia" w:eastAsiaTheme="minorEastAsia" w:cstheme="minorEastAsia"/>
          <w:b/>
          <w:color w:val="auto"/>
          <w:sz w:val="21"/>
          <w:szCs w:val="21"/>
          <w:lang w:val="en-US" w:eastAsia="zh-CN"/>
        </w:rPr>
        <w:t>1</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中小企业声明函（服务类）</w:t>
      </w:r>
    </w:p>
    <w:p w14:paraId="092587A0">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w:t>
      </w:r>
    </w:p>
    <w:p w14:paraId="6A7D54EC">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color w:val="auto"/>
          <w:sz w:val="21"/>
          <w:szCs w:val="21"/>
          <w:u w:val="single"/>
        </w:rPr>
        <w:t>（单位名称）</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bCs/>
          <w:color w:val="auto"/>
          <w:sz w:val="21"/>
          <w:szCs w:val="21"/>
        </w:rPr>
        <w:t>采购活动，服务全部由符合政策要求的中小企业承接。相关企业（含联合体中的中小企业、签订分包意向协议的中小企业）的具体情况如下：</w:t>
      </w:r>
    </w:p>
    <w:p w14:paraId="41F61FF8">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14:paraId="254AA098">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2.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14:paraId="368063A6">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p w14:paraId="5B75A853">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以上企业，不属于大企业的分支机构，不存在控股股东为大企业的情形，也不存在与大企业的负责人为同一人的情形。</w:t>
      </w:r>
    </w:p>
    <w:p w14:paraId="7B912C56">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本企业对上述声明内容的真实性负责。如有虚假，将依法承担相应责任。</w:t>
      </w:r>
    </w:p>
    <w:p w14:paraId="76BD46F4">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asciiTheme="minorEastAsia" w:hAnsiTheme="minorEastAsia" w:eastAsiaTheme="minorEastAsia" w:cstheme="minorEastAsia"/>
          <w:bCs/>
          <w:color w:val="auto"/>
          <w:sz w:val="21"/>
          <w:szCs w:val="21"/>
        </w:rPr>
      </w:pPr>
    </w:p>
    <w:p w14:paraId="26F646D6">
      <w:pPr>
        <w:pStyle w:val="6"/>
        <w:pageBreakBefore w:val="0"/>
        <w:wordWrap/>
        <w:topLinePunct w:val="0"/>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名称（盖章）：</w:t>
      </w:r>
    </w:p>
    <w:p w14:paraId="3BD109EF">
      <w:pPr>
        <w:pageBreakBefore w:val="0"/>
        <w:widowControl w:val="0"/>
        <w:kinsoku/>
        <w:wordWrap/>
        <w:overflowPunct/>
        <w:topLinePunct w:val="0"/>
        <w:autoSpaceDE/>
        <w:autoSpaceDN/>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日期：</w:t>
      </w:r>
    </w:p>
    <w:p w14:paraId="1E4FC410">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14:paraId="50AA9D40">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p w14:paraId="47CA1505">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①从业人员、营业收入、资产总额填报上一年度数据，无上一年度数据的新成立企业可不填报。</w:t>
      </w:r>
    </w:p>
    <w:p w14:paraId="44A1AC2E">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②供应商提供《中小企业声明函》内容不实的，属于“隐瞒真实情况，提供虚假资料的” 情形，依照有关规定追究相应责任。</w:t>
      </w:r>
    </w:p>
    <w:p w14:paraId="5F9908BB">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附件3：监狱企业证明文件</w:t>
      </w:r>
    </w:p>
    <w:p w14:paraId="5A828CEB">
      <w:pPr>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1"/>
          <w:szCs w:val="21"/>
          <w:lang w:val="zh-CN"/>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val="zh-CN"/>
        </w:rPr>
        <w:t>享受</w:t>
      </w:r>
      <w:r>
        <w:rPr>
          <w:rFonts w:hint="eastAsia"/>
          <w:color w:val="auto"/>
          <w:sz w:val="21"/>
          <w:szCs w:val="21"/>
          <w:lang w:val="zh-CN"/>
        </w:rPr>
        <w:t>政策优惠的监狱企业须提供由省级以上监狱管理局、戒毒管理局（含新疆生产建设兵团）出具的属于监狱企业的证明文件。</w:t>
      </w:r>
    </w:p>
    <w:p w14:paraId="0B1CD460">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附件4 </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 xml:space="preserve">                       残疾人福利性单位声明函</w:t>
      </w:r>
    </w:p>
    <w:p w14:paraId="4EF1C8B7">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p>
    <w:p w14:paraId="5A62ED46">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单位的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color w:val="auto"/>
          <w:sz w:val="21"/>
          <w:szCs w:val="21"/>
        </w:rPr>
        <w:t>项目采购活动提供本单位制造的货物（由本单位承担工程/提供服务），或者提供其他残疾人福利性单位制造的货物（不包括使用非残疾人福利性单位注册商标的货物）。 </w:t>
      </w:r>
    </w:p>
    <w:p w14:paraId="13D38DBF">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本单位对上述声明的真实性负责。如有虚假，将依法承担相应责任。</w:t>
      </w:r>
    </w:p>
    <w:p w14:paraId="14B86906">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6B5516B9">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680311FF">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单位名称（盖章）：　　　　　　　　</w:t>
      </w:r>
    </w:p>
    <w:p w14:paraId="364CB650">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日期：</w:t>
      </w:r>
    </w:p>
    <w:p w14:paraId="6282FB6C">
      <w:pPr>
        <w:pageBreakBefore w:val="0"/>
        <w:wordWrap/>
        <w:topLinePunct w:val="0"/>
        <w:bidi w:val="0"/>
        <w:spacing w:line="360" w:lineRule="auto"/>
        <w:ind w:firstLine="561"/>
        <w:textAlignment w:val="auto"/>
        <w:rPr>
          <w:rFonts w:hint="eastAsia" w:ascii="宋体" w:hAnsi="宋体" w:eastAsia="宋体" w:cs="宋体"/>
          <w:b w:val="0"/>
          <w:bCs/>
          <w:color w:val="auto"/>
          <w:sz w:val="21"/>
          <w:szCs w:val="21"/>
        </w:rPr>
      </w:pPr>
    </w:p>
    <w:p w14:paraId="37AF70CA">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0B5310F8">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color w:val="auto"/>
          <w:sz w:val="21"/>
          <w:szCs w:val="21"/>
        </w:rPr>
      </w:pPr>
    </w:p>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49AC00-BCED-4917-B6F6-62BE6D532E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2E34119-2F80-464F-AB31-356B890F1AFB}"/>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93D8E599-C549-4ADC-A9F5-EEA160BC8A39}"/>
  </w:font>
  <w:font w:name="仿宋">
    <w:panose1 w:val="02010609060101010101"/>
    <w:charset w:val="86"/>
    <w:family w:val="modern"/>
    <w:pitch w:val="default"/>
    <w:sig w:usb0="800002BF" w:usb1="38CF7CFA" w:usb2="00000016" w:usb3="00000000" w:csb0="00040001" w:csb1="00000000"/>
    <w:embedRegular r:id="rId4" w:fontKey="{6F0C63AB-31D2-4C43-A14A-67E284D2A41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E2AAC">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B3155">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9B3155">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13810365">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EF7B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0A32">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17FAF">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E17FAF">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20B543F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CD59">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C27885">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DC27885">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14:paraId="6D590795">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77DC">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AE0FA">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DAE0FA">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170DB3A5">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D5F19">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BD8AC">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2BD8AC">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v:textbox>
            </v:shape>
          </w:pict>
        </mc:Fallback>
      </mc:AlternateContent>
    </w:r>
  </w:p>
  <w:p w14:paraId="56EB67A5">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D7248">
    <w:pPr>
      <w:pStyle w:val="14"/>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120F9">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0F8BB">
    <w:pPr>
      <w:pStyle w:val="11"/>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14:paraId="17BDE8EA">
    <w:pPr>
      <w:pStyle w:val="11"/>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14:paraId="71B81A0A">
    <w:pPr>
      <w:pStyle w:val="14"/>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CCAD2">
    <w:pPr>
      <w:pStyle w:val="11"/>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14:paraId="02CCB53F">
    <w:pPr>
      <w:pStyle w:val="11"/>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14:paraId="00271E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7A8FC">
    <w:pPr>
      <w:pStyle w:val="14"/>
      <w:pBdr>
        <w:bottom w:val="none" w:color="auto" w:sz="0" w:space="1"/>
      </w:pBdr>
    </w:pPr>
    <w:r>
      <w:rPr>
        <w:sz w:val="21"/>
        <w:szCs w:val="21"/>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OWY1OThjOTBmY2I1M2U5OGEyOWE4OWU3MTI0MDIifQ=="/>
  </w:docVars>
  <w:rsids>
    <w:rsidRoot w:val="53E73F9D"/>
    <w:rsid w:val="003216DB"/>
    <w:rsid w:val="00407E90"/>
    <w:rsid w:val="005D103E"/>
    <w:rsid w:val="005F4489"/>
    <w:rsid w:val="00801901"/>
    <w:rsid w:val="00847139"/>
    <w:rsid w:val="009A1606"/>
    <w:rsid w:val="009B4088"/>
    <w:rsid w:val="00A63F7E"/>
    <w:rsid w:val="00CF3B3E"/>
    <w:rsid w:val="012F0CEC"/>
    <w:rsid w:val="0159347F"/>
    <w:rsid w:val="01816A09"/>
    <w:rsid w:val="02031C73"/>
    <w:rsid w:val="02213014"/>
    <w:rsid w:val="022D30DA"/>
    <w:rsid w:val="02455925"/>
    <w:rsid w:val="02D219C4"/>
    <w:rsid w:val="02ED0A5A"/>
    <w:rsid w:val="03231259"/>
    <w:rsid w:val="033B0CFE"/>
    <w:rsid w:val="034F7EF4"/>
    <w:rsid w:val="03854560"/>
    <w:rsid w:val="03BF4CCA"/>
    <w:rsid w:val="03C14561"/>
    <w:rsid w:val="040D3C69"/>
    <w:rsid w:val="04261197"/>
    <w:rsid w:val="04630F4A"/>
    <w:rsid w:val="049B5476"/>
    <w:rsid w:val="04E03371"/>
    <w:rsid w:val="052D4ADE"/>
    <w:rsid w:val="055E210C"/>
    <w:rsid w:val="056A57F8"/>
    <w:rsid w:val="05774F35"/>
    <w:rsid w:val="05F21DE6"/>
    <w:rsid w:val="064E6865"/>
    <w:rsid w:val="06984B35"/>
    <w:rsid w:val="06EC4087"/>
    <w:rsid w:val="07050876"/>
    <w:rsid w:val="07105E67"/>
    <w:rsid w:val="071D0355"/>
    <w:rsid w:val="073851BD"/>
    <w:rsid w:val="07B81042"/>
    <w:rsid w:val="07D1641A"/>
    <w:rsid w:val="07F5271F"/>
    <w:rsid w:val="07F661BB"/>
    <w:rsid w:val="08007B78"/>
    <w:rsid w:val="08105A97"/>
    <w:rsid w:val="08145A20"/>
    <w:rsid w:val="082C4653"/>
    <w:rsid w:val="085A2AEA"/>
    <w:rsid w:val="085A4AFD"/>
    <w:rsid w:val="08755BC3"/>
    <w:rsid w:val="08A774AC"/>
    <w:rsid w:val="08DB2D17"/>
    <w:rsid w:val="08DC5BCE"/>
    <w:rsid w:val="08FD2989"/>
    <w:rsid w:val="090F409F"/>
    <w:rsid w:val="09601EFA"/>
    <w:rsid w:val="09856BC3"/>
    <w:rsid w:val="09A068B5"/>
    <w:rsid w:val="09B37E23"/>
    <w:rsid w:val="09FC5A6D"/>
    <w:rsid w:val="0A586351"/>
    <w:rsid w:val="0A7B7C6C"/>
    <w:rsid w:val="0A89454C"/>
    <w:rsid w:val="0AA52631"/>
    <w:rsid w:val="0AD87214"/>
    <w:rsid w:val="0AF21923"/>
    <w:rsid w:val="0AFD710E"/>
    <w:rsid w:val="0B464611"/>
    <w:rsid w:val="0BB7140A"/>
    <w:rsid w:val="0BBC0022"/>
    <w:rsid w:val="0BD819BC"/>
    <w:rsid w:val="0BD90EE9"/>
    <w:rsid w:val="0BF26973"/>
    <w:rsid w:val="0C0D599E"/>
    <w:rsid w:val="0C282C80"/>
    <w:rsid w:val="0C747BE1"/>
    <w:rsid w:val="0C796895"/>
    <w:rsid w:val="0C8D7232"/>
    <w:rsid w:val="0C956CDB"/>
    <w:rsid w:val="0C9E593E"/>
    <w:rsid w:val="0CA578F4"/>
    <w:rsid w:val="0CC95340"/>
    <w:rsid w:val="0CE06855"/>
    <w:rsid w:val="0CF271BF"/>
    <w:rsid w:val="0D337983"/>
    <w:rsid w:val="0D3A63F7"/>
    <w:rsid w:val="0D5F1E64"/>
    <w:rsid w:val="0DB27913"/>
    <w:rsid w:val="0DFD1228"/>
    <w:rsid w:val="0E2B535C"/>
    <w:rsid w:val="0E603E62"/>
    <w:rsid w:val="0F3B3D47"/>
    <w:rsid w:val="0F4814BC"/>
    <w:rsid w:val="0F793915"/>
    <w:rsid w:val="100B407B"/>
    <w:rsid w:val="104E667B"/>
    <w:rsid w:val="10575E20"/>
    <w:rsid w:val="105A2DDD"/>
    <w:rsid w:val="106611CB"/>
    <w:rsid w:val="113722BE"/>
    <w:rsid w:val="113B0DD1"/>
    <w:rsid w:val="113F685C"/>
    <w:rsid w:val="11601AD6"/>
    <w:rsid w:val="11E76422"/>
    <w:rsid w:val="12324770"/>
    <w:rsid w:val="12380801"/>
    <w:rsid w:val="12507C79"/>
    <w:rsid w:val="1254371D"/>
    <w:rsid w:val="1262199D"/>
    <w:rsid w:val="12865437"/>
    <w:rsid w:val="12AF6F40"/>
    <w:rsid w:val="12BD6BF4"/>
    <w:rsid w:val="132D6E78"/>
    <w:rsid w:val="137C0484"/>
    <w:rsid w:val="13962132"/>
    <w:rsid w:val="1399374C"/>
    <w:rsid w:val="139C4065"/>
    <w:rsid w:val="1437327D"/>
    <w:rsid w:val="145A17F2"/>
    <w:rsid w:val="145A366F"/>
    <w:rsid w:val="14B33330"/>
    <w:rsid w:val="14E24257"/>
    <w:rsid w:val="14F364DD"/>
    <w:rsid w:val="150D5D06"/>
    <w:rsid w:val="157F1A78"/>
    <w:rsid w:val="15A0499C"/>
    <w:rsid w:val="15D078F9"/>
    <w:rsid w:val="15DA2C5A"/>
    <w:rsid w:val="1605187F"/>
    <w:rsid w:val="16154877"/>
    <w:rsid w:val="169762DB"/>
    <w:rsid w:val="16C0190D"/>
    <w:rsid w:val="170F0CDD"/>
    <w:rsid w:val="17137D16"/>
    <w:rsid w:val="173B3498"/>
    <w:rsid w:val="17B77DC6"/>
    <w:rsid w:val="18367B71"/>
    <w:rsid w:val="18514CE5"/>
    <w:rsid w:val="186A144F"/>
    <w:rsid w:val="187622AE"/>
    <w:rsid w:val="18812024"/>
    <w:rsid w:val="189D2F2A"/>
    <w:rsid w:val="18DA1062"/>
    <w:rsid w:val="18DF750D"/>
    <w:rsid w:val="19057B47"/>
    <w:rsid w:val="192E465C"/>
    <w:rsid w:val="195A634B"/>
    <w:rsid w:val="199C16E9"/>
    <w:rsid w:val="199D5F29"/>
    <w:rsid w:val="1A5202FA"/>
    <w:rsid w:val="1AAC33FA"/>
    <w:rsid w:val="1AED0A61"/>
    <w:rsid w:val="1B056327"/>
    <w:rsid w:val="1B4B4FB2"/>
    <w:rsid w:val="1B4E010B"/>
    <w:rsid w:val="1B7A723A"/>
    <w:rsid w:val="1B9E715D"/>
    <w:rsid w:val="1BCA0EFB"/>
    <w:rsid w:val="1BD6322C"/>
    <w:rsid w:val="1BDF0C37"/>
    <w:rsid w:val="1C180837"/>
    <w:rsid w:val="1C2244F6"/>
    <w:rsid w:val="1C6670D2"/>
    <w:rsid w:val="1C9070D0"/>
    <w:rsid w:val="1CA52F76"/>
    <w:rsid w:val="1CAD6FA9"/>
    <w:rsid w:val="1D234DCF"/>
    <w:rsid w:val="1D2D3ACF"/>
    <w:rsid w:val="1D686A57"/>
    <w:rsid w:val="1D813BCE"/>
    <w:rsid w:val="1D877C1B"/>
    <w:rsid w:val="1DE2494A"/>
    <w:rsid w:val="1E1A6270"/>
    <w:rsid w:val="1E66393B"/>
    <w:rsid w:val="1EB83740"/>
    <w:rsid w:val="1EC56452"/>
    <w:rsid w:val="1EED5392"/>
    <w:rsid w:val="1F9D2223"/>
    <w:rsid w:val="1FC96AD8"/>
    <w:rsid w:val="1FE15F3B"/>
    <w:rsid w:val="1FF7A56F"/>
    <w:rsid w:val="203E5DA7"/>
    <w:rsid w:val="20660E66"/>
    <w:rsid w:val="21132956"/>
    <w:rsid w:val="211428BF"/>
    <w:rsid w:val="21202FCA"/>
    <w:rsid w:val="217C5962"/>
    <w:rsid w:val="21B3342C"/>
    <w:rsid w:val="224A1874"/>
    <w:rsid w:val="225D1EB1"/>
    <w:rsid w:val="226F2DD1"/>
    <w:rsid w:val="229B216B"/>
    <w:rsid w:val="22B13B13"/>
    <w:rsid w:val="22B66EF0"/>
    <w:rsid w:val="234271CB"/>
    <w:rsid w:val="237D267B"/>
    <w:rsid w:val="238B212F"/>
    <w:rsid w:val="23A0437A"/>
    <w:rsid w:val="23BC2A5A"/>
    <w:rsid w:val="23CD07BD"/>
    <w:rsid w:val="24346E9F"/>
    <w:rsid w:val="245925FC"/>
    <w:rsid w:val="245E5334"/>
    <w:rsid w:val="24774524"/>
    <w:rsid w:val="25030902"/>
    <w:rsid w:val="254257E5"/>
    <w:rsid w:val="256D095A"/>
    <w:rsid w:val="25AE26C4"/>
    <w:rsid w:val="25D51472"/>
    <w:rsid w:val="25E0531F"/>
    <w:rsid w:val="26306279"/>
    <w:rsid w:val="263B05DB"/>
    <w:rsid w:val="264F15E3"/>
    <w:rsid w:val="26774ED4"/>
    <w:rsid w:val="26F02B5B"/>
    <w:rsid w:val="273F0DA8"/>
    <w:rsid w:val="27460791"/>
    <w:rsid w:val="274F678B"/>
    <w:rsid w:val="275318CF"/>
    <w:rsid w:val="2770541F"/>
    <w:rsid w:val="277945DE"/>
    <w:rsid w:val="27D44B1C"/>
    <w:rsid w:val="282A6111"/>
    <w:rsid w:val="28777AD4"/>
    <w:rsid w:val="287D015D"/>
    <w:rsid w:val="288B7471"/>
    <w:rsid w:val="28A92BCF"/>
    <w:rsid w:val="28B078C0"/>
    <w:rsid w:val="29335621"/>
    <w:rsid w:val="293755EF"/>
    <w:rsid w:val="297213A4"/>
    <w:rsid w:val="297B511D"/>
    <w:rsid w:val="298A5CE1"/>
    <w:rsid w:val="29935745"/>
    <w:rsid w:val="299E0C30"/>
    <w:rsid w:val="29AF73CD"/>
    <w:rsid w:val="29CF2C9E"/>
    <w:rsid w:val="2A1525B3"/>
    <w:rsid w:val="2A1F3C77"/>
    <w:rsid w:val="2A420242"/>
    <w:rsid w:val="2A770325"/>
    <w:rsid w:val="2B577739"/>
    <w:rsid w:val="2B82420A"/>
    <w:rsid w:val="2BC32FA6"/>
    <w:rsid w:val="2BDE0F2A"/>
    <w:rsid w:val="2C1005F7"/>
    <w:rsid w:val="2C1F0ECB"/>
    <w:rsid w:val="2C2F0132"/>
    <w:rsid w:val="2C5B48B1"/>
    <w:rsid w:val="2C635A6B"/>
    <w:rsid w:val="2C9C63F2"/>
    <w:rsid w:val="2CE95AE3"/>
    <w:rsid w:val="2D056A81"/>
    <w:rsid w:val="2D0B713B"/>
    <w:rsid w:val="2D0D1210"/>
    <w:rsid w:val="2D205DF5"/>
    <w:rsid w:val="2D6F2A08"/>
    <w:rsid w:val="2D7A708A"/>
    <w:rsid w:val="2D986A7C"/>
    <w:rsid w:val="2DD31C58"/>
    <w:rsid w:val="2E386100"/>
    <w:rsid w:val="2E3A4E93"/>
    <w:rsid w:val="2E921BC1"/>
    <w:rsid w:val="2E9D3756"/>
    <w:rsid w:val="2ED71151"/>
    <w:rsid w:val="2EFB0B3C"/>
    <w:rsid w:val="2F1300E5"/>
    <w:rsid w:val="2F3B21A6"/>
    <w:rsid w:val="2F5B4CE0"/>
    <w:rsid w:val="2F5C1340"/>
    <w:rsid w:val="2F6457B2"/>
    <w:rsid w:val="2F8D101C"/>
    <w:rsid w:val="2F9039F3"/>
    <w:rsid w:val="2FE85A33"/>
    <w:rsid w:val="2FF4525E"/>
    <w:rsid w:val="300D602F"/>
    <w:rsid w:val="30434F34"/>
    <w:rsid w:val="30551C7E"/>
    <w:rsid w:val="305C1DF5"/>
    <w:rsid w:val="30C330A2"/>
    <w:rsid w:val="31032820"/>
    <w:rsid w:val="31847465"/>
    <w:rsid w:val="31DE379A"/>
    <w:rsid w:val="327D0402"/>
    <w:rsid w:val="32A61FCC"/>
    <w:rsid w:val="32C0465B"/>
    <w:rsid w:val="32CE6B16"/>
    <w:rsid w:val="33000244"/>
    <w:rsid w:val="3319111C"/>
    <w:rsid w:val="33366578"/>
    <w:rsid w:val="33A63D3F"/>
    <w:rsid w:val="33AA7583"/>
    <w:rsid w:val="33D3298D"/>
    <w:rsid w:val="33D41912"/>
    <w:rsid w:val="33F61B9F"/>
    <w:rsid w:val="3425351D"/>
    <w:rsid w:val="34864572"/>
    <w:rsid w:val="34B155AA"/>
    <w:rsid w:val="34BE18EB"/>
    <w:rsid w:val="34BF7A35"/>
    <w:rsid w:val="34C80E50"/>
    <w:rsid w:val="34DB1C6D"/>
    <w:rsid w:val="35095BB0"/>
    <w:rsid w:val="350D3521"/>
    <w:rsid w:val="35262805"/>
    <w:rsid w:val="353A6D2D"/>
    <w:rsid w:val="35407683"/>
    <w:rsid w:val="357342CB"/>
    <w:rsid w:val="35956011"/>
    <w:rsid w:val="35A207D8"/>
    <w:rsid w:val="35A51DD0"/>
    <w:rsid w:val="35CC03C4"/>
    <w:rsid w:val="36202DD1"/>
    <w:rsid w:val="36345F74"/>
    <w:rsid w:val="365B64A3"/>
    <w:rsid w:val="366C2AF8"/>
    <w:rsid w:val="36720821"/>
    <w:rsid w:val="36E43B49"/>
    <w:rsid w:val="3708704A"/>
    <w:rsid w:val="37105321"/>
    <w:rsid w:val="375D7E76"/>
    <w:rsid w:val="37807888"/>
    <w:rsid w:val="37C96B2D"/>
    <w:rsid w:val="37F0121B"/>
    <w:rsid w:val="37F965BD"/>
    <w:rsid w:val="38533CA9"/>
    <w:rsid w:val="3869436C"/>
    <w:rsid w:val="38754CFF"/>
    <w:rsid w:val="388138D0"/>
    <w:rsid w:val="388B18D0"/>
    <w:rsid w:val="38CA6BA3"/>
    <w:rsid w:val="38EF3348"/>
    <w:rsid w:val="38F36F52"/>
    <w:rsid w:val="39027F6D"/>
    <w:rsid w:val="394B49F2"/>
    <w:rsid w:val="395D73C0"/>
    <w:rsid w:val="3964489B"/>
    <w:rsid w:val="396D4363"/>
    <w:rsid w:val="397D5C71"/>
    <w:rsid w:val="398C450B"/>
    <w:rsid w:val="39A27D95"/>
    <w:rsid w:val="39A30FAD"/>
    <w:rsid w:val="39DF76B4"/>
    <w:rsid w:val="3A3B4A7C"/>
    <w:rsid w:val="3A9C5889"/>
    <w:rsid w:val="3B0300BA"/>
    <w:rsid w:val="3B103205"/>
    <w:rsid w:val="3B2C125E"/>
    <w:rsid w:val="3B40382E"/>
    <w:rsid w:val="3B4909A7"/>
    <w:rsid w:val="3B706D2B"/>
    <w:rsid w:val="3B900E71"/>
    <w:rsid w:val="3B967BC8"/>
    <w:rsid w:val="3BC7074D"/>
    <w:rsid w:val="3BDA3232"/>
    <w:rsid w:val="3C0567E7"/>
    <w:rsid w:val="3C362D65"/>
    <w:rsid w:val="3C547DBA"/>
    <w:rsid w:val="3C5A7719"/>
    <w:rsid w:val="3C71787E"/>
    <w:rsid w:val="3C766FF7"/>
    <w:rsid w:val="3CEC3782"/>
    <w:rsid w:val="3D005751"/>
    <w:rsid w:val="3D2E7CF5"/>
    <w:rsid w:val="3D6A7A3F"/>
    <w:rsid w:val="3D8475ED"/>
    <w:rsid w:val="3D9133ED"/>
    <w:rsid w:val="3D9A7407"/>
    <w:rsid w:val="3DBA03C3"/>
    <w:rsid w:val="3DDC47DD"/>
    <w:rsid w:val="3E0C29CB"/>
    <w:rsid w:val="3E1438A5"/>
    <w:rsid w:val="3E467EA9"/>
    <w:rsid w:val="3E6977ED"/>
    <w:rsid w:val="3EB53979"/>
    <w:rsid w:val="3ED06C72"/>
    <w:rsid w:val="3EE85802"/>
    <w:rsid w:val="3F9179BC"/>
    <w:rsid w:val="3FAF7652"/>
    <w:rsid w:val="3FB91F06"/>
    <w:rsid w:val="3FE146CC"/>
    <w:rsid w:val="40143827"/>
    <w:rsid w:val="40172C0E"/>
    <w:rsid w:val="405A10B2"/>
    <w:rsid w:val="40930E3F"/>
    <w:rsid w:val="40DE32EB"/>
    <w:rsid w:val="412D71DE"/>
    <w:rsid w:val="416C485A"/>
    <w:rsid w:val="41721093"/>
    <w:rsid w:val="41A25A1E"/>
    <w:rsid w:val="41D5051C"/>
    <w:rsid w:val="41D93646"/>
    <w:rsid w:val="422B280E"/>
    <w:rsid w:val="42302AF1"/>
    <w:rsid w:val="42420B28"/>
    <w:rsid w:val="424C4B06"/>
    <w:rsid w:val="429E3832"/>
    <w:rsid w:val="43215097"/>
    <w:rsid w:val="43335793"/>
    <w:rsid w:val="43504A5C"/>
    <w:rsid w:val="437629AE"/>
    <w:rsid w:val="437D2606"/>
    <w:rsid w:val="43BB7080"/>
    <w:rsid w:val="43BE61A8"/>
    <w:rsid w:val="43D0692B"/>
    <w:rsid w:val="43DA56DD"/>
    <w:rsid w:val="43EE0B63"/>
    <w:rsid w:val="442D019F"/>
    <w:rsid w:val="442E0E57"/>
    <w:rsid w:val="44370871"/>
    <w:rsid w:val="449201EC"/>
    <w:rsid w:val="44AA1CB0"/>
    <w:rsid w:val="44CE24E4"/>
    <w:rsid w:val="44D16A09"/>
    <w:rsid w:val="44D33F5C"/>
    <w:rsid w:val="44D90521"/>
    <w:rsid w:val="44E52F1F"/>
    <w:rsid w:val="450E440F"/>
    <w:rsid w:val="45502007"/>
    <w:rsid w:val="457B0D80"/>
    <w:rsid w:val="4580392B"/>
    <w:rsid w:val="45883F8A"/>
    <w:rsid w:val="45F04858"/>
    <w:rsid w:val="4606799E"/>
    <w:rsid w:val="4629386F"/>
    <w:rsid w:val="466174A4"/>
    <w:rsid w:val="468B197E"/>
    <w:rsid w:val="46D52AA1"/>
    <w:rsid w:val="470E5183"/>
    <w:rsid w:val="471F4F7F"/>
    <w:rsid w:val="47413903"/>
    <w:rsid w:val="47501D1D"/>
    <w:rsid w:val="479B2B65"/>
    <w:rsid w:val="47E241F2"/>
    <w:rsid w:val="47E32E09"/>
    <w:rsid w:val="47E67EE1"/>
    <w:rsid w:val="47F05DF8"/>
    <w:rsid w:val="483C6C28"/>
    <w:rsid w:val="484C22AF"/>
    <w:rsid w:val="488B7FA6"/>
    <w:rsid w:val="48AC59F4"/>
    <w:rsid w:val="49057F3E"/>
    <w:rsid w:val="493D11A5"/>
    <w:rsid w:val="49497376"/>
    <w:rsid w:val="49913258"/>
    <w:rsid w:val="49AD56D2"/>
    <w:rsid w:val="49DF2FA3"/>
    <w:rsid w:val="49ED1963"/>
    <w:rsid w:val="49F41BF1"/>
    <w:rsid w:val="49FE18E4"/>
    <w:rsid w:val="4A2B6493"/>
    <w:rsid w:val="4A570B81"/>
    <w:rsid w:val="4A596A5D"/>
    <w:rsid w:val="4A7D708F"/>
    <w:rsid w:val="4A9936CA"/>
    <w:rsid w:val="4AC43147"/>
    <w:rsid w:val="4ACC2191"/>
    <w:rsid w:val="4B967555"/>
    <w:rsid w:val="4BA41081"/>
    <w:rsid w:val="4BAE7BD6"/>
    <w:rsid w:val="4BDF44B5"/>
    <w:rsid w:val="4C624E51"/>
    <w:rsid w:val="4C6F5D75"/>
    <w:rsid w:val="4C8614A0"/>
    <w:rsid w:val="4CB90B4A"/>
    <w:rsid w:val="4D011E35"/>
    <w:rsid w:val="4D1A70AD"/>
    <w:rsid w:val="4D4D66ED"/>
    <w:rsid w:val="4D53629A"/>
    <w:rsid w:val="4D896AAF"/>
    <w:rsid w:val="4D927727"/>
    <w:rsid w:val="4DBA3D68"/>
    <w:rsid w:val="4DC350E6"/>
    <w:rsid w:val="4DCE7CC5"/>
    <w:rsid w:val="4DDF58BD"/>
    <w:rsid w:val="4E295649"/>
    <w:rsid w:val="4E434405"/>
    <w:rsid w:val="4E6C5A7D"/>
    <w:rsid w:val="4E6D51A2"/>
    <w:rsid w:val="4F330037"/>
    <w:rsid w:val="4F3B7EBF"/>
    <w:rsid w:val="4F6B7B7D"/>
    <w:rsid w:val="4F840FDE"/>
    <w:rsid w:val="4F8A0ABB"/>
    <w:rsid w:val="502B260A"/>
    <w:rsid w:val="503277C4"/>
    <w:rsid w:val="507B2035"/>
    <w:rsid w:val="50846386"/>
    <w:rsid w:val="50D729C1"/>
    <w:rsid w:val="50D858AB"/>
    <w:rsid w:val="5187033E"/>
    <w:rsid w:val="51B615DA"/>
    <w:rsid w:val="51CF5615"/>
    <w:rsid w:val="51D41141"/>
    <w:rsid w:val="52111515"/>
    <w:rsid w:val="52115DFD"/>
    <w:rsid w:val="523830D8"/>
    <w:rsid w:val="52F14A35"/>
    <w:rsid w:val="53453EF9"/>
    <w:rsid w:val="537E7219"/>
    <w:rsid w:val="53E73F9D"/>
    <w:rsid w:val="542B47E5"/>
    <w:rsid w:val="5463665A"/>
    <w:rsid w:val="54737C15"/>
    <w:rsid w:val="5489364B"/>
    <w:rsid w:val="54D86D8D"/>
    <w:rsid w:val="554B067D"/>
    <w:rsid w:val="55583A1F"/>
    <w:rsid w:val="55705033"/>
    <w:rsid w:val="557D70BE"/>
    <w:rsid w:val="55CE4587"/>
    <w:rsid w:val="5624337B"/>
    <w:rsid w:val="56332F20"/>
    <w:rsid w:val="56E827E2"/>
    <w:rsid w:val="56E96FC6"/>
    <w:rsid w:val="57103B34"/>
    <w:rsid w:val="5714694D"/>
    <w:rsid w:val="57340E32"/>
    <w:rsid w:val="5809010E"/>
    <w:rsid w:val="582A0AC8"/>
    <w:rsid w:val="583525C6"/>
    <w:rsid w:val="583F79A7"/>
    <w:rsid w:val="588E0FF2"/>
    <w:rsid w:val="589932BB"/>
    <w:rsid w:val="58F5055B"/>
    <w:rsid w:val="58FC3E36"/>
    <w:rsid w:val="59264674"/>
    <w:rsid w:val="596801AA"/>
    <w:rsid w:val="596F1852"/>
    <w:rsid w:val="5992473D"/>
    <w:rsid w:val="59D251A4"/>
    <w:rsid w:val="5A16575C"/>
    <w:rsid w:val="5A175510"/>
    <w:rsid w:val="5A244218"/>
    <w:rsid w:val="5A5F15A1"/>
    <w:rsid w:val="5A954EAF"/>
    <w:rsid w:val="5ABB4A59"/>
    <w:rsid w:val="5AC230A5"/>
    <w:rsid w:val="5B070F30"/>
    <w:rsid w:val="5B1D06EE"/>
    <w:rsid w:val="5B206F0E"/>
    <w:rsid w:val="5B3E7A46"/>
    <w:rsid w:val="5B907B59"/>
    <w:rsid w:val="5BAB5771"/>
    <w:rsid w:val="5BFB5EB2"/>
    <w:rsid w:val="5C495DD3"/>
    <w:rsid w:val="5C4E06E7"/>
    <w:rsid w:val="5C593A80"/>
    <w:rsid w:val="5D041CF2"/>
    <w:rsid w:val="5D272928"/>
    <w:rsid w:val="5D2B2C34"/>
    <w:rsid w:val="5D4F03EF"/>
    <w:rsid w:val="5D905C05"/>
    <w:rsid w:val="5DCD0AC1"/>
    <w:rsid w:val="5E02038B"/>
    <w:rsid w:val="5E3E0FB2"/>
    <w:rsid w:val="5EE67330"/>
    <w:rsid w:val="5F212FF8"/>
    <w:rsid w:val="5F8B27B8"/>
    <w:rsid w:val="5FB72636"/>
    <w:rsid w:val="600B3636"/>
    <w:rsid w:val="6060486B"/>
    <w:rsid w:val="60DE7CF2"/>
    <w:rsid w:val="611E2E9B"/>
    <w:rsid w:val="612B0E8B"/>
    <w:rsid w:val="614F1889"/>
    <w:rsid w:val="619D6AD3"/>
    <w:rsid w:val="619D7131"/>
    <w:rsid w:val="61B56F70"/>
    <w:rsid w:val="61DE071F"/>
    <w:rsid w:val="6218157F"/>
    <w:rsid w:val="62204E98"/>
    <w:rsid w:val="62553AB2"/>
    <w:rsid w:val="62956105"/>
    <w:rsid w:val="62997C74"/>
    <w:rsid w:val="62E55633"/>
    <w:rsid w:val="634041A9"/>
    <w:rsid w:val="63652AF7"/>
    <w:rsid w:val="63805167"/>
    <w:rsid w:val="63832876"/>
    <w:rsid w:val="638442E1"/>
    <w:rsid w:val="63972DD1"/>
    <w:rsid w:val="640929F0"/>
    <w:rsid w:val="64B905C0"/>
    <w:rsid w:val="64CF7BEB"/>
    <w:rsid w:val="65187528"/>
    <w:rsid w:val="656C147B"/>
    <w:rsid w:val="65832223"/>
    <w:rsid w:val="664A7A0D"/>
    <w:rsid w:val="66901382"/>
    <w:rsid w:val="671A190B"/>
    <w:rsid w:val="6731767E"/>
    <w:rsid w:val="67335956"/>
    <w:rsid w:val="68016B77"/>
    <w:rsid w:val="68307014"/>
    <w:rsid w:val="687047EC"/>
    <w:rsid w:val="690C2F01"/>
    <w:rsid w:val="691438F8"/>
    <w:rsid w:val="692A3B68"/>
    <w:rsid w:val="693A4663"/>
    <w:rsid w:val="699B0FA7"/>
    <w:rsid w:val="699F0403"/>
    <w:rsid w:val="6A257C7E"/>
    <w:rsid w:val="6AED0C62"/>
    <w:rsid w:val="6AF66468"/>
    <w:rsid w:val="6AF86E22"/>
    <w:rsid w:val="6B276638"/>
    <w:rsid w:val="6B3032CB"/>
    <w:rsid w:val="6B5F2CBB"/>
    <w:rsid w:val="6B850358"/>
    <w:rsid w:val="6B9F44A0"/>
    <w:rsid w:val="6BA23990"/>
    <w:rsid w:val="6BA92A8C"/>
    <w:rsid w:val="6BBF6B35"/>
    <w:rsid w:val="6BD40CFD"/>
    <w:rsid w:val="6C0F240A"/>
    <w:rsid w:val="6C2271E5"/>
    <w:rsid w:val="6C6139A2"/>
    <w:rsid w:val="6C6B059F"/>
    <w:rsid w:val="6C7259E8"/>
    <w:rsid w:val="6C7D6BD8"/>
    <w:rsid w:val="6C8C5F63"/>
    <w:rsid w:val="6CA21179"/>
    <w:rsid w:val="6CFA34DB"/>
    <w:rsid w:val="6CFD6829"/>
    <w:rsid w:val="6D001A69"/>
    <w:rsid w:val="6D330230"/>
    <w:rsid w:val="6D332F6E"/>
    <w:rsid w:val="6D396B87"/>
    <w:rsid w:val="6DB265D8"/>
    <w:rsid w:val="6DB301A4"/>
    <w:rsid w:val="6DD84920"/>
    <w:rsid w:val="6DDB5D1F"/>
    <w:rsid w:val="6DE82115"/>
    <w:rsid w:val="6DF14E2F"/>
    <w:rsid w:val="6E1F4FB0"/>
    <w:rsid w:val="6E465867"/>
    <w:rsid w:val="6E5246F3"/>
    <w:rsid w:val="6F3326BD"/>
    <w:rsid w:val="6F3411C8"/>
    <w:rsid w:val="6F5B19D4"/>
    <w:rsid w:val="6FBD5643"/>
    <w:rsid w:val="6FC50CC6"/>
    <w:rsid w:val="6FDF215C"/>
    <w:rsid w:val="6FF979C2"/>
    <w:rsid w:val="703608FF"/>
    <w:rsid w:val="707123F1"/>
    <w:rsid w:val="70A709CF"/>
    <w:rsid w:val="70AA1BAA"/>
    <w:rsid w:val="70C21E33"/>
    <w:rsid w:val="71420EA7"/>
    <w:rsid w:val="7150639A"/>
    <w:rsid w:val="715504AF"/>
    <w:rsid w:val="719721EE"/>
    <w:rsid w:val="71B863AA"/>
    <w:rsid w:val="71B9524D"/>
    <w:rsid w:val="72044045"/>
    <w:rsid w:val="72440D8F"/>
    <w:rsid w:val="724701AA"/>
    <w:rsid w:val="72613BB4"/>
    <w:rsid w:val="72686DCB"/>
    <w:rsid w:val="72734125"/>
    <w:rsid w:val="72890BE1"/>
    <w:rsid w:val="7297342D"/>
    <w:rsid w:val="730750C4"/>
    <w:rsid w:val="733D0171"/>
    <w:rsid w:val="733E411A"/>
    <w:rsid w:val="7368312F"/>
    <w:rsid w:val="73913267"/>
    <w:rsid w:val="73B459E2"/>
    <w:rsid w:val="73B74455"/>
    <w:rsid w:val="73BF1DDC"/>
    <w:rsid w:val="73D46E02"/>
    <w:rsid w:val="74153FE8"/>
    <w:rsid w:val="741C39F8"/>
    <w:rsid w:val="74544D62"/>
    <w:rsid w:val="748D4891"/>
    <w:rsid w:val="74B143F2"/>
    <w:rsid w:val="74B34C91"/>
    <w:rsid w:val="74B6734E"/>
    <w:rsid w:val="74C6482B"/>
    <w:rsid w:val="752320C7"/>
    <w:rsid w:val="756E4256"/>
    <w:rsid w:val="75D723B2"/>
    <w:rsid w:val="76393941"/>
    <w:rsid w:val="76584AFD"/>
    <w:rsid w:val="770739C7"/>
    <w:rsid w:val="78375191"/>
    <w:rsid w:val="783A5034"/>
    <w:rsid w:val="78752699"/>
    <w:rsid w:val="788A190E"/>
    <w:rsid w:val="78B67C13"/>
    <w:rsid w:val="78D027F0"/>
    <w:rsid w:val="79107D4E"/>
    <w:rsid w:val="79353900"/>
    <w:rsid w:val="793F6CA3"/>
    <w:rsid w:val="794A04D7"/>
    <w:rsid w:val="79746535"/>
    <w:rsid w:val="797647ED"/>
    <w:rsid w:val="79814165"/>
    <w:rsid w:val="799C6F8D"/>
    <w:rsid w:val="7A13676F"/>
    <w:rsid w:val="7A387BE8"/>
    <w:rsid w:val="7A4D74CC"/>
    <w:rsid w:val="7A60559B"/>
    <w:rsid w:val="7AC843DE"/>
    <w:rsid w:val="7AE9123F"/>
    <w:rsid w:val="7AED3D24"/>
    <w:rsid w:val="7AFC3A32"/>
    <w:rsid w:val="7B237139"/>
    <w:rsid w:val="7B323F28"/>
    <w:rsid w:val="7B4D150D"/>
    <w:rsid w:val="7B504D7D"/>
    <w:rsid w:val="7BB05565"/>
    <w:rsid w:val="7BBB5446"/>
    <w:rsid w:val="7BEA3458"/>
    <w:rsid w:val="7C0163B0"/>
    <w:rsid w:val="7C025169"/>
    <w:rsid w:val="7C133B6C"/>
    <w:rsid w:val="7C682867"/>
    <w:rsid w:val="7C6C7F23"/>
    <w:rsid w:val="7CA51C7D"/>
    <w:rsid w:val="7CD05611"/>
    <w:rsid w:val="7CEB43CC"/>
    <w:rsid w:val="7D524A37"/>
    <w:rsid w:val="7DA418C3"/>
    <w:rsid w:val="7DEA78A4"/>
    <w:rsid w:val="7E454CA6"/>
    <w:rsid w:val="7E8B0CEF"/>
    <w:rsid w:val="7EA93097"/>
    <w:rsid w:val="7EDF1D81"/>
    <w:rsid w:val="7F143F12"/>
    <w:rsid w:val="7F1E73A2"/>
    <w:rsid w:val="7F29005F"/>
    <w:rsid w:val="7F380545"/>
    <w:rsid w:val="7F6A4A9D"/>
    <w:rsid w:val="7F9B2913"/>
    <w:rsid w:val="7F9B5B45"/>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8"/>
    <w:qFormat/>
    <w:uiPriority w:val="99"/>
    <w:pPr>
      <w:spacing w:after="120"/>
    </w:pPr>
  </w:style>
  <w:style w:type="paragraph" w:styleId="8">
    <w:name w:val="Title"/>
    <w:basedOn w:val="1"/>
    <w:next w:val="1"/>
    <w:qFormat/>
    <w:uiPriority w:val="0"/>
    <w:pPr>
      <w:spacing w:before="240" w:after="60"/>
      <w:jc w:val="center"/>
      <w:outlineLvl w:val="0"/>
    </w:pPr>
    <w:rPr>
      <w:rFonts w:ascii="Calibri Light" w:hAnsi="Calibri Light"/>
      <w:b/>
      <w:bCs/>
      <w:sz w:val="32"/>
      <w:szCs w:val="32"/>
    </w:rPr>
  </w:style>
  <w:style w:type="paragraph" w:styleId="9">
    <w:name w:val="Body Text Indent"/>
    <w:basedOn w:val="1"/>
    <w:next w:val="10"/>
    <w:qFormat/>
    <w:uiPriority w:val="0"/>
    <w:pPr>
      <w:snapToGrid w:val="0"/>
      <w:spacing w:line="360" w:lineRule="auto"/>
      <w:ind w:firstLine="538" w:firstLineChars="192"/>
    </w:pPr>
    <w:rPr>
      <w:rFonts w:ascii="仿宋_GB2312" w:eastAsia="仿宋_GB2312"/>
      <w:bCs/>
      <w:sz w:val="28"/>
      <w:szCs w:val="28"/>
    </w:rPr>
  </w:style>
  <w:style w:type="paragraph" w:styleId="10">
    <w:name w:val="Body Text First Indent 2"/>
    <w:basedOn w:val="9"/>
    <w:next w:val="1"/>
    <w:unhideWhenUsed/>
    <w:qFormat/>
    <w:uiPriority w:val="0"/>
    <w:pPr>
      <w:spacing w:after="120" w:line="240" w:lineRule="auto"/>
      <w:ind w:left="420" w:leftChars="200" w:firstLine="420" w:firstLineChars="200"/>
    </w:pPr>
    <w:rPr>
      <w:sz w:val="21"/>
      <w:szCs w:val="21"/>
    </w:rPr>
  </w:style>
  <w:style w:type="paragraph" w:styleId="11">
    <w:name w:val="Plain Text"/>
    <w:basedOn w:val="1"/>
    <w:qFormat/>
    <w:uiPriority w:val="0"/>
    <w:rPr>
      <w:rFonts w:ascii="宋体" w:hAnsi="Courier New"/>
      <w:szCs w:val="20"/>
    </w:rPr>
  </w:style>
  <w:style w:type="paragraph" w:styleId="12">
    <w:name w:val="Balloon Text"/>
    <w:basedOn w:val="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7">
    <w:name w:val="Body Text First Indent"/>
    <w:basedOn w:val="7"/>
    <w:unhideWhenUsed/>
    <w:qFormat/>
    <w:uiPriority w:val="99"/>
    <w:pPr>
      <w:spacing w:after="120"/>
      <w:ind w:firstLine="420" w:firstLineChars="100"/>
    </w:pPr>
    <w:rPr>
      <w:rFonts w:eastAsia="仿宋_GB2312"/>
      <w:sz w:val="32"/>
      <w:szCs w:val="22"/>
    </w:rPr>
  </w:style>
  <w:style w:type="table" w:styleId="19">
    <w:name w:val="Table Grid"/>
    <w:basedOn w:val="1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semiHidden/>
    <w:unhideWhenUsed/>
    <w:qFormat/>
    <w:uiPriority w:val="0"/>
    <w:rPr>
      <w:color w:val="428BCA"/>
      <w:u w:val="none"/>
    </w:rPr>
  </w:style>
  <w:style w:type="character" w:styleId="24">
    <w:name w:val="HTML Definition"/>
    <w:basedOn w:val="20"/>
    <w:semiHidden/>
    <w:unhideWhenUsed/>
    <w:qFormat/>
    <w:uiPriority w:val="0"/>
    <w:rPr>
      <w:i/>
      <w:iCs/>
    </w:rPr>
  </w:style>
  <w:style w:type="character" w:styleId="25">
    <w:name w:val="Hyperlink"/>
    <w:basedOn w:val="20"/>
    <w:qFormat/>
    <w:uiPriority w:val="0"/>
    <w:rPr>
      <w:color w:val="013F7C"/>
      <w:u w:val="none"/>
    </w:rPr>
  </w:style>
  <w:style w:type="character" w:styleId="26">
    <w:name w:val="HTML Code"/>
    <w:basedOn w:val="20"/>
    <w:semiHidden/>
    <w:unhideWhenUsed/>
    <w:qFormat/>
    <w:uiPriority w:val="0"/>
    <w:rPr>
      <w:rFonts w:hint="default" w:ascii="Consolas" w:hAnsi="Consolas" w:eastAsia="Consolas" w:cs="Consolas"/>
      <w:color w:val="C7254E"/>
      <w:sz w:val="21"/>
      <w:szCs w:val="21"/>
      <w:shd w:val="clear" w:fill="F9F2F4"/>
    </w:rPr>
  </w:style>
  <w:style w:type="character" w:styleId="27">
    <w:name w:val="HTML Cite"/>
    <w:basedOn w:val="20"/>
    <w:semiHidden/>
    <w:unhideWhenUsed/>
    <w:qFormat/>
    <w:uiPriority w:val="0"/>
  </w:style>
  <w:style w:type="character" w:styleId="28">
    <w:name w:val="HTML Keyboard"/>
    <w:basedOn w:val="20"/>
    <w:semiHidden/>
    <w:unhideWhenUsed/>
    <w:qFormat/>
    <w:uiPriority w:val="0"/>
    <w:rPr>
      <w:rFonts w:hint="default" w:ascii="Consolas" w:hAnsi="Consolas" w:eastAsia="Consolas" w:cs="Consolas"/>
      <w:color w:val="FFFFFF"/>
      <w:sz w:val="21"/>
      <w:szCs w:val="21"/>
      <w:shd w:val="clear" w:fill="333333"/>
    </w:rPr>
  </w:style>
  <w:style w:type="character" w:styleId="29">
    <w:name w:val="HTML Sample"/>
    <w:basedOn w:val="20"/>
    <w:semiHidden/>
    <w:unhideWhenUsed/>
    <w:qFormat/>
    <w:uiPriority w:val="0"/>
    <w:rPr>
      <w:rFonts w:ascii="Consolas" w:hAnsi="Consolas" w:eastAsia="Consolas" w:cs="Consolas"/>
      <w:sz w:val="21"/>
      <w:szCs w:val="21"/>
    </w:rPr>
  </w:style>
  <w:style w:type="paragraph" w:customStyle="1" w:styleId="30">
    <w:name w:val="正文缩进1"/>
    <w:basedOn w:val="1"/>
    <w:qFormat/>
    <w:uiPriority w:val="0"/>
    <w:pPr>
      <w:ind w:firstLine="420" w:firstLineChars="200"/>
    </w:pPr>
  </w:style>
  <w:style w:type="paragraph" w:customStyle="1" w:styleId="31">
    <w:name w:val="Quote"/>
    <w:basedOn w:val="1"/>
    <w:next w:val="1"/>
    <w:qFormat/>
    <w:uiPriority w:val="99"/>
    <w:rPr>
      <w:rFonts w:ascii="Calibri" w:hAnsi="Calibri" w:cs="Calibri"/>
      <w:i/>
      <w:iCs/>
      <w:color w:val="000000"/>
      <w:sz w:val="22"/>
      <w:szCs w:val="22"/>
    </w:rPr>
  </w:style>
  <w:style w:type="paragraph" w:customStyle="1" w:styleId="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样式3"/>
    <w:basedOn w:val="11"/>
    <w:qFormat/>
    <w:uiPriority w:val="0"/>
    <w:pPr>
      <w:spacing w:line="0" w:lineRule="atLeast"/>
      <w:outlineLvl w:val="0"/>
    </w:pPr>
    <w:rPr>
      <w:sz w:val="28"/>
      <w:szCs w:val="24"/>
    </w:rPr>
  </w:style>
  <w:style w:type="paragraph" w:customStyle="1" w:styleId="34">
    <w:name w:val="正文1"/>
    <w:qFormat/>
    <w:uiPriority w:val="0"/>
    <w:pPr>
      <w:jc w:val="both"/>
    </w:pPr>
    <w:rPr>
      <w:rFonts w:ascii="Calibri" w:hAnsi="Calibri" w:eastAsia="宋体" w:cs="宋体"/>
      <w:kern w:val="2"/>
      <w:sz w:val="21"/>
      <w:szCs w:val="21"/>
      <w:lang w:val="en-US" w:eastAsia="zh-CN" w:bidi="ar-SA"/>
    </w:rPr>
  </w:style>
  <w:style w:type="paragraph" w:customStyle="1" w:styleId="35">
    <w:name w:val="Normal_18"/>
    <w:qFormat/>
    <w:uiPriority w:val="0"/>
    <w:rPr>
      <w:rFonts w:ascii="Times New Roman" w:hAnsi="Times New Roman" w:eastAsia="宋体" w:cs="Times New Roman"/>
      <w:sz w:val="21"/>
      <w:lang w:val="en-US" w:eastAsia="zh-CN" w:bidi="ar-SA"/>
    </w:rPr>
  </w:style>
  <w:style w:type="character" w:customStyle="1" w:styleId="36">
    <w:name w:val="ndata"/>
    <w:basedOn w:val="20"/>
    <w:qFormat/>
    <w:uiPriority w:val="0"/>
    <w:rPr>
      <w:color w:val="AAAAAA"/>
    </w:rPr>
  </w:style>
  <w:style w:type="character" w:customStyle="1" w:styleId="37">
    <w:name w:val="NormalCharacter"/>
    <w:qFormat/>
    <w:uiPriority w:val="0"/>
    <w:rPr>
      <w:sz w:val="21"/>
      <w:lang w:val="en-US" w:eastAsia="zh-CN" w:bidi="ar-SA"/>
    </w:rPr>
  </w:style>
  <w:style w:type="paragraph" w:customStyle="1" w:styleId="38">
    <w:name w:val="正文2"/>
    <w:basedOn w:val="1"/>
    <w:qFormat/>
    <w:uiPriority w:val="0"/>
    <w:pPr>
      <w:spacing w:before="156" w:line="360" w:lineRule="auto"/>
      <w:ind w:firstLine="510" w:firstLineChars="200"/>
    </w:pPr>
    <w:rPr>
      <w:sz w:val="24"/>
    </w:rPr>
  </w:style>
  <w:style w:type="paragraph" w:customStyle="1" w:styleId="39">
    <w:name w:val="NormalIndent"/>
    <w:basedOn w:val="1"/>
    <w:qFormat/>
    <w:uiPriority w:val="0"/>
    <w:pPr>
      <w:widowControl/>
      <w:ind w:firstLine="200" w:firstLineChars="200"/>
      <w:textAlignment w:val="baseline"/>
    </w:pPr>
    <w:rPr>
      <w:rFonts w:ascii="Calibri" w:hAnsi="Calibri"/>
    </w:rPr>
  </w:style>
  <w:style w:type="paragraph" w:styleId="40">
    <w:name w:val="List Paragraph"/>
    <w:basedOn w:val="1"/>
    <w:qFormat/>
    <w:uiPriority w:val="34"/>
    <w:pPr>
      <w:ind w:firstLine="420" w:firstLineChars="200"/>
    </w:pPr>
  </w:style>
  <w:style w:type="paragraph" w:customStyle="1" w:styleId="41">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2">
    <w:name w:val="active5"/>
    <w:basedOn w:val="20"/>
    <w:qFormat/>
    <w:uiPriority w:val="0"/>
    <w:rPr>
      <w:color w:val="FFFFFF"/>
      <w:shd w:val="clear" w:fill="428BCA"/>
    </w:rPr>
  </w:style>
  <w:style w:type="character" w:customStyle="1" w:styleId="43">
    <w:name w:val="ui-jqgrid-resize"/>
    <w:basedOn w:val="20"/>
    <w:qFormat/>
    <w:uiPriority w:val="0"/>
  </w:style>
  <w:style w:type="character" w:customStyle="1" w:styleId="44">
    <w:name w:val="ui-icon37"/>
    <w:basedOn w:val="20"/>
    <w:qFormat/>
    <w:uiPriority w:val="0"/>
  </w:style>
  <w:style w:type="character" w:customStyle="1" w:styleId="45">
    <w:name w:val="ui-icon38"/>
    <w:basedOn w:val="20"/>
    <w:qFormat/>
    <w:uiPriority w:val="0"/>
  </w:style>
  <w:style w:type="character" w:customStyle="1" w:styleId="46">
    <w:name w:val="ui-icon39"/>
    <w:basedOn w:val="20"/>
    <w:qFormat/>
    <w:uiPriority w:val="0"/>
  </w:style>
  <w:style w:type="character" w:customStyle="1" w:styleId="47">
    <w:name w:val="input-icon2"/>
    <w:basedOn w:val="20"/>
    <w:qFormat/>
    <w:uiPriority w:val="0"/>
  </w:style>
  <w:style w:type="character" w:customStyle="1" w:styleId="48">
    <w:name w:val="before"/>
    <w:basedOn w:val="20"/>
    <w:qFormat/>
    <w:uiPriority w:val="0"/>
    <w:rPr>
      <w:rFonts w:hint="default" w:ascii="FontAwesome" w:hAnsi="FontAwesome" w:eastAsia="FontAwesome" w:cs="FontAwesome"/>
      <w:color w:val="888888"/>
    </w:rPr>
  </w:style>
  <w:style w:type="character" w:customStyle="1" w:styleId="49">
    <w:name w:val="before1"/>
    <w:basedOn w:val="20"/>
    <w:qFormat/>
    <w:uiPriority w:val="0"/>
    <w:rPr>
      <w:rFonts w:hint="default" w:ascii="FontAwesome" w:hAnsi="FontAwesome" w:eastAsia="FontAwesome" w:cs="FontAwesome"/>
      <w:color w:val="888888"/>
    </w:rPr>
  </w:style>
  <w:style w:type="character" w:customStyle="1" w:styleId="50">
    <w:name w:val="hover6"/>
    <w:basedOn w:val="20"/>
    <w:qFormat/>
    <w:uiPriority w:val="0"/>
    <w:rPr>
      <w:shd w:val="clear" w:fill="EEEEEE"/>
    </w:rPr>
  </w:style>
  <w:style w:type="character" w:customStyle="1" w:styleId="51">
    <w:name w:val="old"/>
    <w:basedOn w:val="20"/>
    <w:qFormat/>
    <w:uiPriority w:val="0"/>
    <w:rPr>
      <w:color w:val="999999"/>
    </w:rPr>
  </w:style>
  <w:style w:type="character" w:customStyle="1" w:styleId="52">
    <w:name w:val="ui-icon40"/>
    <w:basedOn w:val="20"/>
    <w:qFormat/>
    <w:uiPriority w:val="0"/>
  </w:style>
  <w:style w:type="paragraph" w:customStyle="1" w:styleId="53">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4">
    <w:name w:val="font31"/>
    <w:basedOn w:val="20"/>
    <w:qFormat/>
    <w:uiPriority w:val="0"/>
    <w:rPr>
      <w:rFonts w:hint="default" w:ascii="Arial" w:hAnsi="Arial" w:cs="Arial"/>
      <w:b/>
      <w:color w:val="000000"/>
      <w:sz w:val="24"/>
      <w:szCs w:val="24"/>
      <w:u w:val="none"/>
    </w:rPr>
  </w:style>
  <w:style w:type="character" w:customStyle="1" w:styleId="55">
    <w:name w:val="font81"/>
    <w:basedOn w:val="20"/>
    <w:qFormat/>
    <w:uiPriority w:val="0"/>
    <w:rPr>
      <w:rFonts w:ascii="新宋体" w:hAnsi="新宋体" w:eastAsia="新宋体" w:cs="新宋体"/>
      <w:color w:val="000000"/>
      <w:sz w:val="21"/>
      <w:szCs w:val="21"/>
      <w:u w:val="none"/>
    </w:rPr>
  </w:style>
  <w:style w:type="character" w:customStyle="1" w:styleId="56">
    <w:name w:val="font41"/>
    <w:basedOn w:val="20"/>
    <w:qFormat/>
    <w:uiPriority w:val="0"/>
    <w:rPr>
      <w:rFonts w:hint="default" w:ascii="Times New Roman" w:hAnsi="Times New Roman" w:cs="Times New Roman"/>
      <w:color w:val="000000"/>
      <w:sz w:val="18"/>
      <w:szCs w:val="18"/>
      <w:u w:val="none"/>
    </w:rPr>
  </w:style>
  <w:style w:type="character" w:customStyle="1" w:styleId="57">
    <w:name w:val="font51"/>
    <w:basedOn w:val="20"/>
    <w:qFormat/>
    <w:uiPriority w:val="0"/>
    <w:rPr>
      <w:rFonts w:hint="eastAsia" w:ascii="宋体" w:hAnsi="宋体" w:eastAsia="宋体" w:cs="宋体"/>
      <w:b/>
      <w:color w:val="000000"/>
      <w:sz w:val="32"/>
      <w:szCs w:val="32"/>
      <w:u w:val="none"/>
    </w:rPr>
  </w:style>
  <w:style w:type="character" w:customStyle="1" w:styleId="58">
    <w:name w:val="font01"/>
    <w:basedOn w:val="20"/>
    <w:qFormat/>
    <w:uiPriority w:val="0"/>
    <w:rPr>
      <w:rFonts w:hint="eastAsia" w:ascii="宋体" w:hAnsi="宋体" w:eastAsia="宋体" w:cs="宋体"/>
      <w:color w:val="000000"/>
      <w:sz w:val="24"/>
      <w:szCs w:val="24"/>
      <w:u w:val="none"/>
    </w:rPr>
  </w:style>
  <w:style w:type="character" w:customStyle="1" w:styleId="59">
    <w:name w:val="font71"/>
    <w:basedOn w:val="20"/>
    <w:qFormat/>
    <w:uiPriority w:val="0"/>
    <w:rPr>
      <w:rFonts w:hint="default" w:ascii="仿宋_GB2312" w:eastAsia="仿宋_GB2312" w:cs="仿宋_GB2312"/>
      <w:b/>
      <w:bCs/>
      <w:color w:val="000000"/>
      <w:sz w:val="32"/>
      <w:szCs w:val="32"/>
      <w:u w:val="none"/>
    </w:rPr>
  </w:style>
  <w:style w:type="character" w:customStyle="1" w:styleId="60">
    <w:name w:val="active1"/>
    <w:basedOn w:val="20"/>
    <w:qFormat/>
    <w:uiPriority w:val="0"/>
    <w:rPr>
      <w:color w:val="FFFFFF"/>
      <w:shd w:val="clear" w:fill="428BCA"/>
    </w:rPr>
  </w:style>
  <w:style w:type="character" w:customStyle="1" w:styleId="61">
    <w:name w:val="hover5"/>
    <w:basedOn w:val="20"/>
    <w:qFormat/>
    <w:uiPriority w:val="0"/>
    <w:rPr>
      <w:shd w:val="clear" w:fill="EEEEEE"/>
    </w:rPr>
  </w:style>
  <w:style w:type="character" w:customStyle="1" w:styleId="62">
    <w:name w:val="ui-jqgrid-resize2"/>
    <w:basedOn w:val="20"/>
    <w:qFormat/>
    <w:uiPriority w:val="0"/>
  </w:style>
  <w:style w:type="paragraph" w:customStyle="1" w:styleId="6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45</Pages>
  <Words>4437</Words>
  <Characters>4752</Characters>
  <Lines>701</Lines>
  <Paragraphs>197</Paragraphs>
  <TotalTime>11</TotalTime>
  <ScaleCrop>false</ScaleCrop>
  <LinksUpToDate>false</LinksUpToDate>
  <CharactersWithSpaces>4820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2020-09-02T10:13:00Z</dcterms:created>
  <dc:creator>随风</dc:creator>
  <cp:lastModifiedBy>咪迷米幂</cp:lastModifiedBy>
  <cp:lastPrinted>2024-04-25T01:15:00Z</cp:lastPrinted>
  <dcterms:modified xsi:type="dcterms:W3CDTF">2024-12-03T10:34:06Z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30DD478F507349779590A2A19939BDFA_13</vt:lpwstr>
  </property>
</Properties>
</file>