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pPr>
        <w:pageBreakBefore w:val="0"/>
        <w:wordWrap/>
        <w:topLinePunct w:val="0"/>
        <w:bidi w:val="0"/>
        <w:spacing w:line="360" w:lineRule="auto"/>
        <w:textAlignment w:val="auto"/>
        <w:rPr>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6825786"/>
      <w:bookmarkStart w:id="1" w:name="_Toc245887524"/>
      <w:bookmarkStart w:id="2" w:name="_Toc245888257"/>
      <w:bookmarkStart w:id="3" w:name="_Toc246826091"/>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5888258"/>
      <w:bookmarkStart w:id="5" w:name="_Toc246825787"/>
      <w:bookmarkStart w:id="6" w:name="_Toc246826092"/>
      <w:bookmarkStart w:id="7" w:name="_Toc245887525"/>
      <w:r>
        <w:rPr>
          <w:rFonts w:hint="eastAsia" w:asciiTheme="minorEastAsia" w:hAnsiTheme="minorEastAsia" w:eastAsiaTheme="minorEastAsia" w:cstheme="minorEastAsia"/>
          <w:b/>
          <w:bCs w:val="0"/>
          <w:color w:val="auto"/>
          <w:sz w:val="28"/>
          <w:szCs w:val="28"/>
          <w:lang w:val="en-US" w:eastAsia="zh-CN"/>
        </w:rPr>
        <w:t>zfcg-fw-20241028-002</w:t>
      </w:r>
      <w:r>
        <w:rPr>
          <w:rFonts w:hint="eastAsia" w:asciiTheme="minorEastAsia" w:hAnsiTheme="minorEastAsia" w:eastAsiaTheme="minorEastAsia" w:cstheme="minorEastAsia"/>
          <w:b/>
          <w:bCs w:val="0"/>
          <w:color w:val="auto"/>
          <w:sz w:val="28"/>
          <w:szCs w:val="28"/>
        </w:rPr>
        <w:t xml:space="preserve"> </w:t>
      </w:r>
    </w:p>
    <w:p>
      <w:pPr>
        <w:pStyle w:val="10"/>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6825789"/>
      <w:bookmarkStart w:id="9" w:name="_Toc245888260"/>
      <w:bookmarkStart w:id="10" w:name="_Toc245887527"/>
      <w:bookmarkStart w:id="11" w:name="_Toc246826094"/>
      <w:r>
        <w:rPr>
          <w:rFonts w:hint="eastAsia" w:asciiTheme="minorEastAsia" w:hAnsiTheme="minorEastAsia" w:eastAsiaTheme="minorEastAsia" w:cstheme="minorEastAsia"/>
          <w:b/>
          <w:bCs w:val="0"/>
          <w:color w:val="auto"/>
          <w:sz w:val="28"/>
          <w:szCs w:val="28"/>
        </w:rPr>
        <w:t>海口江东新区管理局年度综合咨询服务</w:t>
      </w:r>
    </w:p>
    <w:p>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采</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购</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人：</w:t>
      </w:r>
      <w:bookmarkEnd w:id="8"/>
      <w:bookmarkEnd w:id="9"/>
      <w:bookmarkEnd w:id="10"/>
      <w:bookmarkEnd w:id="11"/>
      <w:r>
        <w:rPr>
          <w:rFonts w:hint="eastAsia" w:asciiTheme="minorEastAsia" w:hAnsiTheme="minorEastAsia" w:eastAsiaTheme="minorEastAsia" w:cstheme="minorEastAsia"/>
          <w:b/>
          <w:bCs w:val="0"/>
          <w:color w:val="auto"/>
          <w:sz w:val="28"/>
          <w:szCs w:val="28"/>
          <w:lang w:val="en-US" w:eastAsia="zh-CN"/>
        </w:rPr>
        <w:t>海口江东新区管理局</w:t>
      </w: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0"/>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pPr>
        <w:pStyle w:val="8"/>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pPr>
        <w:pStyle w:val="30"/>
        <w:pageBreakBefore w:val="0"/>
        <w:wordWrap/>
        <w:topLinePunct w:val="0"/>
        <w:bidi w:val="0"/>
        <w:spacing w:line="360" w:lineRule="auto"/>
        <w:textAlignment w:val="auto"/>
        <w:rPr>
          <w:rFonts w:hint="eastAsia"/>
          <w:color w:val="auto"/>
          <w:sz w:val="21"/>
          <w:szCs w:val="21"/>
        </w:rPr>
      </w:pPr>
    </w:p>
    <w:p>
      <w:pPr>
        <w:pStyle w:val="17"/>
        <w:ind w:left="0" w:leftChars="0" w:firstLine="0" w:firstLineChars="0"/>
        <w:rPr>
          <w:rFonts w:hint="eastAsia"/>
          <w:color w:val="auto"/>
          <w:sz w:val="21"/>
          <w:szCs w:val="21"/>
        </w:rPr>
      </w:pPr>
    </w:p>
    <w:p>
      <w:pPr>
        <w:pStyle w:val="17"/>
        <w:rPr>
          <w:rFonts w:hint="eastAsia"/>
          <w:color w:val="auto"/>
          <w:sz w:val="21"/>
          <w:szCs w:val="21"/>
        </w:rPr>
      </w:pPr>
    </w:p>
    <w:p>
      <w:pPr>
        <w:pStyle w:val="17"/>
        <w:rPr>
          <w:rFonts w:hint="eastAsia"/>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Style w:val="10"/>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 xml:space="preserve">    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12</w:t>
      </w:r>
      <w:r>
        <w:rPr>
          <w:rFonts w:hint="eastAsia" w:asciiTheme="minorEastAsia" w:hAnsiTheme="minorEastAsia" w:eastAsiaTheme="minorEastAsia" w:cstheme="minorEastAsia"/>
          <w:b/>
          <w:color w:val="auto"/>
          <w:spacing w:val="40"/>
          <w:sz w:val="28"/>
          <w:szCs w:val="28"/>
        </w:rPr>
        <w:t xml:space="preserve">月  </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2"/>
          <w:sz w:val="24"/>
          <w:szCs w:val="24"/>
          <w:u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 xml:space="preserve">第一章 </w:t>
      </w:r>
      <w:r>
        <w:rPr>
          <w:rFonts w:hint="eastAsia" w:asciiTheme="minorEastAsia" w:hAnsiTheme="minorEastAsia" w:eastAsiaTheme="minorEastAsia" w:cstheme="minorEastAsia"/>
          <w:b/>
          <w:color w:val="auto"/>
          <w:sz w:val="21"/>
          <w:szCs w:val="21"/>
          <w:lang w:val="en-US" w:eastAsia="zh-CN"/>
        </w:rPr>
        <w:t>比选公告</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第二章 采购需求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第三章 供应商须知</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第四章 审查标准和评审标准</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第五章 采购合同格式</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sectPr>
          <w:footerReference r:id="rId8" w:type="default"/>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
          <w:color w:val="auto"/>
          <w:sz w:val="21"/>
          <w:szCs w:val="21"/>
          <w:lang w:val="en-US" w:eastAsia="zh-CN"/>
        </w:rPr>
        <w:t>第六章 响应文件格式及附件</w:t>
      </w: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eastAsia="zh-CN"/>
        </w:rPr>
        <w:t>比选公告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 w:val="0"/>
          <w:bCs/>
          <w:color w:val="auto"/>
          <w:sz w:val="21"/>
          <w:szCs w:val="21"/>
          <w:lang w:val="en-US" w:eastAsia="zh-CN"/>
        </w:rPr>
        <w:t xml:space="preserve"> zfcg-fw-20241028-002</w:t>
      </w:r>
      <w:r>
        <w:rPr>
          <w:rFonts w:hint="eastAsia" w:asciiTheme="minorEastAsia" w:hAnsiTheme="minorEastAsia" w:eastAsiaTheme="minorEastAsia" w:cstheme="minorEastAsia"/>
          <w:b w:val="0"/>
          <w:bCs/>
          <w:color w:val="auto"/>
          <w:sz w:val="21"/>
          <w:szCs w:val="21"/>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2、项目名称：海口江东新区管理局年度综合咨询服务</w:t>
      </w:r>
      <w:r>
        <w:rPr>
          <w:rFonts w:hint="eastAsia" w:asciiTheme="minorEastAsia" w:hAnsiTheme="minorEastAsia" w:eastAsiaTheme="minorEastAsia" w:cstheme="minorEastAsia"/>
          <w:b w:val="0"/>
          <w:bCs/>
          <w:color w:val="auto"/>
          <w:sz w:val="21"/>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3、预算金额：</w:t>
      </w:r>
      <w:r>
        <w:rPr>
          <w:rFonts w:hint="eastAsia" w:asciiTheme="minorEastAsia" w:hAnsiTheme="minorEastAsia" w:eastAsiaTheme="minorEastAsia" w:cstheme="minorEastAsia"/>
          <w:b w:val="0"/>
          <w:bCs/>
          <w:color w:val="auto"/>
          <w:sz w:val="21"/>
          <w:szCs w:val="21"/>
          <w:lang w:val="en-US" w:eastAsia="zh-CN"/>
        </w:rPr>
        <w:t>人民币110万元</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color w:val="auto"/>
          <w:sz w:val="21"/>
          <w:szCs w:val="21"/>
          <w:lang w:val="en-US" w:eastAsia="zh-CN"/>
        </w:rPr>
      </w:pPr>
      <w:r>
        <w:rPr>
          <w:rFonts w:hint="eastAsia" w:hAnsi="宋体" w:cs="宋体"/>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 w:val="0"/>
          <w:bCs/>
          <w:color w:val="auto"/>
          <w:sz w:val="21"/>
          <w:szCs w:val="21"/>
          <w:lang w:val="en-US" w:eastAsia="zh-CN"/>
        </w:rPr>
        <w:t>人民币110万元</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yellow"/>
          <w:lang w:val="en-US"/>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采购需求：详见第二章；</w:t>
      </w:r>
    </w:p>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eastAsia="宋体" w:cs="Times New Roman"/>
          <w:b w:val="0"/>
          <w:bCs/>
          <w:color w:val="auto"/>
          <w:sz w:val="21"/>
          <w:szCs w:val="21"/>
          <w:highlight w:val="none"/>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28359080"/>
      <w:bookmarkStart w:id="13" w:name="_Toc35393622"/>
      <w:bookmarkStart w:id="14" w:name="_Toc35393791"/>
      <w:bookmarkStart w:id="15" w:name="_Toc28359003"/>
      <w:r>
        <w:rPr>
          <w:rFonts w:hint="eastAsia" w:asciiTheme="minorEastAsia" w:hAnsiTheme="minorEastAsia" w:eastAsiaTheme="minorEastAsia" w:cstheme="minorEastAsia"/>
          <w:b w:val="0"/>
          <w:bCs/>
          <w:color w:val="auto"/>
          <w:sz w:val="21"/>
          <w:szCs w:val="21"/>
          <w:lang w:eastAsia="zh-CN"/>
        </w:rPr>
        <w:t>：</w:t>
      </w:r>
      <w:r>
        <w:rPr>
          <w:rFonts w:hint="eastAsia" w:ascii="宋体" w:hAnsi="宋体" w:eastAsia="宋体" w:cs="宋体"/>
          <w:b w:val="0"/>
          <w:bCs/>
          <w:color w:val="auto"/>
          <w:sz w:val="21"/>
          <w:szCs w:val="21"/>
          <w:highlight w:val="none"/>
          <w:lang w:val="en-US" w:eastAsia="zh-CN"/>
        </w:rPr>
        <w:t>自合同签订起</w:t>
      </w:r>
      <w:r>
        <w:rPr>
          <w:rFonts w:hint="eastAsia" w:ascii="宋体" w:hAnsi="宋体" w:cs="宋体"/>
          <w:b w:val="0"/>
          <w:bCs/>
          <w:color w:val="auto"/>
          <w:sz w:val="21"/>
          <w:szCs w:val="21"/>
          <w:highlight w:val="none"/>
          <w:lang w:val="en-US" w:eastAsia="zh-CN"/>
        </w:rPr>
        <w:t>两</w:t>
      </w:r>
      <w:r>
        <w:rPr>
          <w:rFonts w:hint="eastAsia" w:ascii="宋体" w:hAnsi="宋体" w:eastAsia="宋体" w:cs="宋体"/>
          <w:b w:val="0"/>
          <w:bCs/>
          <w:color w:val="auto"/>
          <w:sz w:val="21"/>
          <w:szCs w:val="21"/>
          <w:highlight w:val="none"/>
          <w:lang w:val="en-US" w:eastAsia="zh-CN"/>
        </w:rPr>
        <w:t>年或合同履约金额达110万元（达到其中一个条件合同自动终止）</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pPr>
        <w:pStyle w:val="10"/>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0"/>
        <w:rPr>
          <w:rFonts w:hint="default" w:ascii="宋体" w:hAnsi="宋体" w:eastAsia="宋体" w:cs="宋体"/>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质量标准：符合采购人要求</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35393792"/>
      <w:bookmarkStart w:id="17" w:name="_Toc28359081"/>
      <w:bookmarkStart w:id="18" w:name="_Toc35393623"/>
      <w:bookmarkStart w:id="19" w:name="_Toc28359004"/>
      <w:r>
        <w:rPr>
          <w:rFonts w:hint="eastAsia" w:ascii="宋体" w:hAnsi="宋体" w:eastAsia="宋体" w:cs="宋体"/>
          <w:b w:val="0"/>
          <w:bCs/>
          <w:color w:val="auto"/>
          <w:sz w:val="21"/>
          <w:szCs w:val="21"/>
        </w:rPr>
        <w:t>1、满足《中华人民共和国政府采购法》第二十二条规定；</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本项目</w:t>
      </w:r>
      <w:r>
        <w:rPr>
          <w:rFonts w:hint="eastAsia" w:ascii="宋体" w:hAnsi="宋体" w:eastAsia="宋体" w:cs="宋体"/>
          <w:b w:val="0"/>
          <w:bCs/>
          <w:color w:val="auto"/>
          <w:sz w:val="21"/>
          <w:szCs w:val="21"/>
          <w:lang w:val="en-US" w:eastAsia="zh-CN"/>
        </w:rPr>
        <w:t>专门面向中小企业采购的项目,供应商应为中小微企业、监狱企业、残疾人福利性单位。</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3.2本项目不接受联合体</w:t>
      </w:r>
      <w:r>
        <w:rPr>
          <w:rFonts w:hint="eastAsia" w:hAnsi="宋体" w:cs="宋体"/>
          <w:b w:val="0"/>
          <w:bCs/>
          <w:color w:val="auto"/>
          <w:sz w:val="21"/>
          <w:szCs w:val="21"/>
          <w:lang w:eastAsia="zh-CN"/>
        </w:rPr>
        <w:t>响应</w:t>
      </w:r>
      <w:r>
        <w:rPr>
          <w:rFonts w:hint="eastAsia" w:ascii="宋体" w:hAnsi="宋体" w:eastAsia="宋体" w:cs="宋体"/>
          <w:b w:val="0"/>
          <w:bCs/>
          <w:color w:val="auto"/>
          <w:sz w:val="21"/>
          <w:szCs w:val="21"/>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w:t>
      </w:r>
      <w:r>
        <w:rPr>
          <w:rFonts w:hint="eastAsia" w:asciiTheme="minorEastAsia" w:hAnsiTheme="minorEastAsia" w:eastAsiaTheme="minorEastAsia" w:cstheme="minorEastAsia"/>
          <w:b/>
          <w:bCs w:val="0"/>
          <w:color w:val="auto"/>
          <w:sz w:val="21"/>
          <w:szCs w:val="21"/>
          <w:lang w:val="en-US" w:eastAsia="zh-CN"/>
        </w:rPr>
        <w:t>时间、</w:t>
      </w:r>
      <w:r>
        <w:rPr>
          <w:rFonts w:hint="eastAsia" w:asciiTheme="minorEastAsia" w:hAnsiTheme="minorEastAsia" w:eastAsiaTheme="minorEastAsia" w:cstheme="minorEastAsia"/>
          <w:b/>
          <w:bCs w:val="0"/>
          <w:color w:val="auto"/>
          <w:sz w:val="21"/>
          <w:szCs w:val="21"/>
        </w:rPr>
        <w:t>办法</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bookmarkStart w:id="20" w:name="_Toc35393627"/>
      <w:bookmarkStart w:id="21" w:name="_Toc28359085"/>
      <w:bookmarkStart w:id="22" w:name="_Toc35393796"/>
      <w:bookmarkStart w:id="23" w:name="_Toc28359008"/>
      <w:r>
        <w:rPr>
          <w:rFonts w:hint="eastAsia" w:asciiTheme="minorEastAsia" w:hAnsiTheme="minorEastAsia" w:eastAsiaTheme="minorEastAsia" w:cstheme="minorEastAsia"/>
          <w:b w:val="0"/>
          <w:bCs/>
          <w:color w:val="auto"/>
          <w:sz w:val="21"/>
          <w:szCs w:val="21"/>
        </w:rPr>
        <w:t>1、采购比选文件获取时间： 2024年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14</w:t>
      </w:r>
      <w:r>
        <w:rPr>
          <w:rFonts w:hint="eastAsia" w:asciiTheme="minorEastAsia" w:hAnsiTheme="minorEastAsia" w:eastAsiaTheme="minorEastAsia" w:cstheme="minorEastAsia"/>
          <w:b w:val="0"/>
          <w:bCs/>
          <w:color w:val="auto"/>
          <w:sz w:val="21"/>
          <w:szCs w:val="21"/>
        </w:rPr>
        <w:t>日</w:t>
      </w:r>
      <w:r>
        <w:rPr>
          <w:rFonts w:hint="eastAsia" w:asciiTheme="minorEastAsia" w:hAnsiTheme="minorEastAsia" w:eastAsiaTheme="minorEastAsia" w:cstheme="minorEastAsia"/>
          <w:b w:val="0"/>
          <w:bCs/>
          <w:color w:val="auto"/>
          <w:sz w:val="21"/>
          <w:szCs w:val="21"/>
          <w:lang w:val="en-US" w:eastAsia="zh-CN"/>
        </w:rPr>
        <w:t>00</w:t>
      </w:r>
      <w:r>
        <w:rPr>
          <w:rFonts w:hint="eastAsia" w:asciiTheme="minorEastAsia" w:hAnsiTheme="minorEastAsia" w:eastAsiaTheme="minorEastAsia" w:cstheme="minorEastAsia"/>
          <w:b w:val="0"/>
          <w:bCs/>
          <w:color w:val="auto"/>
          <w:sz w:val="21"/>
          <w:szCs w:val="21"/>
        </w:rPr>
        <w:t>时</w:t>
      </w:r>
      <w:r>
        <w:rPr>
          <w:rFonts w:hint="eastAsia" w:asciiTheme="minorEastAsia" w:hAnsiTheme="minorEastAsia" w:eastAsiaTheme="minorEastAsia" w:cstheme="minorEastAsia"/>
          <w:b w:val="0"/>
          <w:bCs/>
          <w:color w:val="auto"/>
          <w:sz w:val="21"/>
          <w:szCs w:val="21"/>
          <w:lang w:val="en-US" w:eastAsia="zh-CN"/>
        </w:rPr>
        <w:t>00</w:t>
      </w:r>
      <w:r>
        <w:rPr>
          <w:rFonts w:hint="eastAsia" w:asciiTheme="minorEastAsia" w:hAnsiTheme="minorEastAsia" w:eastAsiaTheme="minorEastAsia" w:cstheme="minorEastAsia"/>
          <w:b w:val="0"/>
          <w:bCs/>
          <w:color w:val="auto"/>
          <w:sz w:val="21"/>
          <w:szCs w:val="21"/>
        </w:rPr>
        <w:t>分至2024年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18</w:t>
      </w:r>
      <w:r>
        <w:rPr>
          <w:rFonts w:hint="eastAsia" w:asciiTheme="minorEastAsia" w:hAnsiTheme="minorEastAsia" w:eastAsiaTheme="minorEastAsia" w:cstheme="minorEastAsia"/>
          <w:b w:val="0"/>
          <w:bCs/>
          <w:color w:val="auto"/>
          <w:sz w:val="21"/>
          <w:szCs w:val="21"/>
        </w:rPr>
        <w:t>日</w:t>
      </w:r>
      <w:r>
        <w:rPr>
          <w:rFonts w:hint="eastAsia" w:asciiTheme="minorEastAsia" w:hAnsiTheme="minorEastAsia" w:eastAsiaTheme="minorEastAsia" w:cstheme="minorEastAsia"/>
          <w:b w:val="0"/>
          <w:bCs/>
          <w:color w:val="auto"/>
          <w:sz w:val="21"/>
          <w:szCs w:val="21"/>
          <w:lang w:val="en-US" w:eastAsia="zh-CN"/>
        </w:rPr>
        <w:t>24</w:t>
      </w:r>
      <w:r>
        <w:rPr>
          <w:rFonts w:hint="eastAsia" w:asciiTheme="minorEastAsia" w:hAnsiTheme="minorEastAsia" w:eastAsiaTheme="minorEastAsia" w:cstheme="minorEastAsia"/>
          <w:b w:val="0"/>
          <w:bCs/>
          <w:color w:val="auto"/>
          <w:sz w:val="21"/>
          <w:szCs w:val="21"/>
        </w:rPr>
        <w:t>点</w:t>
      </w:r>
      <w:r>
        <w:rPr>
          <w:rFonts w:hint="eastAsia" w:asciiTheme="minorEastAsia" w:hAnsiTheme="minorEastAsia" w:eastAsiaTheme="minorEastAsia" w:cstheme="minorEastAsia"/>
          <w:b w:val="0"/>
          <w:bCs/>
          <w:color w:val="auto"/>
          <w:sz w:val="21"/>
          <w:szCs w:val="21"/>
          <w:lang w:val="en-US" w:eastAsia="zh-CN"/>
        </w:rPr>
        <w:t>00</w:t>
      </w:r>
      <w:r>
        <w:rPr>
          <w:rFonts w:hint="eastAsia" w:asciiTheme="minorEastAsia" w:hAnsiTheme="minorEastAsia" w:eastAsiaTheme="minorEastAsia" w:cstheme="minorEastAsia"/>
          <w:b w:val="0"/>
          <w:bCs/>
          <w:color w:val="auto"/>
          <w:sz w:val="21"/>
          <w:szCs w:val="21"/>
        </w:rPr>
        <w:t>分（北京时间）；</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2、采购比选文件获取方式：请有意向参与本项目采购活动的</w:t>
      </w:r>
      <w:r>
        <w:rPr>
          <w:rFonts w:hint="eastAsia" w:asciiTheme="minorEastAsia" w:hAnsiTheme="minorEastAsia" w:eastAsiaTheme="minorEastAsia" w:cstheme="minorEastAsia"/>
          <w:b w:val="0"/>
          <w:bCs/>
          <w:color w:val="auto"/>
          <w:sz w:val="21"/>
          <w:szCs w:val="21"/>
          <w:lang w:val="en-US" w:eastAsia="zh-CN"/>
        </w:rPr>
        <w:t>供应商</w:t>
      </w:r>
      <w:r>
        <w:rPr>
          <w:rFonts w:hint="eastAsia" w:asciiTheme="minorEastAsia" w:hAnsiTheme="minorEastAsia" w:eastAsiaTheme="minorEastAsia" w:cstheme="minorEastAsia"/>
          <w:b w:val="0"/>
          <w:bCs/>
          <w:color w:val="auto"/>
          <w:sz w:val="21"/>
          <w:szCs w:val="21"/>
        </w:rPr>
        <w:t>在比选公告界面自行下载比选文件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eastAsia="zh-CN"/>
        </w:rPr>
        <w:t>响应文件递交截止时间</w:t>
      </w:r>
      <w:r>
        <w:rPr>
          <w:rFonts w:hint="eastAsia" w:asciiTheme="minorEastAsia" w:hAnsiTheme="minorEastAsia" w:eastAsiaTheme="minorEastAsia" w:cstheme="minorEastAsia"/>
          <w:b/>
          <w:bCs w:val="0"/>
          <w:color w:val="auto"/>
          <w:sz w:val="21"/>
          <w:szCs w:val="21"/>
        </w:rPr>
        <w:t>、开标时间及地点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auto"/>
          <w:sz w:val="21"/>
          <w:szCs w:val="21"/>
        </w:rPr>
      </w:pPr>
      <w:bookmarkStart w:id="24" w:name="_Toc35393794"/>
      <w:bookmarkStart w:id="25" w:name="_Toc28359007"/>
      <w:bookmarkStart w:id="26" w:name="_Toc28359084"/>
      <w:bookmarkStart w:id="27" w:name="_Toc35393625"/>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响应文件递交截止时间:2024年12月19日下</w:t>
      </w:r>
      <w:bookmarkStart w:id="98" w:name="_GoBack"/>
      <w:bookmarkEnd w:id="98"/>
      <w:r>
        <w:rPr>
          <w:rFonts w:hint="eastAsia" w:asciiTheme="minorEastAsia" w:hAnsiTheme="minorEastAsia" w:eastAsiaTheme="minorEastAsia" w:cstheme="minorEastAsia"/>
          <w:b w:val="0"/>
          <w:bCs/>
          <w:color w:val="auto"/>
          <w:sz w:val="21"/>
          <w:szCs w:val="21"/>
          <w:lang w:val="en-US" w:eastAsia="zh-CN"/>
        </w:rPr>
        <w:t>午15:30（北京时间）；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2、开标时间:与递交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截止时间为同一时间</w:t>
      </w:r>
      <w:r>
        <w:rPr>
          <w:rFonts w:hint="eastAsia" w:asciiTheme="minorEastAsia" w:hAnsiTheme="minorEastAsia" w:eastAsiaTheme="minorEastAsia" w:cstheme="minorEastAsia"/>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及开标地点:</w:t>
      </w:r>
      <w:r>
        <w:rPr>
          <w:rFonts w:hint="eastAsia" w:asciiTheme="minorEastAsia" w:hAnsiTheme="minorEastAsia" w:eastAsiaTheme="minorEastAsia" w:cstheme="minorEastAsia"/>
          <w:b w:val="0"/>
          <w:bCs/>
          <w:color w:val="auto"/>
          <w:sz w:val="21"/>
          <w:szCs w:val="21"/>
          <w:lang w:val="en-US" w:eastAsia="zh-CN"/>
        </w:rPr>
        <w:t>海口江东新区管理局</w:t>
      </w:r>
      <w:r>
        <w:rPr>
          <w:rFonts w:hint="eastAsia" w:asciiTheme="minorEastAsia" w:hAnsiTheme="minorEastAsia" w:eastAsiaTheme="minorEastAsia" w:cstheme="minorEastAsia"/>
          <w:b w:val="0"/>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w:t>
      </w:r>
      <w:r>
        <w:rPr>
          <w:rFonts w:hint="eastAsia" w:asciiTheme="minorEastAsia" w:hAnsiTheme="minorEastAsia" w:eastAsiaTheme="minorEastAsia" w:cstheme="minorEastAsia"/>
          <w:b w:val="0"/>
          <w:bCs/>
          <w:color w:val="auto"/>
          <w:sz w:val="21"/>
          <w:szCs w:val="21"/>
          <w:lang w:val="en-US" w:eastAsia="zh-CN"/>
        </w:rPr>
        <w:t>未</w:t>
      </w:r>
      <w:r>
        <w:rPr>
          <w:rFonts w:hint="eastAsia" w:asciiTheme="minorEastAsia" w:hAnsiTheme="minorEastAsia" w:eastAsiaTheme="minorEastAsia" w:cstheme="minorEastAsia"/>
          <w:b w:val="0"/>
          <w:bCs/>
          <w:color w:val="auto"/>
          <w:sz w:val="21"/>
          <w:szCs w:val="21"/>
        </w:rPr>
        <w:t>送达指定地点的</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，视为无效</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不予接收。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Cs/>
          <w:color w:val="auto"/>
          <w:szCs w:val="21"/>
        </w:rPr>
        <w:t>本项目采购信息指定发布媒体为海口江东新区管理局官网</w:t>
      </w:r>
      <w:r>
        <w:rPr>
          <w:rFonts w:hint="eastAsia" w:asciiTheme="minorEastAsia" w:hAnsiTheme="minorEastAsia" w:eastAsiaTheme="minorEastAsia" w:cstheme="minorEastAsia"/>
          <w:bCs/>
          <w:color w:val="auto"/>
          <w:szCs w:val="21"/>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、有关本项目采购文件的补遗、澄清及变更信息以上述网站公告与下载为准，</w:t>
      </w:r>
      <w:r>
        <w:rPr>
          <w:rFonts w:hint="eastAsia" w:asciiTheme="minorEastAsia" w:hAnsiTheme="minorEastAsia" w:eastAsiaTheme="minorEastAsia" w:cstheme="minorEastAsia"/>
          <w:b w:val="0"/>
          <w:bCs/>
          <w:color w:val="auto"/>
          <w:sz w:val="21"/>
          <w:szCs w:val="21"/>
          <w:lang w:eastAsia="zh-CN"/>
        </w:rPr>
        <w:t>采购人</w:t>
      </w:r>
      <w:r>
        <w:rPr>
          <w:rFonts w:hint="eastAsia" w:asciiTheme="minorEastAsia" w:hAnsiTheme="minorEastAsia" w:eastAsiaTheme="minorEastAsia" w:cstheme="minorEastAsia"/>
          <w:b w:val="0"/>
          <w:bCs/>
          <w:color w:val="auto"/>
          <w:sz w:val="21"/>
          <w:szCs w:val="21"/>
        </w:rPr>
        <w:t>不再另行通知，采购文件与更正公告的内容相互矛盾时，以最后发出的更正公告内容为准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zh-CN"/>
        </w:rPr>
      </w:pPr>
      <w:bookmarkStart w:id="28" w:name="_Toc35393626"/>
      <w:bookmarkStart w:id="29" w:name="_Toc35393795"/>
      <w:r>
        <w:rPr>
          <w:rFonts w:hint="eastAsia" w:asciiTheme="minorEastAsia" w:hAnsiTheme="minorEastAsia" w:eastAsiaTheme="minorEastAsia" w:cstheme="minorEastAsia"/>
          <w:b w:val="0"/>
          <w:bCs/>
          <w:color w:val="auto"/>
          <w:sz w:val="21"/>
          <w:szCs w:val="21"/>
        </w:rPr>
        <w:t>本项目采购公告期限自本公告发布之日起不少于</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个工作日，</w:t>
      </w:r>
      <w:r>
        <w:rPr>
          <w:rFonts w:hint="eastAsia" w:asciiTheme="minorEastAsia" w:hAnsiTheme="minorEastAsia" w:eastAsiaTheme="minorEastAsia" w:cstheme="minorEastAsia"/>
          <w:b w:val="0"/>
          <w:bCs/>
          <w:color w:val="auto"/>
          <w:sz w:val="21"/>
          <w:szCs w:val="21"/>
          <w:lang w:val="zh-CN"/>
        </w:rPr>
        <w:t>自</w:t>
      </w:r>
      <w:r>
        <w:rPr>
          <w:rFonts w:hint="eastAsia" w:asciiTheme="minorEastAsia" w:hAnsiTheme="minorEastAsia" w:eastAsiaTheme="minorEastAsia" w:cstheme="minorEastAsia"/>
          <w:b w:val="0"/>
          <w:bCs/>
          <w:color w:val="auto"/>
          <w:sz w:val="21"/>
          <w:szCs w:val="21"/>
          <w:lang w:val="en-US" w:eastAsia="zh-CN"/>
        </w:rPr>
        <w:t>2024</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14</w:t>
      </w:r>
      <w:r>
        <w:rPr>
          <w:rFonts w:hint="eastAsia" w:asciiTheme="minorEastAsia" w:hAnsiTheme="minorEastAsia" w:eastAsiaTheme="minorEastAsia" w:cstheme="minorEastAsia"/>
          <w:b w:val="0"/>
          <w:bCs/>
          <w:color w:val="auto"/>
          <w:sz w:val="21"/>
          <w:szCs w:val="21"/>
          <w:lang w:val="zh-CN"/>
        </w:rPr>
        <w:t>日</w:t>
      </w:r>
      <w:r>
        <w:rPr>
          <w:rFonts w:hint="eastAsia" w:asciiTheme="minorEastAsia" w:hAnsiTheme="minorEastAsia" w:eastAsiaTheme="minorEastAsia" w:cstheme="minorEastAsia"/>
          <w:b w:val="0"/>
          <w:bCs/>
          <w:color w:val="auto"/>
          <w:sz w:val="21"/>
          <w:szCs w:val="21"/>
          <w:lang w:val="en-US" w:eastAsia="zh-CN"/>
        </w:rPr>
        <w:t>0</w:t>
      </w:r>
      <w:r>
        <w:rPr>
          <w:rFonts w:hint="eastAsia" w:asciiTheme="minorEastAsia" w:hAnsiTheme="minorEastAsia" w:eastAsiaTheme="minorEastAsia" w:cstheme="minorEastAsia"/>
          <w:b w:val="0"/>
          <w:bCs/>
          <w:color w:val="auto"/>
          <w:sz w:val="21"/>
          <w:szCs w:val="21"/>
          <w:lang w:val="zh-CN"/>
        </w:rPr>
        <w:t>时起至</w:t>
      </w:r>
      <w:r>
        <w:rPr>
          <w:rFonts w:hint="eastAsia" w:asciiTheme="minorEastAsia" w:hAnsiTheme="minorEastAsia" w:eastAsiaTheme="minorEastAsia" w:cstheme="minorEastAsia"/>
          <w:b w:val="0"/>
          <w:bCs/>
          <w:color w:val="auto"/>
          <w:sz w:val="21"/>
          <w:szCs w:val="21"/>
          <w:lang w:val="en-US" w:eastAsia="zh-CN"/>
        </w:rPr>
        <w:t>2024</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18</w:t>
      </w:r>
      <w:r>
        <w:rPr>
          <w:rFonts w:hint="eastAsia" w:asciiTheme="minorEastAsia" w:hAnsiTheme="minorEastAsia" w:eastAsiaTheme="minorEastAsia" w:cstheme="minorEastAsia"/>
          <w:b w:val="0"/>
          <w:bCs/>
          <w:color w:val="auto"/>
          <w:sz w:val="21"/>
          <w:szCs w:val="21"/>
          <w:lang w:val="zh-CN"/>
        </w:rPr>
        <w:t>日2</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rPr>
        <w:t>时止。</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rPr>
        <w:t>七、其他补充事宜</w:t>
      </w:r>
      <w:bookmarkEnd w:id="28"/>
      <w:bookmarkEnd w:id="29"/>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val="0"/>
          <w:bCs/>
          <w:color w:val="auto"/>
          <w:sz w:val="21"/>
          <w:szCs w:val="21"/>
          <w:lang w:val="en-US" w:eastAsia="zh-CN"/>
        </w:rPr>
        <w:t>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名称：</w:t>
      </w:r>
      <w:r>
        <w:rPr>
          <w:rFonts w:hint="eastAsia" w:asciiTheme="minorEastAsia" w:hAnsiTheme="minorEastAsia" w:eastAsiaTheme="minorEastAsia" w:cstheme="minorEastAsia"/>
          <w:bCs/>
          <w:color w:val="auto"/>
          <w:sz w:val="21"/>
          <w:szCs w:val="21"/>
          <w:lang w:val="en-US" w:eastAsia="zh-CN"/>
        </w:rPr>
        <w:t xml:space="preserve">海口江东新区管理局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w:t>
      </w:r>
      <w:r>
        <w:rPr>
          <w:rFonts w:hint="eastAsia" w:asciiTheme="minorEastAsia" w:hAnsiTheme="minorEastAsia" w:eastAsiaTheme="minorEastAsia" w:cstheme="minorEastAsia"/>
          <w:bCs/>
          <w:color w:val="auto"/>
          <w:sz w:val="21"/>
          <w:szCs w:val="21"/>
          <w:lang w:val="en-US" w:eastAsia="zh-CN"/>
        </w:rPr>
        <w:t>海口市美兰区江东大道202号</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联系</w:t>
      </w:r>
      <w:r>
        <w:rPr>
          <w:rFonts w:hint="eastAsia" w:asciiTheme="minorEastAsia" w:hAnsiTheme="minorEastAsia" w:eastAsiaTheme="minorEastAsia" w:cstheme="minorEastAsia"/>
          <w:bCs/>
          <w:color w:val="auto"/>
          <w:sz w:val="21"/>
          <w:szCs w:val="21"/>
          <w:lang w:val="en-US" w:eastAsia="zh-CN"/>
        </w:rPr>
        <w:t>人：于女士</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en-US" w:eastAsia="zh-CN"/>
        </w:rPr>
        <w:t>联系方式：</w:t>
      </w:r>
      <w:bookmarkStart w:id="30" w:name="_Toc28359009"/>
      <w:bookmarkStart w:id="31" w:name="_Toc28359086"/>
      <w:r>
        <w:rPr>
          <w:rFonts w:hint="eastAsia" w:asciiTheme="minorEastAsia" w:hAnsiTheme="minorEastAsia" w:eastAsiaTheme="minorEastAsia" w:cstheme="minorEastAsia"/>
          <w:bCs/>
          <w:color w:val="auto"/>
          <w:sz w:val="21"/>
          <w:szCs w:val="21"/>
          <w:lang w:val="en-US" w:eastAsia="zh-CN"/>
        </w:rPr>
        <w:t>(0898)65686617</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 </w:t>
      </w:r>
    </w:p>
    <w:bookmarkEnd w:id="30"/>
    <w:bookmarkEnd w:id="31"/>
    <w:p>
      <w:pPr>
        <w:pageBreakBefore w:val="0"/>
        <w:widowControl w:val="0"/>
        <w:numPr>
          <w:ilvl w:val="0"/>
          <w:numId w:val="1"/>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采购需求</w:t>
      </w: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一、项目背景</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1、项目名称：海口江东新区管理局年度综合咨询服务</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 xml:space="preserve">2、项目编号：zfcg-fw-20241028-002 </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3、预算金额：110.00万元；</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4、服务期限：自合同签订起</w:t>
      </w:r>
      <w:r>
        <w:rPr>
          <w:rFonts w:hint="eastAsia" w:ascii="宋体" w:hAnsi="Courier New" w:cs="Times New Roman"/>
          <w:color w:val="auto"/>
          <w:kern w:val="2"/>
          <w:sz w:val="21"/>
          <w:szCs w:val="20"/>
          <w:highlight w:val="none"/>
          <w:lang w:val="en-US" w:eastAsia="zh-CN" w:bidi="ar-SA"/>
        </w:rPr>
        <w:t>两</w:t>
      </w:r>
      <w:r>
        <w:rPr>
          <w:rFonts w:hint="eastAsia" w:ascii="宋体" w:hAnsi="Courier New" w:eastAsia="宋体" w:cs="Times New Roman"/>
          <w:color w:val="auto"/>
          <w:kern w:val="2"/>
          <w:sz w:val="21"/>
          <w:szCs w:val="20"/>
          <w:highlight w:val="none"/>
          <w:lang w:val="en-US" w:eastAsia="zh-CN" w:bidi="ar-SA"/>
        </w:rPr>
        <w:t>年内完成</w:t>
      </w:r>
      <w:r>
        <w:rPr>
          <w:rFonts w:hint="eastAsia" w:ascii="宋体" w:hAnsi="宋体" w:eastAsia="宋体" w:cs="宋体"/>
          <w:b w:val="0"/>
          <w:bCs/>
          <w:color w:val="auto"/>
          <w:sz w:val="21"/>
          <w:szCs w:val="21"/>
          <w:highlight w:val="none"/>
          <w:lang w:val="en-US" w:eastAsia="zh-CN"/>
        </w:rPr>
        <w:t>或合同履约金额达110万元（达到其中一个条件合同自动终止）；</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5、服务地点：海口江东新区（采购人指定地点）；</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6、所属行业：</w:t>
      </w:r>
      <w:r>
        <w:rPr>
          <w:rFonts w:hint="eastAsia" w:ascii="宋体" w:hAnsi="宋体" w:eastAsia="宋体" w:cs="宋体"/>
          <w:i w:val="0"/>
          <w:iCs w:val="0"/>
          <w:caps w:val="0"/>
          <w:color w:val="333333"/>
          <w:spacing w:val="0"/>
          <w:sz w:val="20"/>
          <w:szCs w:val="20"/>
          <w:shd w:val="clear" w:fill="FFFFFF"/>
        </w:rPr>
        <w:t>其他未列明行业</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7、付款方式：届时由成交供应商与采购人签订合同；</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8、验收标准：按国家行业规范标准及合同要求进行验收。</w:t>
      </w:r>
    </w:p>
    <w:p>
      <w:pPr>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二</w:t>
      </w:r>
      <w:r>
        <w:rPr>
          <w:rFonts w:hint="eastAsia" w:ascii="宋体" w:hAnsi="宋体" w:eastAsia="宋体" w:cs="宋体"/>
          <w:b/>
          <w:bCs w:val="0"/>
          <w:i w:val="0"/>
          <w:iCs w:val="0"/>
          <w:color w:val="auto"/>
          <w:kern w:val="2"/>
          <w:sz w:val="21"/>
          <w:szCs w:val="21"/>
          <w:highlight w:val="none"/>
          <w:u w:val="none"/>
          <w:lang w:val="en-US" w:eastAsia="zh-CN" w:bidi="ar-SA"/>
        </w:rPr>
        <w:t>、项目目标</w:t>
      </w:r>
    </w:p>
    <w:p>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江东新区正在快速发展，在基础设施建设方面，交通、水利、能源等基础设施的建设不仅需要大量的资金投入，更需要专业化的规划和设计来确保项目的科学性和可行性。在规划、园区设计等方面，结合新区的产业发展战略，通过专业化的设计和规划，推动新区产业集聚和协同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三</w:t>
      </w:r>
      <w:r>
        <w:rPr>
          <w:rFonts w:hint="eastAsia" w:ascii="宋体" w:hAnsi="宋体" w:eastAsia="宋体" w:cs="宋体"/>
          <w:b/>
          <w:bCs w:val="0"/>
          <w:i w:val="0"/>
          <w:iCs w:val="0"/>
          <w:color w:val="auto"/>
          <w:kern w:val="2"/>
          <w:sz w:val="21"/>
          <w:szCs w:val="21"/>
          <w:highlight w:val="none"/>
          <w:u w:val="none"/>
          <w:lang w:val="en-US" w:eastAsia="zh-CN" w:bidi="ar-SA"/>
        </w:rPr>
        <w:t>、工作内容</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本次服务工作内容主要为在合同约定时限内为江东新区管理局提供综合咨询服务，咨询的范围包括但不限于以下内容：。</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一部分为专家咨询类：（1）政策研究咨询：为发包人研究制定政策提供专家咨询服务，并根据需要提交资政建议报告；（2）专项规划咨询：为发包人在园区专项规划编制等方面提供咨询建议，并根据需要与相关第三方机构开展座谈交流</w:t>
      </w:r>
      <w:r>
        <w:rPr>
          <w:rFonts w:hint="eastAsia" w:ascii="宋体" w:hAnsi="Courier New" w:cs="Times New Roman"/>
          <w:color w:val="auto"/>
          <w:kern w:val="2"/>
          <w:sz w:val="21"/>
          <w:szCs w:val="20"/>
          <w:highlight w:val="none"/>
          <w:lang w:val="en-US" w:eastAsia="zh-CN" w:bidi="ar-SA"/>
        </w:rPr>
        <w:t>；（3）空间规划咨询：包括完善江东新区规划体系、规划选址、规划调整、规划许可核发、方案变更、规划核查、规划评审、规划决策等方面的咨询建议；（4）项目研究咨询：对其他第三方机构开展项目策划成果审查提供建议，对项目设计方案等材料技术性审查提供建议，项目全过程咨询建议。</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第二部分为项目研究类报告编制：（1</w:t>
      </w:r>
      <w:r>
        <w:rPr>
          <w:rFonts w:hint="eastAsia" w:ascii="宋体" w:hAnsi="Courier New" w:cs="Times New Roman"/>
          <w:color w:val="auto"/>
          <w:kern w:val="2"/>
          <w:sz w:val="21"/>
          <w:szCs w:val="20"/>
          <w:highlight w:val="none"/>
          <w:lang w:val="en-US" w:eastAsia="zh-CN" w:bidi="ar-SA"/>
        </w:rPr>
        <w:t>）</w:t>
      </w:r>
      <w:r>
        <w:rPr>
          <w:rFonts w:hint="eastAsia" w:ascii="宋体" w:hAnsi="Courier New" w:eastAsia="宋体" w:cs="Times New Roman"/>
          <w:color w:val="auto"/>
          <w:kern w:val="2"/>
          <w:sz w:val="21"/>
          <w:szCs w:val="20"/>
          <w:highlight w:val="none"/>
          <w:lang w:val="en-US" w:eastAsia="zh-CN" w:bidi="ar-SA"/>
        </w:rPr>
        <w:t>专题研究报告；（2）空间规划类报告编制：选址报告编制</w:t>
      </w:r>
      <w:r>
        <w:rPr>
          <w:rFonts w:hint="eastAsia" w:ascii="宋体" w:hAnsi="Courier New" w:cs="Times New Roman"/>
          <w:color w:val="auto"/>
          <w:kern w:val="2"/>
          <w:sz w:val="21"/>
          <w:szCs w:val="20"/>
          <w:highlight w:val="none"/>
          <w:lang w:val="en-US" w:eastAsia="zh-CN" w:bidi="ar-SA"/>
        </w:rPr>
        <w:t>和规划调整技术修正类（需要专家咨询意见）</w:t>
      </w:r>
      <w:r>
        <w:rPr>
          <w:rFonts w:hint="eastAsia" w:ascii="宋体" w:hAnsi="Courier New" w:eastAsia="宋体" w:cs="Times New Roman"/>
          <w:color w:val="auto"/>
          <w:kern w:val="2"/>
          <w:sz w:val="21"/>
          <w:szCs w:val="20"/>
          <w:highlight w:val="none"/>
          <w:lang w:val="en-US" w:eastAsia="zh-CN" w:bidi="ar-SA"/>
        </w:rPr>
        <w:t>；（3）项目建议书编制：项目建议书编制</w:t>
      </w:r>
      <w:r>
        <w:rPr>
          <w:rFonts w:hint="eastAsia" w:ascii="宋体" w:hAnsi="Courier New" w:cs="Times New Roman"/>
          <w:color w:val="auto"/>
          <w:kern w:val="2"/>
          <w:sz w:val="21"/>
          <w:szCs w:val="20"/>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三部分为项目前期材料编制、现场调研资料汇报及解决方案等：（1）建设计划编制；（2）方案研调，现状情况核查及汇编；（3）积水点分析及解决方案论证；（4）编制其它专业性报告：协助发包人开展项目前期调研或者材料研究，形成专业性报告供发包人决策使用。</w:t>
      </w:r>
    </w:p>
    <w:p>
      <w:pPr>
        <w:pStyle w:val="5"/>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lang w:val="en-US" w:eastAsia="zh-CN"/>
        </w:rPr>
      </w:pPr>
      <w:r>
        <w:rPr>
          <w:rFonts w:hint="eastAsia" w:ascii="宋体" w:hAnsi="Courier New" w:eastAsia="宋体" w:cs="Times New Roman"/>
          <w:color w:val="auto"/>
          <w:kern w:val="2"/>
          <w:sz w:val="21"/>
          <w:szCs w:val="20"/>
          <w:highlight w:val="none"/>
          <w:lang w:val="en-US" w:eastAsia="zh-CN" w:bidi="ar-SA"/>
        </w:rPr>
        <w:t>第四部分为</w:t>
      </w:r>
      <w:r>
        <w:rPr>
          <w:rFonts w:hint="eastAsia"/>
          <w:lang w:val="en-US" w:eastAsia="zh-CN"/>
        </w:rPr>
        <w:t>展板制作：领导调研等需要准备展板等相关工作。</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工作清单详见下表</w:t>
      </w:r>
      <w:r>
        <w:rPr>
          <w:rFonts w:hint="eastAsia" w:ascii="宋体" w:hAnsi="Courier New" w:cs="Times New Roman"/>
          <w:color w:val="auto"/>
          <w:kern w:val="2"/>
          <w:sz w:val="21"/>
          <w:szCs w:val="20"/>
          <w:highlight w:val="none"/>
          <w:lang w:val="en-US" w:eastAsia="zh-CN" w:bidi="ar-SA"/>
        </w:rPr>
        <w:t>，具体以采购人通知为准，双方每季度核实工作量后据实结算</w:t>
      </w:r>
      <w:r>
        <w:rPr>
          <w:rFonts w:hint="eastAsia" w:ascii="宋体" w:hAnsi="Courier New" w:eastAsia="宋体" w:cs="Times New Roman"/>
          <w:color w:val="auto"/>
          <w:kern w:val="2"/>
          <w:sz w:val="21"/>
          <w:szCs w:val="20"/>
          <w:highlight w:val="none"/>
          <w:lang w:val="en-US" w:eastAsia="zh-CN" w:bidi="ar-SA"/>
        </w:rPr>
        <w:t>：</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712"/>
        <w:gridCol w:w="1439"/>
        <w:gridCol w:w="3664"/>
        <w:gridCol w:w="1109"/>
        <w:gridCol w:w="594"/>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项目名称</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项目内容</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（暂估）</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专家咨询类</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政策与专项规划咨询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政策研究咨询</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专项规划咨询</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包括完善江东新区规划体系、规划选址、规划调整、规划许可核发、方案变更、规划核查、规划评审、规划决策等方面咨询建议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对其他第三方机构开展项目策划成果审查，提供建议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对项目设计方案等材料技术性审查，提供建议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项目全过程咨询建议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项目研究类报告编制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专题研究报告</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专题研究报告</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空间规划类报告编制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选址报告编制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规划调整技术修正类（需要专家咨询意见）</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项目建议书编制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项目建议书编制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14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项目前期材料编制、现场调研资料汇报及解决方案等</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建设计划编制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方案研调，现状情况核查及汇编</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积水点分析及解决方案论证</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其他专业性报告</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4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展板制作</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展板相关工作</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08" w:type="pct"/>
            <w:gridSpan w:val="6"/>
            <w:tcBorders>
              <w:top w:val="nil"/>
              <w:left w:val="single" w:color="000000" w:sz="4" w:space="0"/>
              <w:bottom w:val="single" w:color="000000" w:sz="4" w:space="0"/>
              <w:right w:val="single" w:color="000000" w:sz="4" w:space="0"/>
            </w:tcBorders>
            <w:shd w:val="clear" w:color="auto" w:fill="EDEDED"/>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422" w:firstLineChars="200"/>
        <w:jc w:val="both"/>
        <w:textAlignment w:val="auto"/>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四、</w:t>
      </w:r>
      <w:r>
        <w:rPr>
          <w:rFonts w:hint="eastAsia" w:ascii="宋体" w:hAnsi="宋体" w:eastAsia="宋体" w:cs="宋体"/>
          <w:b/>
          <w:bCs w:val="0"/>
          <w:i w:val="0"/>
          <w:iCs w:val="0"/>
          <w:color w:val="auto"/>
          <w:kern w:val="2"/>
          <w:sz w:val="21"/>
          <w:szCs w:val="21"/>
          <w:highlight w:val="none"/>
          <w:u w:val="none"/>
          <w:lang w:val="en-US" w:eastAsia="zh-CN" w:bidi="ar-SA"/>
        </w:rPr>
        <w:t>成果要求</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对于</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提出的咨询需求和成果要求，由双方参照同类咨询项目的工作标准、成果深度标准、成果形式和行业收费标准，共同审核确认</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提交的成果</w:t>
      </w:r>
      <w:r>
        <w:rPr>
          <w:rFonts w:hint="eastAsia" w:ascii="宋体" w:hAnsi="Courier New" w:eastAsia="宋体" w:cs="Times New Roman"/>
          <w:color w:val="auto"/>
          <w:kern w:val="2"/>
          <w:sz w:val="21"/>
          <w:szCs w:val="20"/>
          <w:highlight w:val="none"/>
          <w:lang w:val="en-US" w:eastAsia="zh-CN" w:bidi="ar-SA"/>
        </w:rPr>
        <w:t>。</w:t>
      </w:r>
      <w:r>
        <w:rPr>
          <w:rFonts w:hint="default" w:ascii="宋体" w:hAnsi="Courier New" w:eastAsia="宋体" w:cs="Times New Roman"/>
          <w:color w:val="auto"/>
          <w:kern w:val="2"/>
          <w:sz w:val="21"/>
          <w:szCs w:val="20"/>
          <w:highlight w:val="none"/>
          <w:lang w:val="en-US" w:eastAsia="zh-CN" w:bidi="ar-SA"/>
        </w:rPr>
        <w:t>本次服务</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所产生的成果形式</w:t>
      </w:r>
      <w:r>
        <w:rPr>
          <w:rFonts w:hint="eastAsia" w:ascii="宋体" w:hAnsi="Courier New" w:eastAsia="宋体" w:cs="Times New Roman"/>
          <w:color w:val="auto"/>
          <w:kern w:val="2"/>
          <w:sz w:val="21"/>
          <w:szCs w:val="20"/>
          <w:highlight w:val="none"/>
          <w:lang w:val="en-US" w:eastAsia="zh-CN" w:bidi="ar-SA"/>
        </w:rPr>
        <w:t>主要</w:t>
      </w:r>
      <w:r>
        <w:rPr>
          <w:rFonts w:hint="default" w:ascii="宋体" w:hAnsi="Courier New" w:eastAsia="宋体" w:cs="Times New Roman"/>
          <w:color w:val="auto"/>
          <w:kern w:val="2"/>
          <w:sz w:val="21"/>
          <w:szCs w:val="20"/>
          <w:highlight w:val="none"/>
          <w:lang w:val="en-US" w:eastAsia="zh-CN" w:bidi="ar-SA"/>
        </w:rPr>
        <w:t>有以下四种：</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（1）</w:t>
      </w:r>
      <w:r>
        <w:rPr>
          <w:rFonts w:hint="default" w:ascii="宋体" w:hAnsi="Courier New" w:eastAsia="宋体" w:cs="Times New Roman"/>
          <w:color w:val="auto"/>
          <w:kern w:val="2"/>
          <w:sz w:val="21"/>
          <w:szCs w:val="20"/>
          <w:highlight w:val="none"/>
          <w:lang w:val="en-US" w:eastAsia="zh-CN" w:bidi="ar-SA"/>
        </w:rPr>
        <w:t>书面意见回复：对于</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提出的简单咨询性质的，</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专家可以根据自身专业知识水平、经验进行通讯回答或现场作答的，可先以口头形式答复，然后形成正式书面意见反馈给</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（2）</w:t>
      </w:r>
      <w:r>
        <w:rPr>
          <w:rFonts w:hint="default" w:ascii="宋体" w:hAnsi="Courier New" w:eastAsia="宋体" w:cs="Times New Roman"/>
          <w:color w:val="auto"/>
          <w:kern w:val="2"/>
          <w:sz w:val="21"/>
          <w:szCs w:val="20"/>
          <w:highlight w:val="none"/>
          <w:lang w:val="en-US" w:eastAsia="zh-CN" w:bidi="ar-SA"/>
        </w:rPr>
        <w:t>资政报告：对于</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提出的咨询问题，需要经过调研、分析后才能得出咨询建议的，由</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向</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提供相应的资政报告；</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（3）</w:t>
      </w:r>
      <w:r>
        <w:rPr>
          <w:rFonts w:hint="default" w:ascii="宋体" w:hAnsi="Courier New" w:eastAsia="宋体" w:cs="Times New Roman"/>
          <w:color w:val="auto"/>
          <w:kern w:val="2"/>
          <w:sz w:val="21"/>
          <w:szCs w:val="20"/>
          <w:highlight w:val="none"/>
          <w:lang w:val="en-US" w:eastAsia="zh-CN" w:bidi="ar-SA"/>
        </w:rPr>
        <w:t>专业技术报告：如项目建议书、项目造价、设计等方面的评审评估报告</w:t>
      </w:r>
      <w:r>
        <w:rPr>
          <w:rFonts w:hint="eastAsia" w:ascii="宋体" w:hAnsi="Courier New" w:eastAsia="宋体" w:cs="Times New Roman"/>
          <w:color w:val="auto"/>
          <w:kern w:val="2"/>
          <w:sz w:val="21"/>
          <w:szCs w:val="20"/>
          <w:highlight w:val="none"/>
          <w:lang w:val="en-US" w:eastAsia="zh-CN" w:bidi="ar-SA"/>
        </w:rPr>
        <w:t>，项目研究报告，方案论证报告，规划报告，调查报告</w:t>
      </w:r>
      <w:r>
        <w:rPr>
          <w:rFonts w:hint="default" w:ascii="宋体" w:hAnsi="Courier New" w:eastAsia="宋体" w:cs="Times New Roman"/>
          <w:color w:val="auto"/>
          <w:kern w:val="2"/>
          <w:sz w:val="21"/>
          <w:szCs w:val="20"/>
          <w:highlight w:val="none"/>
          <w:lang w:val="en-US" w:eastAsia="zh-CN" w:bidi="ar-SA"/>
        </w:rPr>
        <w:t>等</w:t>
      </w:r>
      <w:r>
        <w:rPr>
          <w:rFonts w:hint="eastAsia" w:ascii="宋体" w:hAnsi="Courier New" w:eastAsia="宋体" w:cs="Times New Roman"/>
          <w:color w:val="auto"/>
          <w:kern w:val="2"/>
          <w:sz w:val="21"/>
          <w:szCs w:val="20"/>
          <w:highlight w:val="none"/>
          <w:lang w:val="en-US" w:eastAsia="zh-CN" w:bidi="ar-SA"/>
        </w:rPr>
        <w:t>成果</w:t>
      </w:r>
      <w:r>
        <w:rPr>
          <w:rFonts w:hint="default" w:ascii="宋体" w:hAnsi="Courier New" w:eastAsia="宋体" w:cs="Times New Roman"/>
          <w:color w:val="auto"/>
          <w:kern w:val="2"/>
          <w:sz w:val="21"/>
          <w:szCs w:val="20"/>
          <w:highlight w:val="none"/>
          <w:lang w:val="en-US" w:eastAsia="zh-CN" w:bidi="ar-SA"/>
        </w:rPr>
        <w:t>，由</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根据</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需求开展研究后出具。</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（4）</w:t>
      </w:r>
      <w:r>
        <w:rPr>
          <w:rFonts w:hint="default" w:ascii="宋体" w:hAnsi="Courier New" w:eastAsia="宋体" w:cs="Times New Roman"/>
          <w:color w:val="auto"/>
          <w:kern w:val="2"/>
          <w:sz w:val="21"/>
          <w:szCs w:val="20"/>
          <w:highlight w:val="none"/>
          <w:lang w:val="en-US" w:eastAsia="zh-CN" w:bidi="ar-SA"/>
        </w:rPr>
        <w:t>年度总结报告：服务期限完成后，由</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整理服务期内为</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咨询的总体情况，形成年度总结报告。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五</w:t>
      </w:r>
      <w:r>
        <w:rPr>
          <w:rFonts w:hint="eastAsia" w:ascii="宋体" w:hAnsi="宋体" w:eastAsia="宋体" w:cs="宋体"/>
          <w:b/>
          <w:bCs w:val="0"/>
          <w:i w:val="0"/>
          <w:iCs w:val="0"/>
          <w:color w:val="auto"/>
          <w:kern w:val="2"/>
          <w:sz w:val="21"/>
          <w:szCs w:val="21"/>
          <w:highlight w:val="none"/>
          <w:u w:val="none"/>
          <w:lang w:val="en-US" w:eastAsia="zh-CN" w:bidi="ar-SA"/>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在服务工作开展前，项目技术负责人须针对本项目的技术人员进行项目技术的培训和考核，并明确其工作职责；同时承包人根据发包人需求，提供专人驻场服务、专家即时通讯、专家现场答疑、组建服务团队开展研究等多种形式，为发包人解决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2" w:firstLineChars="200"/>
        <w:jc w:val="left"/>
        <w:textAlignment w:val="auto"/>
        <w:outlineLvl w:val="0"/>
        <w:rPr>
          <w:rFonts w:hint="default"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六</w:t>
      </w:r>
      <w:r>
        <w:rPr>
          <w:rFonts w:hint="eastAsia" w:ascii="宋体" w:hAnsi="宋体" w:eastAsia="宋体" w:cs="宋体"/>
          <w:b/>
          <w:bCs w:val="0"/>
          <w:i w:val="0"/>
          <w:iCs w:val="0"/>
          <w:color w:val="auto"/>
          <w:kern w:val="2"/>
          <w:sz w:val="21"/>
          <w:szCs w:val="21"/>
          <w:highlight w:val="none"/>
          <w:u w:val="none"/>
          <w:lang w:val="en-US" w:eastAsia="zh-CN" w:bidi="ar-SA"/>
        </w:rPr>
        <w:t>、付款条件</w:t>
      </w:r>
    </w:p>
    <w:p>
      <w:pPr>
        <w:keepNext w:val="0"/>
        <w:keepLines w:val="0"/>
        <w:pageBreakBefore w:val="0"/>
        <w:widowControl w:val="0"/>
        <w:kinsoku/>
        <w:wordWrap/>
        <w:overflowPunct/>
        <w:topLinePunct w:val="0"/>
        <w:autoSpaceDE/>
        <w:autoSpaceDN/>
        <w:bidi w:val="0"/>
        <w:spacing w:line="560" w:lineRule="exact"/>
        <w:ind w:firstLine="420" w:firstLineChars="200"/>
        <w:jc w:val="left"/>
        <w:textAlignment w:val="auto"/>
        <w:rPr>
          <w:rFonts w:hint="default" w:ascii="宋体" w:hAnsi="宋体" w:eastAsia="宋体" w:cs="宋体"/>
          <w:color w:val="000000"/>
          <w:sz w:val="28"/>
          <w:szCs w:val="28"/>
          <w:highlight w:val="none"/>
          <w:u w:val="single"/>
          <w:lang w:val="en-US" w:eastAsia="zh-CN" w:bidi="ar"/>
        </w:rPr>
      </w:pPr>
      <w:r>
        <w:rPr>
          <w:rFonts w:hint="eastAsia"/>
          <w:lang w:val="en-US" w:eastAsia="zh-CN"/>
        </w:rPr>
        <w:t>服务费用支付方式为季度付款，</w:t>
      </w:r>
      <w:r>
        <w:rPr>
          <w:rFonts w:hint="eastAsia" w:ascii="宋体" w:hAnsi="宋体" w:eastAsia="宋体" w:cs="宋体"/>
          <w:bCs/>
          <w:i w:val="0"/>
          <w:iCs w:val="0"/>
          <w:color w:val="auto"/>
          <w:kern w:val="2"/>
          <w:sz w:val="21"/>
          <w:szCs w:val="21"/>
          <w:highlight w:val="none"/>
          <w:u w:val="none"/>
          <w:lang w:val="en-US" w:eastAsia="zh-CN" w:bidi="ar-SA"/>
        </w:rPr>
        <w:t>由发包人和承包人共同核定工作量，双方核定完成后依据合同所定单价据实结算，由承包人开具发票，发包人自收到发票15个工作日内支付服务费。</w:t>
      </w:r>
      <w:r>
        <w:rPr>
          <w:rFonts w:hint="eastAsia" w:ascii="宋体" w:hAnsi="宋体" w:eastAsia="宋体" w:cs="宋体"/>
          <w:bCs/>
          <w:color w:val="auto"/>
          <w:sz w:val="21"/>
          <w:szCs w:val="21"/>
          <w:highlight w:val="none"/>
          <w:u w:val="none"/>
          <w:lang w:val="en-US" w:eastAsia="zh-CN"/>
        </w:rPr>
        <w:t>发包人出现财务审批延误或政府封账等特殊情况无法及时支付费用的，发包人付款可顺延，不视为发包人违约，由此造成的损失由承包人承担。</w:t>
      </w:r>
    </w:p>
    <w:p>
      <w:pPr>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七</w:t>
      </w:r>
      <w:r>
        <w:rPr>
          <w:rFonts w:hint="eastAsia" w:ascii="宋体" w:hAnsi="宋体" w:eastAsia="宋体" w:cs="宋体"/>
          <w:b/>
          <w:bCs w:val="0"/>
          <w:i w:val="0"/>
          <w:iCs w:val="0"/>
          <w:color w:val="auto"/>
          <w:kern w:val="2"/>
          <w:sz w:val="21"/>
          <w:szCs w:val="21"/>
          <w:highlight w:val="none"/>
          <w:u w:val="none"/>
          <w:lang w:val="en-US" w:eastAsia="zh-CN" w:bidi="ar-SA"/>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1.若项目执行过程中出现成交供应商不按响应文件或合同内容要求执行，无法满足于项目服务要求、弄虚作假、降低质量标准、超过服务期限等行为，采购人有权终止合同，并报政府采购管理部门严肃处理。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2.具体服务内容与采购人沟通，以采购人意见为主。</w:t>
      </w:r>
    </w:p>
    <w:p>
      <w:pPr>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宋体"/>
          <w:b/>
          <w:bCs w:val="0"/>
          <w:color w:val="auto"/>
          <w:sz w:val="21"/>
          <w:szCs w:val="21"/>
          <w:lang w:val="en-US" w:eastAsia="zh-CN"/>
        </w:rPr>
        <w:sectPr>
          <w:pgSz w:w="11906" w:h="16838"/>
          <w:pgMar w:top="2098" w:right="1134" w:bottom="1984" w:left="1587" w:header="794" w:footer="992" w:gutter="0"/>
          <w:pgNumType w:fmt="decimal"/>
          <w:cols w:space="425" w:num="1"/>
          <w:docGrid w:type="lines" w:linePitch="312" w:charSpace="0"/>
        </w:sectPr>
      </w:pPr>
    </w:p>
    <w:p>
      <w:pPr>
        <w:pStyle w:val="17"/>
        <w:rPr>
          <w:rFonts w:hint="eastAsia"/>
          <w:lang w:eastAsia="zh-CN"/>
        </w:rPr>
      </w:pPr>
    </w:p>
    <w:p>
      <w:pPr>
        <w:pStyle w:val="17"/>
        <w:ind w:left="0" w:leftChars="0" w:firstLine="0" w:firstLineChars="0"/>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p>
      <w:pPr>
        <w:pageBreakBefore w:val="0"/>
        <w:wordWrap/>
        <w:topLinePunct w:val="0"/>
        <w:bidi w:val="0"/>
        <w:spacing w:line="360" w:lineRule="auto"/>
        <w:ind w:firstLine="482"/>
        <w:textAlignment w:val="auto"/>
        <w:rPr>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须知前附表”用于进一步明确正文中的未尽事宜，由</w:t>
      </w:r>
      <w:r>
        <w:rPr>
          <w:rFonts w:hint="eastAsia" w:ascii="宋体" w:hAnsi="宋体" w:cs="宋体"/>
          <w:b w:val="0"/>
          <w:bCs/>
          <w:color w:val="auto"/>
          <w:sz w:val="21"/>
          <w:szCs w:val="21"/>
          <w:lang w:eastAsia="zh-CN"/>
        </w:rPr>
        <w:t>采购人</w:t>
      </w:r>
      <w:r>
        <w:rPr>
          <w:rFonts w:hint="eastAsia" w:ascii="宋体" w:hAnsi="宋体" w:eastAsia="宋体" w:cs="宋体"/>
          <w:b w:val="0"/>
          <w:bCs/>
          <w:color w:val="auto"/>
          <w:sz w:val="21"/>
          <w:szCs w:val="21"/>
        </w:rPr>
        <w:t>根据项目的具体特点和实际需要编制和填写，如有与本章正文内容不一致的，以本表的内容为准。</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组织：</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1、答疑会或/和现场考察时间：</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2、答疑会或/和现场考察地点：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3、要求及注意事项：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备注：供应商如不参加的，其风险由供应商自行承担；采购人不单独或分别组织只有一个供应商参加的现场考察和答疑会。</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不组织：</w:t>
            </w:r>
            <w:r>
              <w:rPr>
                <w:rFonts w:hint="eastAsia" w:asciiTheme="minorEastAsia" w:hAnsiTheme="minorEastAsia" w:eastAsiaTheme="minorEastAsia" w:cstheme="minorEastAsia"/>
                <w:bCs/>
                <w:color w:val="auto"/>
                <w:sz w:val="21"/>
                <w:szCs w:val="21"/>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有述标/演示：</w:t>
            </w:r>
          </w:p>
          <w:p>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1、述标/演示时间：</w:t>
            </w:r>
          </w:p>
          <w:p>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2、述标/演示地点：</w:t>
            </w:r>
          </w:p>
          <w:p>
            <w:pPr>
              <w:pStyle w:val="5"/>
              <w:ind w:left="0" w:leftChars="0" w:firstLine="210" w:firstLineChars="100"/>
              <w:rPr>
                <w:rFonts w:hint="default"/>
                <w:lang w:val="en-US" w:eastAsia="zh-CN"/>
              </w:rPr>
            </w:pPr>
            <w:r>
              <w:rPr>
                <w:rFonts w:hint="eastAsia" w:asciiTheme="minorEastAsia" w:hAnsiTheme="minorEastAsia" w:eastAsiaTheme="minorEastAsia" w:cstheme="minorEastAsia"/>
                <w:bCs/>
                <w:color w:val="auto"/>
                <w:sz w:val="21"/>
                <w:szCs w:val="21"/>
                <w:highlight w:val="none"/>
                <w:lang w:val="en-US" w:eastAsia="zh-CN"/>
              </w:rPr>
              <w:t>3、述标/演示要求及注意事项：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无述标/演示：✔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本项目是否接受备选供应商案</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接受</w:t>
            </w:r>
            <w:r>
              <w:rPr>
                <w:rFonts w:hint="eastAsia" w:ascii="宋体" w:hAnsi="宋体" w:cs="宋体"/>
                <w:b w:val="0"/>
                <w:bCs/>
                <w:color w:val="auto"/>
                <w:kern w:val="0"/>
                <w:sz w:val="21"/>
                <w:szCs w:val="21"/>
                <w:lang w:val="en-US" w:eastAsia="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根据采购需求内容提出备选方案，并在开标一览表注明备选方案价格。</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宋体" w:hAnsi="宋体" w:cs="宋体" w:eastAsiaTheme="minorEastAsia"/>
                <w:b w:val="0"/>
                <w:bCs/>
                <w:color w:val="auto"/>
                <w:kern w:val="0"/>
                <w:sz w:val="21"/>
                <w:szCs w:val="21"/>
                <w:lang w:val="en-US" w:eastAsia="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zh-CN"/>
              </w:rPr>
              <w:t>响应声明函</w:t>
            </w:r>
            <w:r>
              <w:rPr>
                <w:rFonts w:hint="eastAsia" w:ascii="宋体" w:hAnsi="宋体" w:eastAsia="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eastAsia="zh-CN"/>
              </w:rPr>
              <w:t>、</w:t>
            </w:r>
            <w:r>
              <w:rPr>
                <w:rFonts w:hint="eastAsia" w:ascii="宋体" w:hAnsi="宋体" w:cs="宋体"/>
                <w:bCs/>
                <w:color w:val="auto"/>
                <w:kern w:val="0"/>
                <w:sz w:val="21"/>
                <w:szCs w:val="21"/>
                <w:lang w:val="en-US" w:eastAsia="zh-CN"/>
              </w:rPr>
              <w:t>如</w:t>
            </w:r>
            <w:r>
              <w:rPr>
                <w:rFonts w:hint="eastAsia" w:ascii="宋体" w:hAnsi="宋体" w:eastAsia="宋体" w:cs="宋体"/>
                <w:bCs/>
                <w:color w:val="auto"/>
                <w:kern w:val="0"/>
                <w:sz w:val="21"/>
                <w:szCs w:val="21"/>
                <w:lang w:val="zh-CN"/>
              </w:rPr>
              <w:t>交纳</w:t>
            </w:r>
            <w:r>
              <w:rPr>
                <w:rFonts w:hint="eastAsia" w:ascii="宋体" w:hAnsi="宋体" w:cs="宋体"/>
                <w:bCs/>
                <w:color w:val="auto"/>
                <w:kern w:val="0"/>
                <w:sz w:val="21"/>
                <w:szCs w:val="21"/>
                <w:lang w:val="zh-CN"/>
              </w:rPr>
              <w:t>响应保证金</w:t>
            </w:r>
            <w:r>
              <w:rPr>
                <w:rFonts w:hint="eastAsia" w:ascii="宋体" w:hAnsi="宋体" w:eastAsia="宋体" w:cs="宋体"/>
                <w:bCs/>
                <w:color w:val="auto"/>
                <w:kern w:val="0"/>
                <w:sz w:val="21"/>
                <w:szCs w:val="21"/>
                <w:lang w:val="zh-CN"/>
              </w:rPr>
              <w:t>的</w:t>
            </w:r>
            <w:r>
              <w:rPr>
                <w:rFonts w:hint="eastAsia" w:ascii="宋体" w:hAnsi="宋体" w:cs="宋体"/>
                <w:bCs/>
                <w:color w:val="auto"/>
                <w:kern w:val="0"/>
                <w:sz w:val="21"/>
                <w:szCs w:val="21"/>
                <w:lang w:val="zh-CN"/>
              </w:rPr>
              <w:t>，</w:t>
            </w:r>
            <w:r>
              <w:rPr>
                <w:rFonts w:hint="eastAsia" w:ascii="宋体" w:hAnsi="宋体" w:cs="宋体"/>
                <w:bCs/>
                <w:color w:val="auto"/>
                <w:kern w:val="0"/>
                <w:sz w:val="21"/>
                <w:szCs w:val="21"/>
                <w:lang w:val="en-US" w:eastAsia="zh-CN"/>
              </w:rPr>
              <w:t>提供</w:t>
            </w:r>
            <w:r>
              <w:rPr>
                <w:rFonts w:hint="eastAsia" w:ascii="宋体" w:hAnsi="宋体" w:eastAsia="宋体" w:cs="宋体"/>
                <w:bCs/>
                <w:color w:val="auto"/>
                <w:kern w:val="0"/>
                <w:sz w:val="21"/>
                <w:szCs w:val="21"/>
                <w:lang w:val="zh-CN"/>
              </w:rPr>
              <w:t>有效证明文件并加盖单位公章（</w:t>
            </w:r>
            <w:r>
              <w:rPr>
                <w:rFonts w:hint="eastAsia" w:ascii="宋体" w:hAnsi="宋体" w:cs="宋体"/>
                <w:bCs/>
                <w:color w:val="auto"/>
                <w:kern w:val="0"/>
                <w:sz w:val="21"/>
                <w:szCs w:val="21"/>
                <w:lang w:val="en-US" w:eastAsia="zh-CN"/>
              </w:rPr>
              <w:t>本项目不要求</w:t>
            </w:r>
            <w:r>
              <w:rPr>
                <w:rFonts w:hint="eastAsia" w:ascii="宋体" w:hAnsi="宋体" w:eastAsia="宋体" w:cs="宋体"/>
                <w:bCs/>
                <w:color w:val="auto"/>
                <w:kern w:val="0"/>
                <w:sz w:val="21"/>
                <w:szCs w:val="21"/>
                <w:lang w:val="zh-CN"/>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标准要求提供的其他资料（详见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9</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sz w:val="21"/>
                <w:szCs w:val="21"/>
                <w:lang w:val="zh-CN"/>
              </w:rPr>
              <w:t>响应报价文件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响应报价明细表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1"/>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起</w:t>
            </w:r>
            <w:r>
              <w:rPr>
                <w:rFonts w:hint="eastAsia" w:asciiTheme="minorEastAsia" w:hAnsiTheme="minorEastAsia" w:eastAsiaTheme="minorEastAsia" w:cstheme="minorEastAsia"/>
                <w:bCs/>
                <w:color w:val="auto"/>
                <w:sz w:val="21"/>
                <w:szCs w:val="21"/>
                <w:lang w:val="en-US" w:eastAsia="zh-CN"/>
              </w:rPr>
              <w:t>90</w:t>
            </w:r>
            <w:r>
              <w:rPr>
                <w:rFonts w:hint="eastAsia" w:asciiTheme="minorEastAsia" w:hAnsiTheme="minorEastAsia" w:eastAsiaTheme="minorEastAsia" w:cstheme="minorEastAsia"/>
                <w:bCs/>
                <w:color w:val="auto"/>
                <w:sz w:val="21"/>
                <w:szCs w:val="21"/>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bottom"/>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hint="eastAsia" w:eastAsia="宋体"/>
                <w:lang w:eastAsia="zh-CN"/>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pPr>
              <w:pStyle w:val="7"/>
              <w:keepNext w:val="0"/>
              <w:keepLines w:val="0"/>
              <w:pageBreakBefore w:val="0"/>
              <w:kinsoku/>
              <w:wordWrap/>
              <w:overflowPunct/>
              <w:topLinePunct w:val="0"/>
              <w:bidi w:val="0"/>
              <w:adjustRightInd w:val="0"/>
              <w:snapToGrid w:val="0"/>
              <w:spacing w:line="360" w:lineRule="auto"/>
              <w:jc w:val="both"/>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bidi="ar-SA"/>
              </w:rPr>
              <w:t>本项目不要求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7"/>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Style w:val="7"/>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于</w:t>
            </w:r>
            <w:r>
              <w:rPr>
                <w:rFonts w:hint="eastAsia" w:asciiTheme="minorEastAsia" w:hAnsiTheme="minorEastAsia" w:eastAsiaTheme="minorEastAsia" w:cstheme="minorEastAsia"/>
                <w:bCs/>
                <w:color w:val="auto"/>
                <w:kern w:val="0"/>
                <w:sz w:val="21"/>
                <w:szCs w:val="21"/>
                <w:lang w:val="en-US" w:eastAsia="zh-CN" w:bidi="ar-SA"/>
              </w:rPr>
              <w:t>在2024</w:t>
            </w:r>
            <w:r>
              <w:rPr>
                <w:rFonts w:hint="eastAsia" w:asciiTheme="minorEastAsia" w:hAnsiTheme="minorEastAsia" w:eastAsiaTheme="minorEastAsia" w:cstheme="minorEastAsia"/>
                <w:bCs/>
                <w:color w:val="auto"/>
                <w:kern w:val="0"/>
                <w:sz w:val="21"/>
                <w:szCs w:val="21"/>
                <w:lang w:val="zh-CN" w:eastAsia="zh-CN" w:bidi="ar-SA"/>
              </w:rPr>
              <w:t>年</w:t>
            </w:r>
            <w:r>
              <w:rPr>
                <w:rFonts w:hint="eastAsia" w:asciiTheme="minorEastAsia" w:hAnsiTheme="minorEastAsia" w:eastAsiaTheme="minorEastAsia" w:cstheme="minorEastAsia"/>
                <w:bCs/>
                <w:color w:val="auto"/>
                <w:kern w:val="0"/>
                <w:sz w:val="21"/>
                <w:szCs w:val="21"/>
                <w:lang w:val="en-US" w:eastAsia="zh-CN" w:bidi="ar-SA"/>
              </w:rPr>
              <w:t>12</w:t>
            </w:r>
            <w:r>
              <w:rPr>
                <w:rFonts w:hint="eastAsia" w:asciiTheme="minorEastAsia" w:hAnsiTheme="minorEastAsia" w:eastAsiaTheme="minorEastAsia" w:cstheme="minorEastAsia"/>
                <w:bCs/>
                <w:color w:val="auto"/>
                <w:kern w:val="0"/>
                <w:sz w:val="21"/>
                <w:szCs w:val="21"/>
                <w:lang w:val="zh-CN" w:eastAsia="zh-CN" w:bidi="ar-SA"/>
              </w:rPr>
              <w:t>月</w:t>
            </w:r>
            <w:r>
              <w:rPr>
                <w:rFonts w:hint="eastAsia" w:asciiTheme="minorEastAsia" w:hAnsiTheme="minorEastAsia" w:eastAsiaTheme="minorEastAsia" w:cstheme="minorEastAsia"/>
                <w:bCs/>
                <w:color w:val="auto"/>
                <w:kern w:val="0"/>
                <w:sz w:val="21"/>
                <w:szCs w:val="21"/>
                <w:lang w:val="en-US" w:eastAsia="zh-CN" w:bidi="ar-SA"/>
              </w:rPr>
              <w:t>19</w:t>
            </w:r>
            <w:r>
              <w:rPr>
                <w:rFonts w:hint="eastAsia" w:asciiTheme="minorEastAsia" w:hAnsiTheme="minorEastAsia" w:eastAsiaTheme="minorEastAsia" w:cstheme="minorEastAsia"/>
                <w:bCs/>
                <w:color w:val="auto"/>
                <w:kern w:val="0"/>
                <w:sz w:val="21"/>
                <w:szCs w:val="21"/>
                <w:lang w:val="zh-CN" w:eastAsia="zh-CN" w:bidi="ar-SA"/>
              </w:rPr>
              <w:t>日</w:t>
            </w:r>
            <w:r>
              <w:rPr>
                <w:rFonts w:hint="eastAsia" w:asciiTheme="minorEastAsia" w:hAnsiTheme="minorEastAsia" w:eastAsiaTheme="minorEastAsia" w:cstheme="minorEastAsia"/>
                <w:bCs/>
                <w:color w:val="auto"/>
                <w:kern w:val="0"/>
                <w:sz w:val="21"/>
                <w:szCs w:val="21"/>
                <w:lang w:val="en-US" w:eastAsia="zh-CN" w:bidi="ar-SA"/>
              </w:rPr>
              <w:t>15</w:t>
            </w:r>
            <w:r>
              <w:rPr>
                <w:rFonts w:hint="eastAsia" w:asciiTheme="minorEastAsia" w:hAnsiTheme="minorEastAsia" w:eastAsiaTheme="minorEastAsia" w:cstheme="minorEastAsia"/>
                <w:bCs/>
                <w:color w:val="auto"/>
                <w:kern w:val="0"/>
                <w:sz w:val="21"/>
                <w:szCs w:val="21"/>
                <w:lang w:val="zh-CN" w:eastAsia="zh-CN" w:bidi="ar-SA"/>
              </w:rPr>
              <w:t>时</w:t>
            </w:r>
            <w:r>
              <w:rPr>
                <w:rFonts w:hint="eastAsia" w:asciiTheme="minorEastAsia" w:hAnsiTheme="minorEastAsia" w:eastAsiaTheme="minorEastAsia" w:cstheme="minorEastAsia"/>
                <w:bCs/>
                <w:color w:val="auto"/>
                <w:kern w:val="0"/>
                <w:sz w:val="21"/>
                <w:szCs w:val="21"/>
                <w:lang w:val="en-US" w:eastAsia="zh-CN" w:bidi="ar-SA"/>
              </w:rPr>
              <w:t>30</w:t>
            </w:r>
            <w:r>
              <w:rPr>
                <w:rFonts w:hint="eastAsia" w:asciiTheme="minorEastAsia" w:hAnsiTheme="minorEastAsia" w:eastAsiaTheme="minorEastAsia" w:cstheme="minorEastAsia"/>
                <w:bCs/>
                <w:color w:val="auto"/>
                <w:kern w:val="0"/>
                <w:sz w:val="21"/>
                <w:szCs w:val="21"/>
                <w:lang w:val="zh-CN" w:eastAsia="zh-CN" w:bidi="ar-SA"/>
              </w:rPr>
              <w:t>分前</w:t>
            </w:r>
            <w:r>
              <w:rPr>
                <w:rFonts w:hint="eastAsia" w:asciiTheme="minorEastAsia" w:hAnsiTheme="minorEastAsia" w:eastAsiaTheme="minorEastAsia" w:cstheme="minorEastAsia"/>
                <w:bCs/>
                <w:color w:val="auto"/>
                <w:kern w:val="0"/>
                <w:sz w:val="21"/>
                <w:szCs w:val="21"/>
                <w:lang w:val="en-US" w:eastAsia="zh-CN" w:bidi="ar-SA"/>
              </w:rPr>
              <w:t>（开标时间</w:t>
            </w:r>
            <w:r>
              <w:rPr>
                <w:rFonts w:hint="eastAsia" w:asciiTheme="minorEastAsia" w:hAnsiTheme="minorEastAsia" w:eastAsiaTheme="minorEastAsia" w:cstheme="minorEastAsia"/>
                <w:bCs/>
                <w:color w:val="auto"/>
                <w:sz w:val="21"/>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p>
        </w:tc>
        <w:tc>
          <w:tcPr>
            <w:tcW w:w="2435" w:type="dxa"/>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代表身份证明文件</w:t>
            </w:r>
          </w:p>
        </w:tc>
        <w:tc>
          <w:tcPr>
            <w:tcW w:w="5220" w:type="dxa"/>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1、主持人宣布开标会议开始；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2、介绍参加开标会议的人员；</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 w:val="0"/>
                <w:bCs/>
                <w:color w:val="auto"/>
                <w:sz w:val="21"/>
                <w:szCs w:val="21"/>
              </w:rPr>
              <w:t>宣读开标纪律；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4、查验各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的密封性并予以确认；</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5、拆封</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6、唱标，唱标内容为“开标一览表”所载明的内容；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7、记录唱标结果及开标过程，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代表须在记录上签字确认；</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8、主持人宣布开标会议结束。</w:t>
            </w:r>
          </w:p>
          <w:p>
            <w:pPr>
              <w:pStyle w:val="17"/>
              <w:ind w:left="0" w:leftChars="0" w:firstLine="0" w:firstLineChars="0"/>
            </w:pPr>
            <w:r>
              <w:rPr>
                <w:rFonts w:hint="eastAsia" w:asciiTheme="minorEastAsia" w:hAnsiTheme="minorEastAsia" w:eastAsiaTheme="minorEastAsia" w:cstheme="minorEastAsia"/>
                <w:bCs/>
                <w:color w:val="auto"/>
                <w:kern w:val="2"/>
                <w:sz w:val="21"/>
                <w:szCs w:val="21"/>
                <w:lang w:val="en-US" w:eastAsia="zh-CN" w:bidi="ar-SA"/>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w:t>
            </w:r>
          </w:p>
        </w:tc>
        <w:tc>
          <w:tcPr>
            <w:tcW w:w="2435" w:type="dxa"/>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19</w:t>
            </w:r>
          </w:p>
        </w:tc>
        <w:tc>
          <w:tcPr>
            <w:tcW w:w="7655" w:type="dxa"/>
            <w:gridSpan w:val="2"/>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eastAsia" w:eastAsia="宋体" w:asciiTheme="minorEastAsia" w:hAnsi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lang w:val="zh-CN"/>
              </w:rPr>
              <w:t>本项目对应的中小企业划分标准所属行业：其他未列明行业</w:t>
            </w:r>
          </w:p>
        </w:tc>
      </w:tr>
    </w:tbl>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eastAsia="zh-CN"/>
        </w:rPr>
        <w:t>比选公告</w:t>
      </w:r>
      <w:r>
        <w:rPr>
          <w:rFonts w:hint="eastAsia" w:asciiTheme="minorEastAsia" w:hAnsiTheme="minorEastAsia" w:eastAsiaTheme="minorEastAsia" w:cstheme="minorEastAsia"/>
          <w:bCs/>
          <w:color w:val="auto"/>
          <w:kern w:val="0"/>
          <w:sz w:val="21"/>
          <w:szCs w:val="21"/>
        </w:rPr>
        <w:t>函中所述项目的采购。</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2.2“</w:t>
      </w:r>
      <w:r>
        <w:rPr>
          <w:rFonts w:hint="eastAsia" w:asciiTheme="minorEastAsia" w:hAnsiTheme="minorEastAsia" w:eastAsiaTheme="minorEastAsia" w:cstheme="minorEastAsia"/>
          <w:bCs/>
          <w:color w:val="auto"/>
          <w:kern w:val="0"/>
          <w:sz w:val="21"/>
          <w:szCs w:val="21"/>
          <w:lang w:eastAsia="zh-CN"/>
        </w:rPr>
        <w:t>采购人</w:t>
      </w:r>
      <w:r>
        <w:rPr>
          <w:rFonts w:hint="eastAsia" w:asciiTheme="minorEastAsia" w:hAnsiTheme="minorEastAsia" w:eastAsiaTheme="minorEastAsia" w:cstheme="minorEastAsia"/>
          <w:bCs/>
          <w:color w:val="auto"/>
          <w:kern w:val="0"/>
          <w:sz w:val="21"/>
          <w:szCs w:val="21"/>
        </w:rPr>
        <w:t>”系指组织本次采购活动的</w:t>
      </w:r>
      <w:r>
        <w:rPr>
          <w:rFonts w:hint="eastAsia" w:asciiTheme="minorEastAsia" w:hAnsiTheme="minorEastAsia" w:eastAsiaTheme="minorEastAsia" w:cstheme="minorEastAsia"/>
          <w:bCs/>
          <w:color w:val="auto"/>
          <w:kern w:val="0"/>
          <w:sz w:val="21"/>
          <w:szCs w:val="21"/>
          <w:lang w:val="en-US" w:eastAsia="zh-CN"/>
        </w:rPr>
        <w:t>海口江东新区管理局</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2.3“</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人（</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供应商）。</w:t>
      </w:r>
      <w:bookmarkStart w:id="34" w:name="_Toc267320062"/>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eastAsia="zh-CN"/>
        </w:rPr>
        <w:t>响应无效</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响应费用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eastAsia="zh-CN"/>
        </w:rPr>
        <w:t>响应过程</w:t>
      </w:r>
      <w:r>
        <w:rPr>
          <w:rFonts w:hint="eastAsia" w:asciiTheme="minorEastAsia" w:hAnsiTheme="minorEastAsia" w:eastAsiaTheme="minorEastAsia" w:cstheme="minorEastAsia"/>
          <w:bCs/>
          <w:color w:val="auto"/>
          <w:sz w:val="21"/>
          <w:szCs w:val="21"/>
        </w:rPr>
        <w:t>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有关的全部费用；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7"/>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0000FF"/>
          <w:sz w:val="21"/>
          <w:szCs w:val="21"/>
          <w:lang w:val="en-US" w:eastAsia="zh-CN"/>
        </w:rPr>
      </w:pPr>
      <w:r>
        <w:rPr>
          <w:rFonts w:hint="eastAsia" w:asciiTheme="minorEastAsia" w:hAnsiTheme="minorEastAsia" w:eastAsiaTheme="minorEastAsia" w:cstheme="minorEastAsia"/>
          <w:bCs/>
          <w:color w:val="auto"/>
          <w:sz w:val="21"/>
          <w:szCs w:val="21"/>
        </w:rPr>
        <w:t>5.1关于符合上述规定的小</w:t>
      </w:r>
      <w:r>
        <w:rPr>
          <w:rFonts w:hint="eastAsia" w:asciiTheme="minorEastAsia" w:hAnsiTheme="minorEastAsia" w:eastAsiaTheme="minorEastAsia" w:cstheme="minorEastAsia"/>
          <w:bCs/>
          <w:color w:val="auto"/>
          <w:kern w:val="2"/>
          <w:sz w:val="21"/>
          <w:szCs w:val="21"/>
          <w:lang w:val="en-US" w:eastAsia="zh-CN" w:bidi="ar-SA"/>
        </w:rPr>
        <w:t>微企业（供应商）参与响应（本项目专门面对中小企业，不再执行小微企业价格评审优惠。）</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rPr>
        <w:t>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6、注意事项</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6.1如果没有特别声明或要求，供应商被视为充分熟悉本招标项目所在地与履行合同有关的各种情况，包括自然环境、气候条件、劳动力及公用设施等，本采购文件不再对上述情况进行描述。</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、开标、评标和签订合同等有关规定。采购文件以电子版形式下载，采购文件由下述章节组成：</w:t>
      </w:r>
    </w:p>
    <w:p>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标准</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（5）采购合同格式</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682348"/>
      <w:bookmarkStart w:id="37" w:name="_Toc183582211"/>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30488645"/>
      <w:bookmarkStart w:id="40" w:name="_Toc430490613"/>
      <w:bookmarkStart w:id="41" w:name="_Toc430488852"/>
      <w:bookmarkStart w:id="42" w:name="_Toc430489120"/>
      <w:bookmarkStart w:id="43" w:name="_Toc415567498"/>
      <w:bookmarkStart w:id="44" w:name="_Toc430422414"/>
      <w:bookmarkStart w:id="45" w:name="_Toc430492127"/>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6826109"/>
      <w:bookmarkStart w:id="47" w:name="_Toc245887536"/>
      <w:bookmarkStart w:id="48" w:name="_Toc245888275"/>
      <w:bookmarkStart w:id="49" w:name="_Toc246825804"/>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08848971"/>
      <w:bookmarkStart w:id="51" w:name="_Toc217446041"/>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制约的所有权利和义务均应延长至新的截止日期；</w:t>
      </w:r>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须知前附表规定的时间、地点组织答疑会或/和</w:t>
      </w:r>
      <w:r>
        <w:rPr>
          <w:rFonts w:hint="eastAsia" w:asciiTheme="minorEastAsia" w:hAnsiTheme="minorEastAsia" w:eastAsiaTheme="minorEastAsia" w:cstheme="minorEastAsia"/>
          <w:bCs/>
          <w:color w:val="auto"/>
          <w:sz w:val="21"/>
          <w:szCs w:val="21"/>
          <w:lang w:eastAsia="zh-CN"/>
        </w:rPr>
        <w:t>供应商考察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不承担任何责任。和</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方</w:t>
      </w:r>
      <w:r>
        <w:rPr>
          <w:rFonts w:hint="eastAsia" w:asciiTheme="minorEastAsia" w:hAnsiTheme="minorEastAsia" w:eastAsiaTheme="minorEastAsia" w:cstheme="minorEastAsia"/>
          <w:bCs/>
          <w:color w:val="auto"/>
          <w:sz w:val="21"/>
          <w:szCs w:val="21"/>
        </w:rPr>
        <w:t>案，否则将被视为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。（采购文件允许有备选方案的除外）</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10.5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根据采购文件载明的采购项目实际情况，拟在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后将</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项目的非主体、非关键性工作交由他人完成的，应当在</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中载明。</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响应有效期</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期限内保持有效。有效期不足将导致其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延长期内继续有效。同意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延长的供应商不足三家的，予以废标。不同意延长</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满自动失效。</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一致。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将不予退还：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供应商无正当理由不与采购人签订合同的；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pPr>
        <w:pStyle w:val="17"/>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仅使用纸质响应文件）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w:t>
      </w:r>
      <w:r>
        <w:rPr>
          <w:rFonts w:hint="eastAsia" w:asciiTheme="minorEastAsia" w:hAnsiTheme="minorEastAsia" w:eastAsiaTheme="minorEastAsia" w:cstheme="minorEastAsia"/>
          <w:bCs/>
          <w:color w:val="auto"/>
          <w:sz w:val="21"/>
          <w:szCs w:val="21"/>
          <w:lang w:val="en-US" w:eastAsia="zh-CN"/>
        </w:rPr>
        <w:t>贰</w:t>
      </w:r>
      <w:r>
        <w:rPr>
          <w:rFonts w:hint="eastAsia" w:asciiTheme="minorEastAsia" w:hAnsiTheme="minorEastAsia" w:eastAsiaTheme="minorEastAsia" w:cstheme="minorEastAsia"/>
          <w:bCs/>
          <w:color w:val="auto"/>
          <w:sz w:val="21"/>
          <w:szCs w:val="21"/>
        </w:rPr>
        <w:t>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5" w:name="_Toc183682365"/>
      <w:bookmarkStart w:id="56" w:name="_Toc183582228"/>
      <w:bookmarkStart w:id="57" w:name="_Toc217446055"/>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截至</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的供应商（以开标会场签到为准）不足三家的，予以废标，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不予拆封，由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16.7</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数量满足三家或以上的，同一时间予以开标，开标后，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一律不予退还。</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16.8</w:t>
      </w:r>
      <w:r>
        <w:rPr>
          <w:rFonts w:hint="eastAsia" w:asciiTheme="minorEastAsia" w:hAnsiTheme="minorEastAsia" w:eastAsiaTheme="minorEastAsia" w:cstheme="minorEastAsia"/>
          <w:bCs/>
          <w:color w:val="auto"/>
          <w:sz w:val="21"/>
          <w:szCs w:val="21"/>
        </w:rPr>
        <w:t>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所规定的开标时间和地点开标。开标由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主持，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和有关方面代表参加。</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或者其推选的代表检查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val="en-US" w:eastAsia="zh-CN"/>
        </w:rPr>
        <w:t>也可以由采购人委托的公证机构检查并公证，</w:t>
      </w:r>
      <w:r>
        <w:rPr>
          <w:rFonts w:hint="eastAsia" w:asciiTheme="minorEastAsia" w:hAnsiTheme="minorEastAsia" w:eastAsiaTheme="minorEastAsia" w:cstheme="minorEastAsia"/>
          <w:bCs/>
          <w:color w:val="auto"/>
          <w:sz w:val="21"/>
          <w:szCs w:val="21"/>
        </w:rPr>
        <w:t>对密封等情形予以确认。</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响应文件存在密封有瑕疵情形的，代理机构将现场如实记录，由评审委员会对响应文件实质性有效与否作出判断，由此产生的风险由供应商自行承担。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资格，合格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。依据法律法规和采购文件的规定，资格审查内容是指采购文件对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自行组建，人数为3人以上单数</w:t>
      </w:r>
      <w:r>
        <w:rPr>
          <w:rFonts w:hint="eastAsia" w:asciiTheme="minorEastAsia" w:hAnsiTheme="minorEastAsia" w:eastAsiaTheme="minorEastAsia" w:cstheme="minorEastAsia"/>
          <w:bCs/>
          <w:color w:val="auto"/>
          <w:sz w:val="21"/>
          <w:szCs w:val="21"/>
        </w:rPr>
        <w:t>。</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评审委员会</w:t>
      </w:r>
      <w:r>
        <w:rPr>
          <w:rFonts w:hint="eastAsia" w:ascii="宋体" w:hAnsi="宋体" w:eastAsia="宋体" w:cs="宋体"/>
          <w:bCs/>
          <w:color w:val="auto"/>
          <w:sz w:val="21"/>
          <w:szCs w:val="21"/>
        </w:rPr>
        <w:t>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评审委员会</w:t>
      </w:r>
      <w:r>
        <w:rPr>
          <w:rFonts w:hint="eastAsia" w:ascii="宋体" w:hAnsi="宋体" w:eastAsia="宋体" w:cs="宋体"/>
          <w:bCs/>
          <w:color w:val="auto"/>
          <w:sz w:val="21"/>
          <w:szCs w:val="21"/>
          <w:lang w:val="en-US" w:eastAsia="zh-CN"/>
        </w:rPr>
        <w:t>成员与其</w:t>
      </w:r>
      <w:r>
        <w:rPr>
          <w:rFonts w:hint="eastAsia" w:ascii="宋体" w:hAnsi="宋体" w:eastAsia="宋体" w:cs="宋体"/>
          <w:bCs/>
          <w:color w:val="auto"/>
          <w:sz w:val="21"/>
          <w:szCs w:val="21"/>
        </w:rPr>
        <w:t>他供应商有利害关系的，可以向采购人或者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书面提出回避申请，并说明理由。采购人或者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pPr>
        <w:pStyle w:val="7"/>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评审委员会</w:t>
      </w:r>
      <w:r>
        <w:rPr>
          <w:rFonts w:hint="eastAsia" w:ascii="宋体" w:hAnsi="宋体" w:eastAsia="宋体" w:cs="宋体"/>
          <w:bCs/>
          <w:color w:val="auto"/>
          <w:kern w:val="2"/>
          <w:sz w:val="21"/>
          <w:szCs w:val="21"/>
          <w:lang w:val="en-US" w:eastAsia="zh-CN" w:bidi="ar-SA"/>
        </w:rPr>
        <w:t>将严格遵守评审工作纪律，按照客观、公正、审慎的原则，根据采购文件规定的评审程序、评审方法和评审标准进行独立评审。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决定实质性响应与否只根据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投票认定，超过半数将以</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事宜；</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从同一单位或者个人的账户转出。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（1）符合专业条件的供应商或者对采购文件作实质响应的供应商不足三家的；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（2）出现影响采购公正的违法、违规行为的；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（4）因重大变故，采购任务取消的。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将在指定网站发布废标公告。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152045575"/>
      <w:bookmarkStart w:id="61" w:name="_Toc247085733"/>
      <w:bookmarkStart w:id="62" w:name="_Toc144974543"/>
      <w:bookmarkStart w:id="63" w:name="_Toc246996962"/>
      <w:bookmarkStart w:id="64" w:name="_Toc296590983"/>
      <w:bookmarkStart w:id="65" w:name="_Toc152042351"/>
      <w:bookmarkStart w:id="66" w:name="_Toc246996219"/>
      <w:bookmarkStart w:id="67" w:name="_Toc296602462"/>
      <w:bookmarkStart w:id="68" w:name="_Toc179632593"/>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247085734"/>
      <w:bookmarkStart w:id="70" w:name="_Toc179632594"/>
      <w:bookmarkStart w:id="71" w:name="_Toc152045576"/>
      <w:bookmarkStart w:id="72" w:name="_Toc144974544"/>
      <w:bookmarkStart w:id="73" w:name="_Toc296602463"/>
      <w:bookmarkStart w:id="74" w:name="_Toc152042352"/>
      <w:bookmarkStart w:id="75" w:name="_Toc246996963"/>
      <w:bookmarkStart w:id="76" w:name="_Toc246996220"/>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179632595"/>
      <w:bookmarkStart w:id="78" w:name="_Toc152042353"/>
      <w:bookmarkStart w:id="79" w:name="_Toc144974545"/>
      <w:bookmarkStart w:id="80" w:name="_Toc152045577"/>
      <w:bookmarkStart w:id="81" w:name="_Toc246996964"/>
      <w:bookmarkStart w:id="82" w:name="_Toc247085735"/>
      <w:bookmarkStart w:id="83" w:name="_Toc246996221"/>
      <w:bookmarkStart w:id="84" w:name="_Toc296602464"/>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成员的纪律要求</w:t>
      </w:r>
      <w:bookmarkEnd w:id="77"/>
      <w:bookmarkEnd w:id="78"/>
      <w:bookmarkEnd w:id="79"/>
      <w:bookmarkEnd w:id="80"/>
      <w:bookmarkEnd w:id="81"/>
      <w:bookmarkEnd w:id="82"/>
      <w:bookmarkEnd w:id="83"/>
      <w:bookmarkEnd w:id="84"/>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179632596"/>
      <w:bookmarkStart w:id="86" w:name="_Toc246996965"/>
      <w:bookmarkStart w:id="87" w:name="_Toc296602465"/>
      <w:bookmarkStart w:id="88" w:name="_Toc246996222"/>
      <w:bookmarkStart w:id="89" w:name="_Toc247085736"/>
      <w:bookmarkStart w:id="90" w:name="_Toc152045578"/>
      <w:bookmarkStart w:id="91" w:name="_Toc152042354"/>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w:t>
      </w:r>
    </w:p>
    <w:p>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在省级及以上财政部门指定媒体上公布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24.3采购人应当自政府采购合同签订之日起 2 个工作日内，将政府采购合同在省级以上人民政府财政部门指定的媒体上公告。</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24.5政府采购合同公示须经采购人保密信息审查，如合同中涉及国家秘密、商业秘密的内容不得公示，涉及商业秘密或敏感工作秘密的，须经相关部门审核并做脱敏处理后方可公示。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26、政府采购招标评标方法分为:最低评标价法和综合评分法。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26.1最低评标价法，是指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的其他有关规定：</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规定外，如果发现下列情况之一者，同样作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处理。因此产生其他法律责任的由供应商自行承担：</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eastAsia="zh-CN"/>
        </w:rPr>
        <w:t>响应保证金</w:t>
      </w:r>
      <w:r>
        <w:rPr>
          <w:rFonts w:hint="default" w:asciiTheme="minorEastAsia" w:hAnsiTheme="minorEastAsia" w:eastAsiaTheme="minorEastAsia" w:cstheme="minorEastAsia"/>
          <w:bCs/>
          <w:color w:val="auto"/>
          <w:sz w:val="21"/>
          <w:szCs w:val="21"/>
        </w:rPr>
        <w:t>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pPr>
        <w:rPr>
          <w:rFonts w:hint="eastAsia"/>
        </w:rPr>
      </w:pPr>
    </w:p>
    <w:p>
      <w:pPr>
        <w:pStyle w:val="5"/>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bookmarkStart w:id="95" w:name="_Toc246826116"/>
    </w:p>
    <w:bookmarkEnd w:id="95"/>
    <w:p>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pPr>
        <w:pStyle w:val="5"/>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标准中凡涉及到提供针对本项目授权书、承诺书的，均须以原件为准，否则不予认可</w:t>
      </w:r>
      <w:r>
        <w:rPr>
          <w:rFonts w:hint="eastAsia" w:ascii="宋体" w:hAnsi="宋体" w:cs="宋体"/>
          <w:bCs/>
          <w:color w:val="auto"/>
          <w:sz w:val="21"/>
          <w:szCs w:val="21"/>
          <w:lang w:val="en-US" w:eastAsia="zh-CN"/>
        </w:rPr>
        <w:t>。</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后，将以</w:t>
      </w:r>
      <w:r>
        <w:rPr>
          <w:rFonts w:hint="eastAsia" w:ascii="宋体" w:hAnsi="宋体" w:cs="宋体"/>
          <w:bCs/>
          <w:color w:val="auto"/>
          <w:sz w:val="21"/>
          <w:szCs w:val="21"/>
          <w:lang w:eastAsia="zh-CN"/>
        </w:rPr>
        <w:t>无效响应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w:t>
      </w:r>
      <w:r>
        <w:rPr>
          <w:rFonts w:hint="eastAsia" w:ascii="宋体" w:hAnsi="宋体" w:eastAsia="宋体" w:cs="宋体"/>
          <w:bCs/>
          <w:color w:val="auto"/>
          <w:sz w:val="21"/>
          <w:szCs w:val="21"/>
          <w:lang w:eastAsia="zh-CN"/>
        </w:rPr>
        <w:t>交</w:t>
      </w:r>
      <w:r>
        <w:rPr>
          <w:rFonts w:hint="eastAsia" w:ascii="宋体" w:hAnsi="宋体" w:eastAsia="宋体" w:cs="宋体"/>
          <w:bCs/>
          <w:color w:val="auto"/>
          <w:sz w:val="21"/>
          <w:szCs w:val="21"/>
        </w:rPr>
        <w:t>资格论处，并上报政府采购监督管理部门。</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（三）凡小微型企业或视同小微企业参与</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的，依照第三章5.1款规定执行。</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本项目专门面对中小企业，不再执行小微企业价格评审优惠政策</w:t>
      </w:r>
      <w:r>
        <w:rPr>
          <w:rFonts w:hint="eastAsia" w:ascii="宋体" w:hAnsi="宋体" w:eastAsia="宋体" w:cs="宋体"/>
          <w:bCs/>
          <w:color w:val="auto"/>
          <w:sz w:val="21"/>
          <w:szCs w:val="21"/>
          <w:lang w:eastAsia="zh-CN"/>
        </w:rPr>
        <w:t>）</w:t>
      </w:r>
    </w:p>
    <w:p>
      <w:pPr>
        <w:pStyle w:val="5"/>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val="zh-CN"/>
              </w:rPr>
              <w:t>具有良好的商业信誉和健全的财务会计制度。</w:t>
            </w:r>
          </w:p>
        </w:tc>
        <w:tc>
          <w:tcPr>
            <w:tcW w:w="2130" w:type="dxa"/>
            <w:tcBorders>
              <w:top w:val="single" w:color="auto" w:sz="4" w:space="0"/>
              <w:left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zh-CN" w:eastAsia="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zh-CN" w:eastAsia="zh-CN"/>
              </w:rPr>
              <w:t>提供</w:t>
            </w:r>
            <w:r>
              <w:rPr>
                <w:rFonts w:hint="eastAsia" w:ascii="宋体" w:hAnsi="宋体" w:eastAsia="宋体" w:cs="宋体"/>
                <w:bCs/>
                <w:color w:val="auto"/>
                <w:szCs w:val="21"/>
                <w:highlight w:val="none"/>
                <w:lang w:val="en-US" w:eastAsia="zh-CN"/>
              </w:rPr>
              <w:t>比选公告发布时间后</w:t>
            </w:r>
            <w:r>
              <w:rPr>
                <w:rFonts w:hint="eastAsia" w:ascii="宋体" w:hAnsi="宋体" w:eastAsia="宋体" w:cs="宋体"/>
                <w:bCs/>
                <w:color w:val="auto"/>
                <w:szCs w:val="21"/>
                <w:highlight w:val="none"/>
                <w:lang w:val="zh-CN" w:eastAsia="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中小企业</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提供中小企业声明函。</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8"/>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供应商名称。</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与营业执照一致。</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响应文件的有效性、完整性。</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响应文件齐全、格式符合采购文件要求，盖公章、签字有效。</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服务期限。</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质量标准。</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报价。</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报价是固定价且未超过本项目最高限价。</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响应有效期</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不存在采购文件及相关法律法规规定的废标情形的</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pPr>
        <w:pStyle w:val="17"/>
        <w:ind w:left="0" w:leftChars="0" w:firstLine="0" w:firstLineChars="0"/>
        <w:rPr>
          <w:rFonts w:hint="eastAsia"/>
        </w:rPr>
      </w:pP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p>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pPr>
        <w:pStyle w:val="7"/>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并列或者评审委员会</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pPr>
        <w:pageBreakBefore w:val="0"/>
        <w:numPr>
          <w:ilvl w:val="0"/>
          <w:numId w:val="2"/>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20</w:t>
            </w:r>
            <w:r>
              <w:rPr>
                <w:rFonts w:hint="eastAsia" w:ascii="宋体" w:hAnsi="宋体" w:eastAsia="宋体" w:cs="宋体"/>
                <w:b w:val="0"/>
                <w:bCs/>
                <w:color w:val="auto"/>
                <w:sz w:val="21"/>
                <w:szCs w:val="21"/>
              </w:rPr>
              <w:t>分</w:t>
            </w:r>
          </w:p>
        </w:tc>
      </w:tr>
      <w:bookmarkEnd w:id="96"/>
    </w:tbl>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0000FF"/>
          <w:sz w:val="21"/>
          <w:szCs w:val="21"/>
          <w:lang w:eastAsia="zh-CN"/>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本项目专门面对中小企业，不再执行小微企业价格评审优惠政策</w:t>
      </w:r>
      <w:r>
        <w:rPr>
          <w:rFonts w:hint="eastAsia" w:ascii="宋体" w:hAnsi="宋体" w:cs="宋体"/>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过程中，不得去掉报价中的最高报价和最低报价。</w:t>
      </w:r>
    </w:p>
    <w:p>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分值构成</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价格评审</w:t>
            </w:r>
            <w:r>
              <w:rPr>
                <w:rFonts w:hint="eastAsia" w:asciiTheme="minorEastAsia" w:hAnsiTheme="minorEastAsia" w:eastAsiaTheme="minorEastAsia" w:cstheme="minorEastAsia"/>
                <w:sz w:val="18"/>
                <w:szCs w:val="18"/>
                <w:u w:val="single"/>
                <w:lang w:val="en-US" w:eastAsia="zh-CN"/>
              </w:rPr>
              <w:t>20</w:t>
            </w:r>
            <w:r>
              <w:rPr>
                <w:rFonts w:hint="eastAsia" w:asciiTheme="minorEastAsia" w:hAnsiTheme="minorEastAsia" w:eastAsiaTheme="minorEastAsia" w:cstheme="minorEastAsia"/>
                <w:sz w:val="18"/>
                <w:szCs w:val="18"/>
              </w:rPr>
              <w:t>分</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技术部分</w:t>
            </w:r>
            <w:r>
              <w:rPr>
                <w:rFonts w:hint="eastAsia" w:asciiTheme="minorEastAsia" w:hAnsiTheme="minorEastAsia" w:eastAsiaTheme="minorEastAsia" w:cstheme="minorEastAsia"/>
                <w:sz w:val="18"/>
                <w:szCs w:val="18"/>
                <w:u w:val="single"/>
                <w:lang w:val="en-US" w:eastAsia="zh-CN"/>
              </w:rPr>
              <w:t>37</w:t>
            </w:r>
            <w:r>
              <w:rPr>
                <w:rFonts w:hint="eastAsia" w:asciiTheme="minorEastAsia" w:hAnsiTheme="minorEastAsia" w:eastAsiaTheme="minorEastAsia" w:cstheme="minorEastAsia"/>
                <w:sz w:val="18"/>
                <w:szCs w:val="18"/>
              </w:rPr>
              <w:t>分</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商务部分</w:t>
            </w:r>
            <w:r>
              <w:rPr>
                <w:rFonts w:hint="eastAsia" w:asciiTheme="minorEastAsia" w:hAnsiTheme="minorEastAsia" w:eastAsiaTheme="minorEastAsia" w:cstheme="minorEastAsia"/>
                <w:sz w:val="18"/>
                <w:szCs w:val="18"/>
                <w:u w:val="single"/>
                <w:lang w:val="en-US" w:eastAsia="zh-CN"/>
              </w:rPr>
              <w:t>43</w:t>
            </w:r>
            <w:r>
              <w:rPr>
                <w:rFonts w:hint="eastAsia" w:asciiTheme="minorEastAsia" w:hAnsiTheme="minorEastAsia" w:eastAsiaTheme="minorEastAsia" w:cs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价格评审</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20</w:t>
            </w:r>
            <w:r>
              <w:rPr>
                <w:rFonts w:hint="eastAsia" w:asciiTheme="minorEastAsia" w:hAnsiTheme="minorEastAsia" w:eastAsiaTheme="minorEastAsia" w:cstheme="minorEastAsia"/>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得分以满分</w:t>
            </w:r>
            <w:r>
              <w:rPr>
                <w:rFonts w:hint="eastAsia" w:asciiTheme="minorEastAsia" w:hAnsiTheme="minorEastAsia" w:eastAsiaTheme="minorEastAsia" w:cstheme="minorEastAsia"/>
                <w:sz w:val="18"/>
                <w:szCs w:val="18"/>
                <w:u w:val="single"/>
                <w:lang w:val="en-US" w:eastAsia="zh-CN"/>
              </w:rPr>
              <w:t>20</w:t>
            </w:r>
            <w:r>
              <w:rPr>
                <w:rFonts w:hint="eastAsia" w:asciiTheme="minorEastAsia" w:hAnsiTheme="minorEastAsia" w:eastAsiaTheme="minorEastAsia" w:cstheme="minorEastAsia"/>
                <w:sz w:val="18"/>
                <w:szCs w:val="18"/>
                <w:u w:val="single"/>
              </w:rPr>
              <w:t>分</w:t>
            </w:r>
            <w:r>
              <w:rPr>
                <w:rFonts w:hint="eastAsia" w:asciiTheme="minorEastAsia" w:hAnsiTheme="minorEastAsia" w:eastAsiaTheme="minorEastAsia" w:cstheme="minorEastAsia"/>
                <w:sz w:val="18"/>
                <w:szCs w:val="18"/>
              </w:rPr>
              <w:t>计算。满足招标文件要求且</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最低的</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为</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基准价，其价格分为满分。其他</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的价格分统一按照下列公式计算：</w:t>
            </w:r>
          </w:p>
          <w:p>
            <w:pPr>
              <w:spacing w:line="240" w:lineRule="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得分=（</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基准价/</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highlight w:val="none"/>
                <w:lang w:val="en-US" w:eastAsia="zh-CN"/>
              </w:rPr>
              <w:t>20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财政部印发财政部令87号《政府采购货物和服务招标投标管理办法》</w:t>
            </w:r>
            <w:r>
              <w:rPr>
                <w:rFonts w:hint="eastAsia" w:asciiTheme="minorEastAsia" w:hAnsiTheme="minorEastAsia" w:eastAsiaTheme="minorEastAsia" w:cstheme="minorEastAsia"/>
                <w:sz w:val="18"/>
                <w:szCs w:val="18"/>
                <w:lang w:val="en-US" w:eastAsia="zh-CN"/>
              </w:rPr>
              <w:t>第六十条</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评审委员会</w:t>
            </w:r>
            <w:r>
              <w:rPr>
                <w:rFonts w:hint="eastAsia" w:asciiTheme="minorEastAsia" w:hAnsiTheme="minorEastAsia" w:eastAsiaTheme="minorEastAsia" w:cstheme="minorEastAsia"/>
                <w:sz w:val="18"/>
                <w:szCs w:val="18"/>
              </w:rPr>
              <w:t>认为</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的报价明显低于其他通过符合性审查</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的报价，有可能影响服务质量或者不能诚信履约的，应当要求其在</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现场合理的时间内提供书面说明，必要时提交相关证明材料；</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不能证明其报价合理性的，</w:t>
            </w:r>
            <w:r>
              <w:rPr>
                <w:rFonts w:hint="eastAsia" w:asciiTheme="minorEastAsia" w:hAnsiTheme="minorEastAsia" w:eastAsiaTheme="minorEastAsia" w:cstheme="minorEastAsia"/>
                <w:sz w:val="18"/>
                <w:szCs w:val="18"/>
                <w:lang w:eastAsia="zh-CN"/>
              </w:rPr>
              <w:t>评审委员会</w:t>
            </w:r>
            <w:r>
              <w:rPr>
                <w:rFonts w:hint="eastAsia" w:asciiTheme="minorEastAsia" w:hAnsiTheme="minorEastAsia" w:eastAsiaTheme="minorEastAsia" w:cstheme="minorEastAsia"/>
                <w:sz w:val="18"/>
                <w:szCs w:val="18"/>
              </w:rPr>
              <w:t>应当将其作为</w:t>
            </w:r>
            <w:r>
              <w:rPr>
                <w:rFonts w:hint="eastAsia" w:asciiTheme="minorEastAsia" w:hAnsiTheme="minorEastAsia" w:eastAsiaTheme="minorEastAsia" w:cstheme="minorEastAsia"/>
                <w:sz w:val="18"/>
                <w:szCs w:val="18"/>
                <w:lang w:eastAsia="zh-CN"/>
              </w:rPr>
              <w:t>无效响应</w:t>
            </w:r>
            <w:r>
              <w:rPr>
                <w:rFonts w:hint="eastAsia" w:asciiTheme="minorEastAsia" w:hAnsiTheme="minorEastAsia" w:eastAsiaTheme="minorEastAsia" w:cstheme="minorEastAsia"/>
                <w:sz w:val="18"/>
                <w:szCs w:val="18"/>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r>
              <w:rPr>
                <w:rFonts w:hint="eastAsia" w:ascii="宋体" w:hAnsi="宋体" w:cs="宋体"/>
                <w:color w:val="auto"/>
                <w:sz w:val="20"/>
                <w:szCs w:val="20"/>
              </w:rPr>
              <w:t>技术部分</w:t>
            </w:r>
          </w:p>
          <w:p>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37</w:t>
            </w:r>
            <w:r>
              <w:rPr>
                <w:rFonts w:hint="eastAsia" w:ascii="宋体" w:hAnsi="宋体" w:cs="宋体"/>
                <w:color w:val="auto"/>
                <w:sz w:val="20"/>
                <w:szCs w:val="20"/>
              </w:rPr>
              <w:t>分）</w:t>
            </w:r>
          </w:p>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项目服务实施方案</w:t>
            </w:r>
          </w:p>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23</w:t>
            </w:r>
            <w:r>
              <w:rPr>
                <w:rFonts w:hint="eastAsia" w:ascii="宋体" w:hAnsi="宋体" w:eastAsia="宋体" w:cs="宋体"/>
                <w:color w:val="auto"/>
                <w:sz w:val="18"/>
                <w:szCs w:val="18"/>
                <w:highlight w:val="none"/>
                <w:lang w:val="en-US" w:eastAsia="zh-CN"/>
              </w:rPr>
              <w:t>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依据项目情况</w:t>
            </w:r>
            <w:r>
              <w:rPr>
                <w:rFonts w:hint="eastAsia" w:ascii="宋体" w:hAnsi="宋体" w:cs="宋体"/>
                <w:color w:val="auto"/>
                <w:sz w:val="18"/>
                <w:szCs w:val="18"/>
                <w:highlight w:val="none"/>
                <w:lang w:val="en-US" w:eastAsia="zh-CN"/>
              </w:rPr>
              <w:t>制定</w:t>
            </w:r>
            <w:r>
              <w:rPr>
                <w:rFonts w:hint="eastAsia" w:ascii="宋体" w:hAnsi="宋体" w:cs="宋体"/>
                <w:color w:val="auto"/>
                <w:sz w:val="18"/>
                <w:szCs w:val="18"/>
                <w:highlight w:val="none"/>
              </w:rPr>
              <w:t>服务实施方案。方案内容包括不限于工作思路、前期准备工作、工作进度计划安排、项目重难点等内容：</w:t>
            </w:r>
          </w:p>
          <w:p>
            <w:pPr>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1、工作思路清晰、前期准备工作充分、工作进度计划安排合理、项目重难点分析到位，得</w:t>
            </w:r>
            <w:r>
              <w:rPr>
                <w:rFonts w:hint="eastAsia" w:ascii="宋体" w:hAnsi="宋体" w:cs="宋体"/>
                <w:color w:val="auto"/>
                <w:sz w:val="18"/>
                <w:szCs w:val="18"/>
                <w:highlight w:val="none"/>
                <w:lang w:eastAsia="zh-CN"/>
              </w:rPr>
              <w:t>1</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23</w:t>
            </w:r>
            <w:r>
              <w:rPr>
                <w:rFonts w:hint="eastAsia" w:ascii="宋体" w:hAnsi="宋体" w:cs="宋体"/>
                <w:color w:val="auto"/>
                <w:sz w:val="18"/>
                <w:szCs w:val="18"/>
                <w:highlight w:val="none"/>
              </w:rPr>
              <w:t>分；</w:t>
            </w:r>
          </w:p>
          <w:p>
            <w:pPr>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2、工作思路较清晰、前期准备工作较充分、工作进度计划安排较合理、项目重难点分析较到位，得</w:t>
            </w:r>
            <w:r>
              <w:rPr>
                <w:rFonts w:hint="eastAsia" w:ascii="宋体" w:hAnsi="宋体" w:cs="宋体"/>
                <w:color w:val="auto"/>
                <w:sz w:val="18"/>
                <w:szCs w:val="18"/>
                <w:highlight w:val="none"/>
                <w:lang w:eastAsia="zh-CN"/>
              </w:rPr>
              <w:t>8</w:t>
            </w: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15</w:t>
            </w:r>
            <w:r>
              <w:rPr>
                <w:rFonts w:hint="eastAsia" w:ascii="宋体" w:hAnsi="宋体" w:cs="宋体"/>
                <w:color w:val="auto"/>
                <w:sz w:val="18"/>
                <w:szCs w:val="18"/>
                <w:highlight w:val="none"/>
              </w:rPr>
              <w:t>分；</w:t>
            </w:r>
          </w:p>
          <w:p>
            <w:pP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18"/>
                <w:szCs w:val="18"/>
                <w:highlight w:val="none"/>
              </w:rPr>
              <w:t>3、工作思路不清晰、前期准备工作不充分、工作进度计划安排不合理、项目重难点分析不到位，得0-</w:t>
            </w: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项目实施优化建议(8分)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根据供应商提供项目实施优化建议进行评分: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lang w:val="en-US" w:eastAsia="zh-CN" w:bidi="ar-SA"/>
              </w:rPr>
              <w:t>1、</w:t>
            </w:r>
            <w:r>
              <w:rPr>
                <w:rFonts w:hint="eastAsia" w:ascii="宋体" w:hAnsi="宋体" w:eastAsia="宋体" w:cs="宋体"/>
                <w:color w:val="auto"/>
                <w:sz w:val="18"/>
                <w:szCs w:val="18"/>
                <w:highlight w:val="none"/>
                <w:lang w:val="en-US" w:eastAsia="zh-CN"/>
              </w:rPr>
              <w:t>针对性强，可操作性强：得6-8分；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2、针对性较强，可操作性较强，得3-5分；</w:t>
            </w:r>
          </w:p>
          <w:p>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3、针对性不强，不具有可操作性，得0-2分。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服务承诺(6分)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服务承诺内容包括但不限于:后续服务保证措施、服务响应时间等，根据供应商提供方案进行评分: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lang w:val="en-US" w:eastAsia="zh-CN" w:bidi="ar-SA"/>
              </w:rPr>
              <w:t>1、</w:t>
            </w:r>
            <w:r>
              <w:rPr>
                <w:rFonts w:hint="eastAsia" w:ascii="宋体" w:hAnsi="宋体" w:eastAsia="宋体" w:cs="宋体"/>
                <w:color w:val="auto"/>
                <w:sz w:val="18"/>
                <w:szCs w:val="18"/>
                <w:highlight w:val="none"/>
                <w:lang w:val="en-US" w:eastAsia="zh-CN"/>
              </w:rPr>
              <w:t>方案内容完整，针对性强，可操作性强：得5-6分；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2、方案内容较为完整，针对性较强，可操作性较强，得3-4分；</w:t>
            </w:r>
          </w:p>
          <w:p>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3、方案内容缺失，针对性不强，不具有可操作性，得0-2分。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rPr>
            </w:pPr>
            <w:r>
              <w:rPr>
                <w:rFonts w:hint="eastAsia" w:ascii="宋体" w:hAnsi="宋体" w:cs="宋体"/>
                <w:color w:val="auto"/>
                <w:sz w:val="20"/>
                <w:szCs w:val="20"/>
              </w:rPr>
              <w:t>商务部分</w:t>
            </w:r>
          </w:p>
          <w:p>
            <w:pPr>
              <w:spacing w:line="240" w:lineRule="auto"/>
              <w:jc w:val="center"/>
              <w:rPr>
                <w:rFonts w:hint="eastAsia"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43</w:t>
            </w:r>
            <w:r>
              <w:rPr>
                <w:rFonts w:hint="eastAsia" w:ascii="宋体" w:hAnsi="宋体" w:cs="宋体"/>
                <w:color w:val="auto"/>
                <w:sz w:val="20"/>
                <w:szCs w:val="20"/>
              </w:rPr>
              <w:t>分）</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18"/>
                <w:szCs w:val="18"/>
                <w:highlight w:val="none"/>
                <w:lang w:val="en-US" w:eastAsia="zh-CN"/>
              </w:rPr>
              <w:t>供应商资质情况（</w:t>
            </w:r>
            <w:r>
              <w:rPr>
                <w:rFonts w:hint="eastAsia" w:ascii="宋体" w:hAnsi="宋体" w:cs="宋体"/>
                <w:color w:val="auto"/>
                <w:sz w:val="18"/>
                <w:szCs w:val="18"/>
                <w:highlight w:val="none"/>
                <w:lang w:val="en-US" w:eastAsia="zh-CN"/>
              </w:rPr>
              <w:t>15</w:t>
            </w:r>
            <w:r>
              <w:rPr>
                <w:rFonts w:hint="eastAsia" w:ascii="宋体" w:hAnsi="宋体" w:eastAsia="宋体" w:cs="宋体"/>
                <w:color w:val="auto"/>
                <w:sz w:val="18"/>
                <w:szCs w:val="18"/>
                <w:highlight w:val="none"/>
                <w:lang w:val="en-US" w:eastAsia="zh-CN"/>
              </w:rPr>
              <w:t>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1、供应商</w:t>
            </w:r>
            <w:r>
              <w:rPr>
                <w:rFonts w:hint="eastAsia" w:ascii="宋体" w:hAnsi="宋体" w:eastAsia="宋体" w:cs="宋体"/>
                <w:color w:val="auto"/>
                <w:sz w:val="18"/>
                <w:szCs w:val="18"/>
                <w:highlight w:val="none"/>
                <w:lang w:val="en-US" w:eastAsia="zh-CN"/>
              </w:rPr>
              <w:t>具有工程咨询综合资信甲级</w:t>
            </w:r>
            <w:r>
              <w:rPr>
                <w:rFonts w:hint="eastAsia" w:ascii="宋体" w:hAnsi="宋体" w:cs="宋体"/>
                <w:color w:val="auto"/>
                <w:sz w:val="18"/>
                <w:szCs w:val="18"/>
                <w:highlight w:val="none"/>
                <w:lang w:val="en-US" w:eastAsia="zh-CN"/>
              </w:rPr>
              <w:t>（规划咨询、评估咨询）</w:t>
            </w:r>
            <w:r>
              <w:rPr>
                <w:rFonts w:hint="eastAsia" w:ascii="宋体" w:hAnsi="宋体" w:eastAsia="宋体" w:cs="宋体"/>
                <w:color w:val="auto"/>
                <w:sz w:val="18"/>
                <w:szCs w:val="18"/>
                <w:highlight w:val="none"/>
                <w:lang w:val="en-US" w:eastAsia="zh-CN"/>
              </w:rPr>
              <w:t>，得</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0分；</w:t>
            </w:r>
          </w:p>
          <w:p>
            <w:pPr>
              <w:spacing w:line="24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2、供应商</w:t>
            </w:r>
            <w:r>
              <w:rPr>
                <w:rFonts w:hint="eastAsia" w:ascii="宋体" w:hAnsi="宋体" w:eastAsia="宋体" w:cs="宋体"/>
                <w:color w:val="auto"/>
                <w:sz w:val="18"/>
                <w:szCs w:val="18"/>
                <w:highlight w:val="none"/>
                <w:lang w:val="en-US" w:eastAsia="zh-CN"/>
              </w:rPr>
              <w:t>具有工程咨询专业资信甲级(市政公用工程</w:t>
            </w:r>
            <w:r>
              <w:rPr>
                <w:rFonts w:hint="eastAsia" w:ascii="宋体" w:hAnsi="宋体" w:cs="宋体"/>
                <w:color w:val="auto"/>
                <w:sz w:val="18"/>
                <w:szCs w:val="18"/>
                <w:highlight w:val="none"/>
                <w:lang w:val="en-US" w:eastAsia="zh-CN"/>
              </w:rPr>
              <w:t>专业</w:t>
            </w:r>
            <w:r>
              <w:rPr>
                <w:rFonts w:hint="eastAsia" w:ascii="宋体" w:hAnsi="宋体" w:eastAsia="宋体" w:cs="宋体"/>
                <w:color w:val="auto"/>
                <w:sz w:val="18"/>
                <w:szCs w:val="18"/>
                <w:highlight w:val="none"/>
                <w:lang w:val="en-US" w:eastAsia="zh-CN"/>
              </w:rPr>
              <w:t>、建筑</w:t>
            </w:r>
            <w:r>
              <w:rPr>
                <w:rFonts w:hint="eastAsia" w:ascii="宋体" w:hAnsi="宋体" w:cs="宋体"/>
                <w:color w:val="auto"/>
                <w:sz w:val="18"/>
                <w:szCs w:val="18"/>
                <w:highlight w:val="none"/>
                <w:lang w:val="en-US" w:eastAsia="zh-CN"/>
              </w:rPr>
              <w:t>专业</w:t>
            </w:r>
            <w:r>
              <w:rPr>
                <w:rFonts w:hint="eastAsia" w:ascii="宋体" w:hAnsi="宋体" w:eastAsia="宋体" w:cs="宋体"/>
                <w:color w:val="auto"/>
                <w:sz w:val="18"/>
                <w:szCs w:val="18"/>
                <w:highlight w:val="none"/>
                <w:lang w:val="en-US" w:eastAsia="zh-CN"/>
              </w:rPr>
              <w:t>)，得</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分；</w:t>
            </w:r>
          </w:p>
          <w:p>
            <w:pPr>
              <w:spacing w:line="240" w:lineRule="auto"/>
              <w:rPr>
                <w:rFonts w:hint="eastAsia" w:ascii="宋体" w:hAnsi="宋体" w:eastAsia="宋体" w:cs="宋体"/>
                <w:color w:val="auto"/>
                <w:kern w:val="2"/>
                <w:sz w:val="18"/>
                <w:szCs w:val="18"/>
                <w:highlight w:val="none"/>
                <w:lang w:val="en-GB" w:eastAsia="zh-CN" w:bidi="ar-SA"/>
              </w:rPr>
            </w:pPr>
            <w:r>
              <w:rPr>
                <w:rFonts w:hint="eastAsia" w:ascii="宋体" w:hAnsi="宋体" w:cs="宋体"/>
                <w:color w:val="auto"/>
                <w:sz w:val="18"/>
                <w:szCs w:val="18"/>
                <w:highlight w:val="none"/>
                <w:lang w:val="en-US" w:eastAsia="zh-CN"/>
              </w:rPr>
              <w:t>证明材料：提供资质证书复印件（加盖公章）。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tcBorders>
              <w:top w:val="single" w:color="auto" w:sz="4" w:space="0"/>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18"/>
                <w:szCs w:val="18"/>
                <w:highlight w:val="none"/>
                <w:lang w:val="en-US" w:eastAsia="zh-CN"/>
              </w:rPr>
              <w:t>项目团队</w:t>
            </w:r>
            <w:r>
              <w:rPr>
                <w:rFonts w:hint="eastAsia" w:ascii="宋体" w:hAnsi="宋体" w:eastAsia="宋体" w:cs="宋体"/>
                <w:color w:val="auto"/>
                <w:sz w:val="18"/>
                <w:szCs w:val="18"/>
                <w:highlight w:val="none"/>
                <w:lang w:val="en-US" w:eastAsia="zh-CN"/>
              </w:rPr>
              <w:t>人员情况（</w:t>
            </w:r>
            <w:r>
              <w:rPr>
                <w:rFonts w:hint="eastAsia" w:ascii="宋体" w:hAnsi="宋体" w:cs="宋体"/>
                <w:color w:val="auto"/>
                <w:sz w:val="18"/>
                <w:szCs w:val="18"/>
                <w:highlight w:val="none"/>
                <w:lang w:val="en-US" w:eastAsia="zh-CN"/>
              </w:rPr>
              <w:t>12</w:t>
            </w:r>
            <w:r>
              <w:rPr>
                <w:rFonts w:hint="eastAsia" w:ascii="宋体" w:hAnsi="宋体" w:eastAsia="宋体" w:cs="宋体"/>
                <w:color w:val="auto"/>
                <w:sz w:val="18"/>
                <w:szCs w:val="18"/>
                <w:highlight w:val="none"/>
                <w:lang w:val="en-US" w:eastAsia="zh-CN"/>
              </w:rPr>
              <w:t>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1、</w:t>
            </w:r>
            <w:r>
              <w:rPr>
                <w:rFonts w:hint="eastAsia" w:ascii="宋体" w:hAnsi="宋体" w:cs="宋体"/>
                <w:color w:val="auto"/>
                <w:sz w:val="18"/>
                <w:szCs w:val="18"/>
                <w:highlight w:val="none"/>
                <w:lang w:val="en-US" w:eastAsia="zh-CN"/>
              </w:rPr>
              <w:t>项目</w:t>
            </w:r>
            <w:r>
              <w:rPr>
                <w:rFonts w:hint="eastAsia" w:ascii="宋体" w:hAnsi="宋体" w:eastAsia="宋体" w:cs="宋体"/>
                <w:color w:val="auto"/>
                <w:sz w:val="18"/>
                <w:szCs w:val="18"/>
                <w:highlight w:val="none"/>
                <w:lang w:val="en-US" w:eastAsia="zh-CN"/>
              </w:rPr>
              <w:t>负责</w:t>
            </w:r>
            <w:r>
              <w:rPr>
                <w:rFonts w:hint="eastAsia" w:ascii="宋体" w:hAnsi="宋体" w:eastAsia="宋体" w:cs="宋体"/>
                <w:color w:val="auto"/>
                <w:sz w:val="18"/>
                <w:szCs w:val="18"/>
                <w:highlight w:val="none"/>
                <w:lang w:val="en-GB" w:eastAsia="zh-CN"/>
              </w:rPr>
              <w:t>人，具</w:t>
            </w:r>
            <w:r>
              <w:rPr>
                <w:rFonts w:hint="eastAsia" w:ascii="宋体" w:hAnsi="宋体" w:cs="宋体"/>
                <w:color w:val="auto"/>
                <w:sz w:val="18"/>
                <w:szCs w:val="18"/>
                <w:highlight w:val="none"/>
                <w:lang w:val="en-US" w:eastAsia="zh-CN"/>
              </w:rPr>
              <w:t>有注册</w:t>
            </w:r>
            <w:r>
              <w:rPr>
                <w:rFonts w:hint="eastAsia" w:ascii="宋体" w:hAnsi="宋体" w:eastAsia="宋体" w:cs="宋体"/>
                <w:color w:val="auto"/>
                <w:sz w:val="18"/>
                <w:szCs w:val="18"/>
                <w:highlight w:val="none"/>
                <w:lang w:val="en-GB" w:eastAsia="zh-CN"/>
              </w:rPr>
              <w:t>咨询工程师</w:t>
            </w:r>
            <w:r>
              <w:rPr>
                <w:rFonts w:hint="eastAsia" w:ascii="宋体" w:hAnsi="宋体" w:cs="宋体"/>
                <w:color w:val="auto"/>
                <w:sz w:val="18"/>
                <w:szCs w:val="18"/>
                <w:highlight w:val="none"/>
                <w:lang w:val="en-GB" w:eastAsia="zh-CN"/>
              </w:rPr>
              <w:t>，</w:t>
            </w:r>
            <w:r>
              <w:rPr>
                <w:rFonts w:hint="eastAsia" w:ascii="宋体" w:hAnsi="宋体" w:cs="宋体"/>
                <w:color w:val="auto"/>
                <w:sz w:val="18"/>
                <w:szCs w:val="18"/>
                <w:highlight w:val="none"/>
                <w:lang w:val="en-US" w:eastAsia="zh-CN"/>
              </w:rPr>
              <w:t>且具有</w:t>
            </w:r>
            <w:r>
              <w:rPr>
                <w:rFonts w:hint="eastAsia" w:ascii="宋体" w:hAnsi="宋体" w:eastAsia="宋体" w:cs="宋体"/>
                <w:color w:val="auto"/>
                <w:sz w:val="18"/>
                <w:szCs w:val="18"/>
                <w:highlight w:val="none"/>
                <w:lang w:val="en-GB" w:eastAsia="zh-CN"/>
              </w:rPr>
              <w:t>规划专业高级</w:t>
            </w:r>
            <w:r>
              <w:rPr>
                <w:rFonts w:hint="eastAsia" w:ascii="宋体" w:hAnsi="宋体" w:cs="宋体"/>
                <w:color w:val="auto"/>
                <w:sz w:val="18"/>
                <w:szCs w:val="18"/>
                <w:highlight w:val="none"/>
                <w:lang w:val="en-GB" w:eastAsia="zh-CN"/>
              </w:rPr>
              <w:t>（</w:t>
            </w:r>
            <w:r>
              <w:rPr>
                <w:rFonts w:hint="eastAsia" w:ascii="宋体" w:hAnsi="宋体" w:cs="宋体"/>
                <w:color w:val="auto"/>
                <w:sz w:val="18"/>
                <w:szCs w:val="18"/>
                <w:highlight w:val="none"/>
                <w:lang w:val="en-US" w:eastAsia="zh-CN"/>
              </w:rPr>
              <w:t>含</w:t>
            </w:r>
            <w:r>
              <w:rPr>
                <w:rFonts w:hint="eastAsia" w:ascii="宋体" w:hAnsi="宋体" w:cs="宋体"/>
                <w:color w:val="auto"/>
                <w:sz w:val="18"/>
                <w:szCs w:val="18"/>
                <w:highlight w:val="none"/>
                <w:lang w:val="en-GB" w:eastAsia="zh-CN"/>
              </w:rPr>
              <w:t>）</w:t>
            </w:r>
            <w:r>
              <w:rPr>
                <w:rFonts w:hint="eastAsia" w:ascii="宋体" w:hAnsi="宋体" w:cs="宋体"/>
                <w:color w:val="auto"/>
                <w:sz w:val="18"/>
                <w:szCs w:val="18"/>
                <w:highlight w:val="none"/>
                <w:lang w:val="en-US" w:eastAsia="zh-CN"/>
              </w:rPr>
              <w:t>以上</w:t>
            </w:r>
            <w:r>
              <w:rPr>
                <w:rFonts w:hint="eastAsia" w:ascii="宋体" w:hAnsi="宋体" w:eastAsia="宋体" w:cs="宋体"/>
                <w:color w:val="auto"/>
                <w:sz w:val="18"/>
                <w:szCs w:val="18"/>
                <w:highlight w:val="none"/>
                <w:lang w:val="en-GB" w:eastAsia="zh-CN"/>
              </w:rPr>
              <w:t>职称；得</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GB" w:eastAsia="zh-CN"/>
              </w:rPr>
              <w:t>分</w:t>
            </w:r>
            <w:r>
              <w:rPr>
                <w:rFonts w:hint="eastAsia" w:ascii="宋体" w:hAnsi="宋体" w:cs="宋体"/>
                <w:color w:val="auto"/>
                <w:sz w:val="18"/>
                <w:szCs w:val="18"/>
                <w:highlight w:val="none"/>
                <w:lang w:val="en-GB" w:eastAsia="zh-CN"/>
              </w:rPr>
              <w:t>。</w:t>
            </w:r>
          </w:p>
          <w:p>
            <w:pPr>
              <w:numPr>
                <w:ilvl w:val="0"/>
                <w:numId w:val="0"/>
              </w:numPr>
              <w:spacing w:line="24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GB" w:eastAsia="zh-CN"/>
              </w:rPr>
              <w:t>2、</w:t>
            </w:r>
            <w:r>
              <w:rPr>
                <w:rFonts w:hint="eastAsia" w:ascii="宋体" w:hAnsi="宋体" w:cs="宋体"/>
                <w:color w:val="auto"/>
                <w:sz w:val="18"/>
                <w:szCs w:val="18"/>
                <w:highlight w:val="none"/>
                <w:lang w:val="en-US" w:eastAsia="zh-CN"/>
              </w:rPr>
              <w:t>项目团队其他成员（不含项目负责人）</w:t>
            </w:r>
            <w:r>
              <w:rPr>
                <w:rFonts w:hint="eastAsia" w:ascii="宋体" w:hAnsi="宋体" w:eastAsia="宋体" w:cs="宋体"/>
                <w:color w:val="auto"/>
                <w:sz w:val="18"/>
                <w:szCs w:val="18"/>
                <w:highlight w:val="none"/>
                <w:lang w:val="en-GB" w:eastAsia="zh-CN"/>
              </w:rPr>
              <w:t>具有</w:t>
            </w:r>
            <w:r>
              <w:rPr>
                <w:rFonts w:hint="eastAsia" w:ascii="宋体" w:hAnsi="宋体" w:eastAsia="宋体" w:cs="宋体"/>
                <w:color w:val="auto"/>
                <w:sz w:val="18"/>
                <w:szCs w:val="18"/>
                <w:highlight w:val="none"/>
                <w:lang w:val="en-US" w:eastAsia="zh-CN"/>
              </w:rPr>
              <w:t>道路、给排水、规划、经济</w:t>
            </w:r>
            <w:r>
              <w:rPr>
                <w:rFonts w:hint="eastAsia" w:ascii="宋体" w:hAnsi="宋体" w:eastAsia="宋体" w:cs="宋体"/>
                <w:color w:val="auto"/>
                <w:sz w:val="18"/>
                <w:szCs w:val="18"/>
                <w:highlight w:val="none"/>
                <w:lang w:val="en-GB" w:eastAsia="zh-CN"/>
              </w:rPr>
              <w:t>专业</w:t>
            </w:r>
            <w:r>
              <w:rPr>
                <w:rFonts w:hint="eastAsia" w:ascii="宋体" w:hAnsi="宋体" w:eastAsia="宋体" w:cs="宋体"/>
                <w:color w:val="auto"/>
                <w:sz w:val="18"/>
                <w:szCs w:val="18"/>
                <w:highlight w:val="none"/>
                <w:lang w:val="en-US" w:eastAsia="zh-CN"/>
              </w:rPr>
              <w:t>人员</w:t>
            </w:r>
            <w:r>
              <w:rPr>
                <w:rFonts w:hint="eastAsia" w:ascii="宋体" w:hAnsi="宋体" w:eastAsia="宋体" w:cs="宋体"/>
                <w:color w:val="auto"/>
                <w:sz w:val="18"/>
                <w:szCs w:val="18"/>
                <w:highlight w:val="none"/>
                <w:lang w:val="en-GB" w:eastAsia="zh-CN"/>
              </w:rPr>
              <w:t>，</w:t>
            </w:r>
            <w:r>
              <w:rPr>
                <w:rFonts w:hint="eastAsia" w:ascii="宋体" w:hAnsi="宋体" w:eastAsia="宋体" w:cs="宋体"/>
                <w:color w:val="auto"/>
                <w:sz w:val="18"/>
                <w:szCs w:val="18"/>
                <w:highlight w:val="none"/>
                <w:lang w:val="en-US" w:eastAsia="zh-CN"/>
              </w:rPr>
              <w:t>具备高级（含）以上职称，每提供一个得</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分，</w:t>
            </w:r>
            <w:r>
              <w:rPr>
                <w:rFonts w:hint="default" w:ascii="宋体" w:hAnsi="宋体" w:eastAsia="宋体" w:cs="宋体"/>
                <w:color w:val="auto"/>
                <w:sz w:val="18"/>
                <w:szCs w:val="18"/>
                <w:highlight w:val="none"/>
                <w:lang w:val="en-US" w:eastAsia="zh-CN"/>
              </w:rPr>
              <w:t>本项满分</w:t>
            </w:r>
            <w:r>
              <w:rPr>
                <w:rFonts w:hint="eastAsia" w:ascii="宋体" w:hAnsi="宋体" w:cs="宋体"/>
                <w:color w:val="auto"/>
                <w:sz w:val="18"/>
                <w:szCs w:val="18"/>
                <w:highlight w:val="none"/>
                <w:lang w:val="en-US" w:eastAsia="zh-CN"/>
              </w:rPr>
              <w:t>8</w:t>
            </w:r>
            <w:r>
              <w:rPr>
                <w:rFonts w:hint="default" w:ascii="宋体" w:hAnsi="宋体" w:eastAsia="宋体" w:cs="宋体"/>
                <w:color w:val="auto"/>
                <w:sz w:val="18"/>
                <w:szCs w:val="18"/>
                <w:highlight w:val="none"/>
                <w:lang w:val="en-US" w:eastAsia="zh-CN"/>
              </w:rPr>
              <w:t>分。</w:t>
            </w:r>
          </w:p>
          <w:p>
            <w:pPr>
              <w:numPr>
                <w:ilvl w:val="0"/>
                <w:numId w:val="0"/>
              </w:numPr>
              <w:spacing w:line="240" w:lineRule="auto"/>
              <w:rPr>
                <w:color w:val="auto"/>
                <w:highlight w:val="none"/>
              </w:rPr>
            </w:pPr>
            <w:r>
              <w:rPr>
                <w:rFonts w:hint="eastAsia" w:ascii="宋体" w:hAnsi="宋体" w:eastAsia="宋体" w:cs="宋体"/>
                <w:color w:val="auto"/>
                <w:sz w:val="18"/>
                <w:szCs w:val="18"/>
                <w:highlight w:val="none"/>
                <w:lang w:val="en-GB" w:eastAsia="zh-CN"/>
              </w:rPr>
              <w:t>(同一人员具有不同职称不重复计分)</w:t>
            </w:r>
          </w:p>
          <w:p>
            <w:pPr>
              <w:numPr>
                <w:ilvl w:val="0"/>
                <w:numId w:val="0"/>
              </w:numPr>
              <w:spacing w:line="240" w:lineRule="auto"/>
              <w:ind w:left="0" w:leftChars="0" w:firstLine="0" w:firstLine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证明材料：</w:t>
            </w:r>
            <w:r>
              <w:rPr>
                <w:rFonts w:hint="eastAsia" w:ascii="宋体" w:hAnsi="宋体" w:eastAsia="宋体" w:cs="宋体"/>
                <w:color w:val="auto"/>
                <w:sz w:val="18"/>
                <w:szCs w:val="18"/>
                <w:highlight w:val="none"/>
                <w:lang w:val="en-GB" w:eastAsia="zh-CN"/>
              </w:rPr>
              <w:t>项目组成员必须为供应商自有员工</w:t>
            </w:r>
            <w:r>
              <w:rPr>
                <w:rFonts w:hint="eastAsia" w:ascii="宋体" w:hAnsi="宋体" w:cs="宋体"/>
                <w:color w:val="auto"/>
                <w:sz w:val="18"/>
                <w:szCs w:val="18"/>
                <w:highlight w:val="none"/>
                <w:lang w:val="en-GB" w:eastAsia="zh-CN"/>
              </w:rPr>
              <w:t>，</w:t>
            </w:r>
            <w:r>
              <w:rPr>
                <w:rFonts w:hint="eastAsia" w:ascii="宋体" w:hAnsi="宋体" w:eastAsia="宋体" w:cs="宋体"/>
                <w:color w:val="auto"/>
                <w:sz w:val="18"/>
                <w:szCs w:val="18"/>
                <w:highlight w:val="none"/>
                <w:lang w:val="en-GB" w:eastAsia="zh-CN"/>
              </w:rPr>
              <w:t>须</w:t>
            </w:r>
            <w:r>
              <w:rPr>
                <w:rFonts w:hint="eastAsia" w:ascii="宋体" w:hAnsi="宋体" w:eastAsia="宋体" w:cs="宋体"/>
                <w:color w:val="auto"/>
                <w:sz w:val="18"/>
                <w:szCs w:val="18"/>
                <w:highlight w:val="none"/>
                <w:lang w:val="en-US" w:eastAsia="zh-CN"/>
              </w:rPr>
              <w:t>提供以上人员</w:t>
            </w:r>
            <w:r>
              <w:rPr>
                <w:rFonts w:hint="eastAsia" w:ascii="宋体" w:hAnsi="宋体" w:eastAsia="宋体" w:cs="宋体"/>
                <w:color w:val="auto"/>
                <w:sz w:val="18"/>
                <w:szCs w:val="18"/>
                <w:highlight w:val="none"/>
                <w:lang w:val="en-GB" w:eastAsia="zh-CN"/>
              </w:rPr>
              <w:t>须提供在本单位2024年</w:t>
            </w:r>
            <w:r>
              <w:rPr>
                <w:rFonts w:hint="eastAsia" w:ascii="宋体" w:hAnsi="宋体" w:cs="宋体"/>
                <w:color w:val="auto"/>
                <w:sz w:val="18"/>
                <w:szCs w:val="18"/>
                <w:highlight w:val="none"/>
                <w:lang w:val="en-US" w:eastAsia="zh-CN"/>
              </w:rPr>
              <w:t>任意三</w:t>
            </w:r>
            <w:r>
              <w:rPr>
                <w:rFonts w:hint="eastAsia" w:ascii="宋体" w:hAnsi="宋体" w:eastAsia="宋体" w:cs="宋体"/>
                <w:color w:val="auto"/>
                <w:sz w:val="18"/>
                <w:szCs w:val="18"/>
                <w:highlight w:val="none"/>
                <w:lang w:val="en-GB" w:eastAsia="zh-CN"/>
              </w:rPr>
              <w:t>个月缴纳的社保证明</w:t>
            </w:r>
            <w:r>
              <w:rPr>
                <w:rFonts w:hint="default" w:ascii="宋体" w:hAnsi="宋体" w:eastAsia="宋体" w:cs="宋体"/>
                <w:color w:val="auto"/>
                <w:sz w:val="18"/>
                <w:szCs w:val="18"/>
                <w:highlight w:val="none"/>
                <w:lang w:val="en-US" w:eastAsia="zh-CN"/>
              </w:rPr>
              <w:t xml:space="preserve">、职称证、注册证复印件或扫描件或者网上查询截图加盖单位公章，否则不得分。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Align w:val="top"/>
          </w:tcPr>
          <w:p>
            <w:pPr>
              <w:spacing w:line="240" w:lineRule="auto"/>
              <w:jc w:val="center"/>
              <w:rPr>
                <w:rFonts w:hint="eastAsia" w:ascii="宋体" w:hAnsi="宋体" w:cs="宋体"/>
                <w:color w:val="auto"/>
                <w:sz w:val="20"/>
                <w:szCs w:val="20"/>
              </w:rPr>
            </w:pPr>
          </w:p>
        </w:tc>
        <w:tc>
          <w:tcPr>
            <w:tcW w:w="2300" w:type="dxa"/>
            <w:shd w:val="clear" w:color="auto" w:fill="auto"/>
            <w:vAlign w:val="center"/>
          </w:tcPr>
          <w:p>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18"/>
                <w:szCs w:val="18"/>
                <w:highlight w:val="none"/>
                <w:lang w:val="en-US" w:eastAsia="zh-CN"/>
              </w:rPr>
              <w:t>供应商项目经验情况（1</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分）</w:t>
            </w:r>
          </w:p>
        </w:tc>
        <w:tc>
          <w:tcPr>
            <w:tcW w:w="6369" w:type="dxa"/>
            <w:shd w:val="clear" w:color="auto" w:fill="auto"/>
            <w:vAlign w:val="center"/>
          </w:tcPr>
          <w:p>
            <w:pPr>
              <w:spacing w:line="24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自2018年1月1日至今，承揽过或完成过</w:t>
            </w:r>
            <w:r>
              <w:rPr>
                <w:rFonts w:hint="eastAsia" w:ascii="宋体" w:hAnsi="宋体" w:eastAsia="宋体" w:cs="宋体"/>
                <w:color w:val="auto"/>
                <w:sz w:val="18"/>
                <w:szCs w:val="18"/>
                <w:highlight w:val="none"/>
                <w:lang w:val="en-US" w:eastAsia="zh-CN"/>
              </w:rPr>
              <w:t>政策研究类、空间规划类、工程咨询类、工程设计类项目业绩</w:t>
            </w:r>
            <w:r>
              <w:rPr>
                <w:rFonts w:hint="eastAsia" w:ascii="宋体" w:hAnsi="宋体" w:cs="宋体"/>
                <w:color w:val="auto"/>
                <w:sz w:val="18"/>
                <w:szCs w:val="18"/>
                <w:highlight w:val="none"/>
                <w:lang w:val="en-US" w:eastAsia="zh-CN"/>
              </w:rPr>
              <w:t>，每提供一类业绩得4分，本项满分16分（</w:t>
            </w:r>
            <w:r>
              <w:rPr>
                <w:rFonts w:hint="eastAsia" w:ascii="宋体" w:hAnsi="宋体" w:eastAsia="宋体" w:cs="宋体"/>
                <w:color w:val="auto"/>
                <w:sz w:val="18"/>
                <w:szCs w:val="18"/>
                <w:highlight w:val="none"/>
                <w:lang w:val="en-US" w:eastAsia="zh-CN"/>
              </w:rPr>
              <w:t>每类业绩不少于2个</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w:t>
            </w:r>
          </w:p>
          <w:p>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证明材料：须提供设计合同扫描件并加</w:t>
            </w:r>
            <w:r>
              <w:rPr>
                <w:rFonts w:hint="default" w:ascii="宋体" w:hAnsi="宋体" w:eastAsia="宋体" w:cs="宋体"/>
                <w:color w:val="auto"/>
                <w:sz w:val="18"/>
                <w:szCs w:val="18"/>
                <w:highlight w:val="none"/>
                <w:lang w:val="en-US" w:eastAsia="zh-CN"/>
              </w:rPr>
              <w:t xml:space="preserve">盖单位公章。注：1、项目以合同签订时间为准；2、同一项目不重复计分。 </w:t>
            </w:r>
          </w:p>
        </w:tc>
      </w:tr>
    </w:tbl>
    <w:p>
      <w:pPr>
        <w:pStyle w:val="17"/>
        <w:ind w:left="0" w:leftChars="0" w:firstLine="0" w:firstLineChars="0"/>
        <w:rPr>
          <w:rFonts w:hint="eastAsia" w:asciiTheme="minorEastAsia" w:hAnsiTheme="minorEastAsia" w:eastAsiaTheme="minorEastAsia" w:cstheme="minorEastAsia"/>
          <w:b/>
          <w:color w:val="auto"/>
          <w:sz w:val="21"/>
          <w:szCs w:val="21"/>
        </w:rPr>
      </w:pPr>
    </w:p>
    <w:p>
      <w:pPr>
        <w:rPr>
          <w:rFonts w:hint="eastAsia"/>
        </w:rPr>
        <w:sectPr>
          <w:pgSz w:w="11906" w:h="16838"/>
          <w:pgMar w:top="2098" w:right="1474" w:bottom="1984" w:left="1587" w:header="794" w:footer="992" w:gutter="0"/>
          <w:pgNumType w:fmt="decimal"/>
          <w:cols w:space="425" w:num="1"/>
          <w:docGrid w:type="lines" w:linePitch="312" w:charSpace="0"/>
        </w:sectPr>
      </w:pPr>
    </w:p>
    <w:p>
      <w:pPr>
        <w:pStyle w:val="17"/>
        <w:rPr>
          <w:rFonts w:hint="eastAsia"/>
        </w:rPr>
      </w:pPr>
    </w:p>
    <w:p>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第五章  采购合同</w:t>
      </w:r>
      <w:bookmarkEnd w:id="97"/>
      <w:r>
        <w:rPr>
          <w:rFonts w:hint="eastAsia" w:asciiTheme="minorEastAsia" w:hAnsiTheme="minorEastAsia" w:eastAsiaTheme="minorEastAsia" w:cstheme="minorEastAsia"/>
          <w:b/>
          <w:color w:val="auto"/>
          <w:sz w:val="21"/>
          <w:szCs w:val="21"/>
        </w:rPr>
        <w:t>格式</w:t>
      </w:r>
    </w:p>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年度综合咨询服务合同</w:t>
      </w:r>
    </w:p>
    <w:p>
      <w:pPr>
        <w:jc w:val="center"/>
        <w:outlineLvl w:val="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pStyle w:val="6"/>
        <w:rPr>
          <w:rFonts w:hint="eastAsia" w:asciiTheme="minorEastAsia" w:hAnsiTheme="minorEastAsia" w:eastAsiaTheme="minorEastAsia" w:cstheme="minorEastAsia"/>
          <w:sz w:val="21"/>
          <w:szCs w:val="21"/>
          <w:highlight w:val="none"/>
        </w:rPr>
      </w:pPr>
    </w:p>
    <w:p>
      <w:pPr>
        <w:jc w:val="center"/>
        <w:outlineLvl w:val="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jc w:val="center"/>
        <w:outlineLvl w:val="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w w:val="95"/>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项目名称：</w:t>
      </w:r>
      <w:r>
        <w:rPr>
          <w:rFonts w:hint="eastAsia" w:asciiTheme="minorEastAsia" w:hAnsiTheme="minorEastAsia" w:eastAsiaTheme="minorEastAsia" w:cstheme="minorEastAsia"/>
          <w:sz w:val="21"/>
          <w:szCs w:val="21"/>
          <w:highlight w:val="none"/>
          <w:u w:val="single"/>
        </w:rPr>
        <w:t>海口江东新区管理局年度综合咨询服务</w:t>
      </w:r>
    </w:p>
    <w:p>
      <w:pPr>
        <w:outlineLvl w:val="0"/>
        <w:rPr>
          <w:rFonts w:hint="eastAsia" w:asciiTheme="minorEastAsia" w:hAnsiTheme="minorEastAsia" w:eastAsiaTheme="minorEastAsia" w:cstheme="minorEastAsia"/>
          <w:color w:val="000000" w:themeColor="text1"/>
          <w:kern w:val="0"/>
          <w:sz w:val="21"/>
          <w:szCs w:val="21"/>
          <w:highlight w:val="none"/>
          <w:u w:val="single"/>
          <w:lang w:val="zh-CN"/>
          <w14:textFill>
            <w14:solidFill>
              <w14:schemeClr w14:val="tx1"/>
            </w14:solidFill>
          </w14:textFill>
        </w:rPr>
      </w:pPr>
    </w:p>
    <w:p>
      <w:pPr>
        <w:ind w:firstLine="1791" w:firstLineChars="900"/>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委 托 方（甲方）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w w:val="95"/>
          <w:sz w:val="21"/>
          <w:szCs w:val="21"/>
          <w:highlight w:val="none"/>
          <w:u w:val="single"/>
        </w:rPr>
        <w:t xml:space="preserve">海口江东新区管理局                </w:t>
      </w:r>
    </w:p>
    <w:p>
      <w:pPr>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ind w:firstLine="1791" w:firstLineChars="900"/>
        <w:jc w:val="left"/>
        <w:outlineLvl w:val="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受 托 方（乙方）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w w:val="95"/>
          <w:sz w:val="21"/>
          <w:szCs w:val="21"/>
          <w:highlight w:val="none"/>
          <w:u w:val="single"/>
        </w:rPr>
        <w:t xml:space="preserve">              </w:t>
      </w:r>
      <w:r>
        <w:rPr>
          <w:rFonts w:hint="eastAsia" w:asciiTheme="minorEastAsia" w:hAnsiTheme="minorEastAsia" w:eastAsiaTheme="minorEastAsia" w:cstheme="minorEastAsia"/>
          <w:color w:val="000000"/>
          <w:w w:val="95"/>
          <w:sz w:val="21"/>
          <w:szCs w:val="21"/>
          <w:highlight w:val="none"/>
          <w:u w:val="single"/>
          <w:lang w:val="en-US" w:eastAsia="zh-CN"/>
        </w:rPr>
        <w:t xml:space="preserve">                      </w:t>
      </w:r>
    </w:p>
    <w:p>
      <w:pPr>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ind w:firstLine="1791" w:firstLineChars="900"/>
        <w:jc w:val="both"/>
        <w:outlineLvl w:val="0"/>
        <w:rPr>
          <w:rFonts w:hint="eastAsia" w:asciiTheme="minorEastAsia" w:hAnsiTheme="minorEastAsia" w:eastAsiaTheme="minorEastAsia" w:cstheme="minorEastAsia"/>
          <w:color w:val="000000"/>
          <w:w w:val="95"/>
          <w:sz w:val="21"/>
          <w:szCs w:val="21"/>
          <w:highlight w:val="none"/>
          <w:u w:val="single"/>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签订日期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w w:val="95"/>
          <w:sz w:val="21"/>
          <w:szCs w:val="21"/>
          <w:highlight w:val="none"/>
          <w:u w:val="single"/>
        </w:rPr>
        <w:t>2024年  月   日</w:t>
      </w:r>
    </w:p>
    <w:p>
      <w:pPr>
        <w:jc w:val="left"/>
        <w:outlineLvl w:val="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p>
    <w:p>
      <w:pPr>
        <w:ind w:firstLine="1791" w:firstLineChars="900"/>
        <w:outlineLvl w:val="0"/>
        <w:rPr>
          <w:rFonts w:hint="eastAsia" w:asciiTheme="minorEastAsia" w:hAnsiTheme="minorEastAsia" w:eastAsiaTheme="minorEastAsia" w:cstheme="minorEastAsia"/>
          <w:color w:val="000000"/>
          <w:w w:val="95"/>
          <w:sz w:val="21"/>
          <w:szCs w:val="21"/>
          <w:highlight w:val="none"/>
          <w:u w:val="single"/>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签订地点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w w:val="95"/>
          <w:sz w:val="21"/>
          <w:szCs w:val="21"/>
          <w:highlight w:val="none"/>
          <w:u w:val="single"/>
        </w:rPr>
        <w:t xml:space="preserve"> 海南省海口市  </w:t>
      </w:r>
    </w:p>
    <w:p>
      <w:pPr>
        <w:spacing w:before="515" w:after="515"/>
        <w:jc w:val="center"/>
        <w:outlineLvl w:val="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pStyle w:val="62"/>
        <w:ind w:firstLine="420" w:firstLineChars="200"/>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委托方（甲方）：</w:t>
      </w:r>
      <w:r>
        <w:rPr>
          <w:rFonts w:hint="eastAsia" w:asciiTheme="minorEastAsia" w:hAnsiTheme="minorEastAsia" w:eastAsiaTheme="minorEastAsia" w:cstheme="minorEastAsia"/>
          <w:b w:val="0"/>
          <w:bCs/>
          <w:color w:val="000000"/>
          <w:sz w:val="21"/>
          <w:szCs w:val="21"/>
          <w:highlight w:val="none"/>
          <w:u w:val="single"/>
        </w:rPr>
        <w:t xml:space="preserve">海口江东新区管理局               </w:t>
      </w:r>
      <w:r>
        <w:rPr>
          <w:rFonts w:hint="eastAsia" w:asciiTheme="minorEastAsia" w:hAnsiTheme="minorEastAsia" w:eastAsiaTheme="minorEastAsia" w:cstheme="minorEastAsia"/>
          <w:b w:val="0"/>
          <w:bCs/>
          <w:color w:val="000000"/>
          <w:sz w:val="21"/>
          <w:szCs w:val="21"/>
          <w:highlight w:val="none"/>
        </w:rPr>
        <w:t xml:space="preserve"> </w:t>
      </w:r>
    </w:p>
    <w:p>
      <w:pPr>
        <w:pStyle w:val="62"/>
        <w:ind w:firstLine="420" w:firstLineChars="200"/>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rPr>
        <w:t xml:space="preserve">受托方（乙方）： </w:t>
      </w:r>
      <w:r>
        <w:rPr>
          <w:rFonts w:hint="eastAsia" w:asciiTheme="minorEastAsia" w:hAnsiTheme="minorEastAsia" w:eastAsiaTheme="minorEastAsia" w:cstheme="minorEastAsia"/>
          <w:b w:val="0"/>
          <w:bCs/>
          <w:color w:val="000000"/>
          <w:sz w:val="21"/>
          <w:szCs w:val="21"/>
          <w:highlight w:val="none"/>
          <w:u w:val="single"/>
        </w:rPr>
        <w:t xml:space="preserve">          </w:t>
      </w:r>
      <w:r>
        <w:rPr>
          <w:rFonts w:hint="eastAsia" w:asciiTheme="minorEastAsia" w:hAnsiTheme="minorEastAsia" w:eastAsiaTheme="minorEastAsia" w:cstheme="minorEastAsia"/>
          <w:b w:val="0"/>
          <w:bCs/>
          <w:color w:val="000000"/>
          <w:sz w:val="21"/>
          <w:szCs w:val="21"/>
          <w:highlight w:val="none"/>
          <w:u w:val="single"/>
          <w:lang w:val="en-US" w:eastAsia="zh-CN"/>
        </w:rPr>
        <w:t xml:space="preserve">                        </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甲方委托乙方承担</w:t>
      </w:r>
      <w:r>
        <w:rPr>
          <w:rFonts w:hint="eastAsia" w:asciiTheme="minorEastAsia" w:hAnsiTheme="minorEastAsia" w:eastAsiaTheme="minorEastAsia" w:cstheme="minorEastAsia"/>
          <w:sz w:val="21"/>
          <w:szCs w:val="21"/>
          <w:highlight w:val="none"/>
          <w:u w:val="single"/>
        </w:rPr>
        <w:t>在甲方管理区域内在</w:t>
      </w:r>
      <w:r>
        <w:rPr>
          <w:rFonts w:hint="eastAsia" w:asciiTheme="minorEastAsia" w:hAnsiTheme="minorEastAsia" w:eastAsiaTheme="minorEastAsia" w:cstheme="minorEastAsia"/>
          <w:sz w:val="21"/>
          <w:szCs w:val="21"/>
          <w:highlight w:val="none"/>
          <w:u w:val="single"/>
          <w:lang w:val="en-US" w:eastAsia="zh-CN"/>
        </w:rPr>
        <w:t>专家咨询、项目研究类报告编制、项目前期材料编制、现场调研资料汇报及解决方案</w:t>
      </w:r>
      <w:r>
        <w:rPr>
          <w:rFonts w:hint="eastAsia" w:asciiTheme="minorEastAsia" w:hAnsiTheme="minorEastAsia" w:eastAsiaTheme="minorEastAsia" w:cstheme="minorEastAsia"/>
          <w:sz w:val="21"/>
          <w:szCs w:val="21"/>
          <w:highlight w:val="none"/>
          <w:u w:val="single"/>
        </w:rPr>
        <w:t>等方面遇到的问题的综合咨询服务</w:t>
      </w:r>
      <w:r>
        <w:rPr>
          <w:rFonts w:hint="eastAsia" w:asciiTheme="minorEastAsia" w:hAnsiTheme="minorEastAsia" w:eastAsiaTheme="minorEastAsia" w:cstheme="minorEastAsia"/>
          <w:bCs/>
          <w:color w:val="000000"/>
          <w:sz w:val="21"/>
          <w:szCs w:val="21"/>
          <w:highlight w:val="none"/>
        </w:rPr>
        <w:t>工作，经双方协商一致，签订本合同。</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一、服务期限</w:t>
      </w:r>
    </w:p>
    <w:p>
      <w:pPr>
        <w:spacing w:line="360" w:lineRule="auto"/>
        <w:ind w:firstLine="420"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Cs/>
          <w:color w:val="000000"/>
          <w:kern w:val="2"/>
          <w:sz w:val="21"/>
          <w:szCs w:val="21"/>
          <w:highlight w:val="none"/>
          <w:lang w:val="en-US" w:eastAsia="zh-CN" w:bidi="ar-SA"/>
        </w:rPr>
        <w:t>自合同签订起两年内完成</w:t>
      </w:r>
      <w:r>
        <w:rPr>
          <w:rFonts w:hint="eastAsia" w:asciiTheme="minorEastAsia" w:hAnsiTheme="minorEastAsia" w:eastAsiaTheme="minorEastAsia" w:cstheme="minorEastAsia"/>
          <w:b w:val="0"/>
          <w:bCs/>
          <w:color w:val="000000"/>
          <w:sz w:val="21"/>
          <w:szCs w:val="21"/>
          <w:highlight w:val="none"/>
          <w:lang w:val="en-US" w:eastAsia="zh-CN"/>
        </w:rPr>
        <w:t>或合同履约金额达110万元（达到其中一个条件合同自动终止）。</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二、服务范围</w:t>
      </w:r>
    </w:p>
    <w:p>
      <w:pPr>
        <w:widowControl/>
        <w:bidi w:val="0"/>
        <w:spacing w:line="360" w:lineRule="auto"/>
        <w:ind w:firstLine="420" w:firstLineChars="200"/>
        <w:jc w:val="left"/>
        <w:rPr>
          <w:rFonts w:hint="eastAsia" w:asciiTheme="minorEastAsia" w:hAnsiTheme="minorEastAsia" w:eastAsiaTheme="minorEastAsia" w:cstheme="minorEastAsia"/>
          <w:bCs/>
          <w:color w:val="000000"/>
          <w:kern w:val="2"/>
          <w:sz w:val="21"/>
          <w:szCs w:val="21"/>
          <w:highlight w:val="none"/>
          <w:lang w:val="en-US" w:eastAsia="zh-CN" w:bidi="ar-SA"/>
        </w:rPr>
      </w:pPr>
      <w:r>
        <w:rPr>
          <w:rFonts w:hint="eastAsia" w:asciiTheme="minorEastAsia" w:hAnsiTheme="minorEastAsia" w:eastAsiaTheme="minorEastAsia" w:cstheme="minorEastAsia"/>
          <w:bCs/>
          <w:color w:val="000000"/>
          <w:kern w:val="2"/>
          <w:sz w:val="21"/>
          <w:szCs w:val="21"/>
          <w:highlight w:val="none"/>
          <w:lang w:val="en-US" w:eastAsia="zh-CN" w:bidi="ar-SA"/>
        </w:rPr>
        <w:t>本次服务工作内容主要为在合同约定时限内为江东新区管理局提供综合咨询服务，咨询的范围包括但不限于以下内容：。</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一部分为专家咨询类：（1）政策研究咨询：为发包人研究制定政策提供专家咨询服务，并根据需要提交资政建议报告；（2）专项规划咨询：为发包人在园区专项规划编制等方面提供咨询建议，并根据需要与相关第三方机构开展座谈交流</w:t>
      </w:r>
      <w:r>
        <w:rPr>
          <w:rFonts w:hint="eastAsia" w:ascii="宋体" w:hAnsi="Courier New" w:cs="Times New Roman"/>
          <w:color w:val="auto"/>
          <w:kern w:val="2"/>
          <w:sz w:val="21"/>
          <w:szCs w:val="20"/>
          <w:highlight w:val="none"/>
          <w:lang w:val="en-US" w:eastAsia="zh-CN" w:bidi="ar-SA"/>
        </w:rPr>
        <w:t>；（3）空间规划咨询：包括完善江东新区规划体系、规划选址、规划调整、规划许可核发、方案变更、规划核查、规划评审、规划决策等方面的咨询建议；（4）项目研究咨询：对其他第三方机构开展项目策划成果审查提供建议，对项目设计方案等材料技术性审查提供建议，项目全过程咨询建议。</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第二部分为项目研究类报告编制：（1</w:t>
      </w:r>
      <w:r>
        <w:rPr>
          <w:rFonts w:hint="eastAsia" w:ascii="宋体" w:hAnsi="Courier New" w:cs="Times New Roman"/>
          <w:color w:val="auto"/>
          <w:kern w:val="2"/>
          <w:sz w:val="21"/>
          <w:szCs w:val="20"/>
          <w:highlight w:val="none"/>
          <w:lang w:val="en-US" w:eastAsia="zh-CN" w:bidi="ar-SA"/>
        </w:rPr>
        <w:t>）</w:t>
      </w:r>
      <w:r>
        <w:rPr>
          <w:rFonts w:hint="eastAsia" w:ascii="宋体" w:hAnsi="Courier New" w:eastAsia="宋体" w:cs="Times New Roman"/>
          <w:color w:val="auto"/>
          <w:kern w:val="2"/>
          <w:sz w:val="21"/>
          <w:szCs w:val="20"/>
          <w:highlight w:val="none"/>
          <w:lang w:val="en-US" w:eastAsia="zh-CN" w:bidi="ar-SA"/>
        </w:rPr>
        <w:t>专题研究报告；（2）空间规划类报告编制：选址报告编制</w:t>
      </w:r>
      <w:r>
        <w:rPr>
          <w:rFonts w:hint="eastAsia" w:ascii="宋体" w:hAnsi="Courier New" w:cs="Times New Roman"/>
          <w:color w:val="auto"/>
          <w:kern w:val="2"/>
          <w:sz w:val="21"/>
          <w:szCs w:val="20"/>
          <w:highlight w:val="none"/>
          <w:lang w:val="en-US" w:eastAsia="zh-CN" w:bidi="ar-SA"/>
        </w:rPr>
        <w:t>和规划调整技术修正类（需要专家咨询意见）</w:t>
      </w:r>
      <w:r>
        <w:rPr>
          <w:rFonts w:hint="eastAsia" w:ascii="宋体" w:hAnsi="Courier New" w:eastAsia="宋体" w:cs="Times New Roman"/>
          <w:color w:val="auto"/>
          <w:kern w:val="2"/>
          <w:sz w:val="21"/>
          <w:szCs w:val="20"/>
          <w:highlight w:val="none"/>
          <w:lang w:val="en-US" w:eastAsia="zh-CN" w:bidi="ar-SA"/>
        </w:rPr>
        <w:t>；（3）项目建议书编制：项目建议书编制</w:t>
      </w:r>
      <w:r>
        <w:rPr>
          <w:rFonts w:hint="eastAsia" w:ascii="宋体" w:hAnsi="Courier New" w:cs="Times New Roman"/>
          <w:color w:val="auto"/>
          <w:kern w:val="2"/>
          <w:sz w:val="21"/>
          <w:szCs w:val="20"/>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三部分为项目前期材料编制、现场调研资料汇报及解决方案等：（1）建设计划编制；（2）方案研调，现状情况核查及汇编；（3）积水点分析及解决方案论证；（4）编制其它专业性报告：协助发包人开展项目前期调研或者材料研究，形成专业性报告供发包人决策使用。</w:t>
      </w:r>
    </w:p>
    <w:p>
      <w:pPr>
        <w:pStyle w:val="5"/>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rPr>
      </w:pPr>
      <w:r>
        <w:rPr>
          <w:rFonts w:hint="eastAsia" w:ascii="宋体" w:hAnsi="Courier New" w:eastAsia="宋体" w:cs="Times New Roman"/>
          <w:color w:val="auto"/>
          <w:kern w:val="2"/>
          <w:sz w:val="21"/>
          <w:szCs w:val="20"/>
          <w:highlight w:val="none"/>
          <w:lang w:val="en-US" w:eastAsia="zh-CN" w:bidi="ar-SA"/>
        </w:rPr>
        <w:t>第四部分为</w:t>
      </w:r>
      <w:r>
        <w:rPr>
          <w:rFonts w:hint="eastAsia"/>
          <w:lang w:val="en-US" w:eastAsia="zh-CN"/>
        </w:rPr>
        <w:t>展板制作：领导调研等需要准备展板等相关工作。</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646"/>
        <w:gridCol w:w="1305"/>
        <w:gridCol w:w="3322"/>
        <w:gridCol w:w="1005"/>
        <w:gridCol w:w="538"/>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项目名称</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项目内容</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（暂估）</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专家咨询类</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政策与专项规划咨询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政策研究咨询</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专项规划咨询</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包括完善江东新区规划体系、规划选址、规划调整、规划许可核发、方案变更、规划核查、规划评审、规划决策等方面咨询建议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对其他第三方机构开展项目策划成果审查，提供建议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对项目设计方案等材料技术性审查，提供建议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项目全过程咨询建议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项目研究类报告编制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专题研究报告</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专题研究报告</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空间规划类报告编制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选址报告编制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规划调整技术修正类（需要专家咨询意见）</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项目建议书编制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项目建议书编制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14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项目前期材料编制、现场调研资料汇报及解决方案等</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建设计划编制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方案研调，现状情况核查及汇编</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积水点分析及解决方案论证</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其他专业性报告</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4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展板制作</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展板相关工作</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08" w:type="pct"/>
            <w:gridSpan w:val="6"/>
            <w:tcBorders>
              <w:top w:val="nil"/>
              <w:left w:val="single" w:color="000000" w:sz="4" w:space="0"/>
              <w:bottom w:val="single" w:color="000000" w:sz="4" w:space="0"/>
              <w:right w:val="single" w:color="000000" w:sz="4" w:space="0"/>
            </w:tcBorders>
            <w:shd w:val="clear" w:color="auto" w:fill="EDEDED"/>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lang w:val="en-US" w:eastAsia="zh-CN"/>
        </w:rPr>
      </w:pPr>
    </w:p>
    <w:p>
      <w:pPr>
        <w:rPr>
          <w:rFonts w:hint="eastAsia"/>
          <w:lang w:val="en-US" w:eastAsia="zh-CN"/>
        </w:rPr>
      </w:pPr>
      <w:r>
        <w:rPr>
          <w:rFonts w:hint="eastAsia"/>
          <w:lang w:val="en-US" w:eastAsia="zh-CN"/>
        </w:rPr>
        <w:t>本合同由双方核定工作量后，据实结算，按季度付款。</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三、服务形式</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乙方根据甲方需求，提供专人驻场服务、专家即时通讯、专家现场答疑、组建服务团队开展研究等多种形式，为甲方解决问题。</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3.1专人驻场服务</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根据甲方的实际业务需求，选派2名专业技术人员提供驻场服务，协助甲方开展日常工作，并负责收集并传达</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的咨询需求，做好双方的沟通协调工作。</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3.2专家即时通讯</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对于甲方在日常管理活动中遇到的简易性、一般性的咨询类问题，可由相应专家提供“随叫随应”的即时解答服务。专家将根据自身专业知识及经验，以电话沟通、文字沟通或视频会议等方式提供即时咨询服务，解决甲方遇到的问题。</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3.3现场服务</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对于专业事务性咨询，由核心专家团队中相应专家的专家带领专业技术人员开展现场踏勘、实地调研、业主访谈、相关部门走访等模式开展调研后，与业主面对面就咨询事项开展深入的沟通、交流、汇报。</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3.4后台研究</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乙方根据甲方的咨询需求，组建服务团队开展现场调研、资料收集、会议研讨及咨询建议报告编制等工作。</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四、服务方式和服务成果</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4.1 服务方式</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4.1.1驻场服务</w:t>
      </w:r>
    </w:p>
    <w:p>
      <w:pPr>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驻场服务人员提供驻场技术服务，为甲方现场解决技术问题，并协助甲方开展日常事务性的工作，工作量由双方共同确认考核。</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4.1.2具体事项咨询</w:t>
      </w:r>
    </w:p>
    <w:p>
      <w:pPr>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服务期内，对甲方提出的咨询事项开展“立项”管理，每一项问题都明确负责人和服务团队成员，由负责人带领服务团队根据甲方需求提供相应的咨询服务，提供书面回复意见或报告，做到“事事有回应”，并记录咨询事项是否得到解决。</w:t>
      </w:r>
    </w:p>
    <w:p>
      <w:pPr>
        <w:spacing w:line="360" w:lineRule="auto"/>
        <w:ind w:firstLine="422"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
          <w:color w:val="000000"/>
          <w:sz w:val="21"/>
          <w:szCs w:val="21"/>
          <w:highlight w:val="none"/>
        </w:rPr>
        <w:t>4.2服务成果形式</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鉴于甲方的咨询需求深度各有不同，且乙方为甲方提供的咨询形式也不尽相同，本次服务所产生的成果形式有以下4.2.1-4.2.4四种：</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4.2.1书面意见回复：对于甲方提出的简单咨询性质的，乙方专家可以根据自身专业知识水平、经验进行通讯回答或现场作答的，可先以口头形式答复，然后形成正式书面意见反馈给甲方；</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4.2.2</w:t>
      </w:r>
      <w:r>
        <w:rPr>
          <w:rFonts w:hint="eastAsia" w:asciiTheme="minorEastAsia" w:hAnsiTheme="minorEastAsia" w:eastAsiaTheme="minorEastAsia" w:cstheme="minorEastAsia"/>
          <w:bCs/>
          <w:color w:val="000000"/>
          <w:sz w:val="21"/>
          <w:szCs w:val="21"/>
          <w:highlight w:val="none"/>
          <w:lang w:val="en-US" w:eastAsia="zh-CN"/>
        </w:rPr>
        <w:t>资政报告</w:t>
      </w:r>
      <w:r>
        <w:rPr>
          <w:rFonts w:hint="eastAsia" w:asciiTheme="minorEastAsia" w:hAnsiTheme="minorEastAsia" w:eastAsiaTheme="minorEastAsia" w:cstheme="minorEastAsia"/>
          <w:bCs/>
          <w:color w:val="000000"/>
          <w:sz w:val="21"/>
          <w:szCs w:val="21"/>
          <w:highlight w:val="none"/>
        </w:rPr>
        <w:t>：对于甲方提出的咨询问题，需要经过调研、分析后才能得出咨询建议的，由乙方向甲方提供相应的</w:t>
      </w:r>
      <w:r>
        <w:rPr>
          <w:rFonts w:hint="eastAsia" w:asciiTheme="minorEastAsia" w:hAnsiTheme="minorEastAsia" w:eastAsiaTheme="minorEastAsia" w:cstheme="minorEastAsia"/>
          <w:bCs/>
          <w:color w:val="000000"/>
          <w:sz w:val="21"/>
          <w:szCs w:val="21"/>
          <w:highlight w:val="none"/>
          <w:lang w:val="en-US" w:eastAsia="zh-CN"/>
        </w:rPr>
        <w:t>资政报告</w:t>
      </w:r>
      <w:r>
        <w:rPr>
          <w:rFonts w:hint="eastAsia" w:asciiTheme="minorEastAsia" w:hAnsiTheme="minorEastAsia" w:eastAsiaTheme="minorEastAsia" w:cstheme="minorEastAsia"/>
          <w:bCs/>
          <w:color w:val="00000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4.2.3专业技术报告：如项目建议书、项目初步功能方案示意图、规划调整示意图、专业的项目造价、设计等方面的评审评估报告</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项目研究报告，方案论证报告，规划报告，调查报告等成果</w:t>
      </w:r>
      <w:r>
        <w:rPr>
          <w:rFonts w:hint="eastAsia" w:asciiTheme="minorEastAsia" w:hAnsiTheme="minorEastAsia" w:eastAsiaTheme="minorEastAsia" w:cstheme="minorEastAsia"/>
          <w:bCs/>
          <w:color w:val="000000"/>
          <w:sz w:val="21"/>
          <w:szCs w:val="21"/>
          <w:highlight w:val="none"/>
        </w:rPr>
        <w:t>，由乙方根据甲方需求开展研究后出具。</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4.2.4年度总结报告：服务期限完成后，由乙方整理服务期内为甲方咨询的总体情况，形成年度总结报告。</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4.3 成果交付</w:t>
      </w:r>
    </w:p>
    <w:p>
      <w:pPr>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color w:val="000000"/>
          <w:sz w:val="21"/>
          <w:szCs w:val="21"/>
          <w:highlight w:val="none"/>
        </w:rPr>
        <w:t>对于甲方的每一项具体咨询需求，由甲乙双方共同确定成果交付形式和交付时间，乙方需根据双方议定的</w:t>
      </w:r>
      <w:r>
        <w:rPr>
          <w:rFonts w:hint="eastAsia" w:asciiTheme="minorEastAsia" w:hAnsiTheme="minorEastAsia" w:eastAsiaTheme="minorEastAsia" w:cstheme="minorEastAsia"/>
          <w:bCs/>
          <w:color w:val="000000"/>
          <w:sz w:val="21"/>
          <w:szCs w:val="21"/>
          <w:highlight w:val="none"/>
          <w:lang w:val="en-US" w:eastAsia="zh-CN"/>
        </w:rPr>
        <w:t>结果</w:t>
      </w:r>
      <w:r>
        <w:rPr>
          <w:rFonts w:hint="eastAsia" w:asciiTheme="minorEastAsia" w:hAnsiTheme="minorEastAsia" w:eastAsiaTheme="minorEastAsia" w:cstheme="minorEastAsia"/>
          <w:bCs/>
          <w:color w:val="000000"/>
          <w:sz w:val="21"/>
          <w:szCs w:val="21"/>
          <w:highlight w:val="none"/>
        </w:rPr>
        <w:t>按时</w:t>
      </w:r>
      <w:r>
        <w:rPr>
          <w:rFonts w:hint="eastAsia" w:asciiTheme="minorEastAsia" w:hAnsiTheme="minorEastAsia" w:eastAsiaTheme="minorEastAsia" w:cstheme="minorEastAsia"/>
          <w:bCs/>
          <w:color w:val="000000"/>
          <w:sz w:val="21"/>
          <w:szCs w:val="21"/>
          <w:highlight w:val="none"/>
          <w:lang w:val="en-US" w:eastAsia="zh-CN"/>
        </w:rPr>
        <w:t>按质</w:t>
      </w:r>
      <w:r>
        <w:rPr>
          <w:rFonts w:hint="eastAsia" w:asciiTheme="minorEastAsia" w:hAnsiTheme="minorEastAsia" w:eastAsiaTheme="minorEastAsia" w:cstheme="minorEastAsia"/>
          <w:bCs/>
          <w:color w:val="000000"/>
          <w:sz w:val="21"/>
          <w:szCs w:val="21"/>
          <w:highlight w:val="none"/>
        </w:rPr>
        <w:t>交付成果，并形成记录。</w:t>
      </w:r>
    </w:p>
    <w:p>
      <w:pPr>
        <w:numPr>
          <w:ilvl w:val="0"/>
          <w:numId w:val="3"/>
        </w:num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咨询服务的成果深度和工作量确认</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5.1 咨询成果深度</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对于甲方提出的咨询事项，由甲乙双方共同明确研究范围和成果深度，成果形式和深度可满足甲方对于该事项的初步讨论和比选需求。对于需形成系统性、完整性的咨询报告的咨询事项，例如产业规划、行业发展报告</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调研报告</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rPr>
        <w:t>、可行性研究报告、项目概念设计方案、规划方案、规划调整方案</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项目全过程管理</w:t>
      </w:r>
      <w:r>
        <w:rPr>
          <w:rFonts w:hint="eastAsia" w:asciiTheme="minorEastAsia" w:hAnsiTheme="minorEastAsia" w:eastAsiaTheme="minorEastAsia" w:cstheme="minorEastAsia"/>
          <w:bCs/>
          <w:color w:val="000000"/>
          <w:sz w:val="21"/>
          <w:szCs w:val="21"/>
          <w:highlight w:val="none"/>
        </w:rPr>
        <w:t>等，甲乙双方可以单独委托，另行签订合同的形式开展专项研究。</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lang w:val="en-US" w:eastAsia="zh-CN"/>
        </w:rPr>
      </w:pPr>
      <w:r>
        <w:rPr>
          <w:rFonts w:hint="eastAsia" w:asciiTheme="minorEastAsia" w:hAnsiTheme="minorEastAsia" w:eastAsiaTheme="minorEastAsia" w:cstheme="minorEastAsia"/>
          <w:b/>
          <w:color w:val="000000"/>
          <w:sz w:val="21"/>
          <w:szCs w:val="21"/>
          <w:highlight w:val="none"/>
        </w:rPr>
        <w:t>5.</w:t>
      </w:r>
      <w:r>
        <w:rPr>
          <w:rFonts w:hint="eastAsia" w:asciiTheme="minorEastAsia" w:hAnsiTheme="minorEastAsia" w:eastAsiaTheme="minorEastAsia" w:cstheme="minorEastAsia"/>
          <w:b/>
          <w:color w:val="000000"/>
          <w:sz w:val="21"/>
          <w:szCs w:val="21"/>
          <w:highlight w:val="none"/>
          <w:lang w:val="en-US" w:eastAsia="zh-CN"/>
        </w:rPr>
        <w:t>2</w:t>
      </w:r>
      <w:r>
        <w:rPr>
          <w:rFonts w:hint="eastAsia" w:asciiTheme="minorEastAsia" w:hAnsiTheme="minorEastAsia" w:eastAsiaTheme="minorEastAsia" w:cstheme="minorEastAsia"/>
          <w:b/>
          <w:color w:val="000000"/>
          <w:sz w:val="21"/>
          <w:szCs w:val="21"/>
          <w:highlight w:val="none"/>
        </w:rPr>
        <w:t xml:space="preserve"> 工作量</w:t>
      </w:r>
      <w:r>
        <w:rPr>
          <w:rFonts w:hint="eastAsia" w:asciiTheme="minorEastAsia" w:hAnsiTheme="minorEastAsia" w:eastAsiaTheme="minorEastAsia" w:cstheme="minorEastAsia"/>
          <w:b/>
          <w:color w:val="000000"/>
          <w:sz w:val="21"/>
          <w:szCs w:val="21"/>
          <w:highlight w:val="none"/>
          <w:lang w:val="en-US" w:eastAsia="zh-CN"/>
        </w:rPr>
        <w:t>的记录</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rPr>
        <w:t>甲乙双方共同建立工作量记录表格，</w:t>
      </w:r>
      <w:r>
        <w:rPr>
          <w:rFonts w:hint="eastAsia" w:asciiTheme="minorEastAsia" w:hAnsiTheme="minorEastAsia" w:eastAsiaTheme="minorEastAsia" w:cstheme="minorEastAsia"/>
          <w:bCs/>
          <w:color w:val="000000"/>
          <w:sz w:val="21"/>
          <w:szCs w:val="21"/>
          <w:highlight w:val="none"/>
          <w:lang w:val="en-US" w:eastAsia="zh-CN"/>
        </w:rPr>
        <w:t>表格应详细体现：甲方提出咨询需求的时间、要求提供成果的时间节点、成果形式、乙方响应甲方需求的时间、乙方响应需求的工作人员、工作时长和工作成果等内容，以确保双方可以共同认定乙方的工作量。</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lang w:val="en-US" w:eastAsia="zh-CN"/>
        </w:rPr>
      </w:pPr>
      <w:r>
        <w:rPr>
          <w:rFonts w:hint="eastAsia" w:asciiTheme="minorEastAsia" w:hAnsiTheme="minorEastAsia" w:eastAsiaTheme="minorEastAsia" w:cstheme="minorEastAsia"/>
          <w:b/>
          <w:color w:val="000000"/>
          <w:sz w:val="21"/>
          <w:szCs w:val="21"/>
          <w:highlight w:val="none"/>
          <w:lang w:val="en-US" w:eastAsia="zh-CN"/>
        </w:rPr>
        <w:t>5.3 工作量价值的确认</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对于甲方提出的咨询需求和成果要求，由双方参照同类咨询项目的工作标准、成果深度标准、成果形式和行业收费标准，共同审核确认乙方提交的成果（清单中数量为暂估，最终数量按实际所需），根据合同所定单价据实结算。</w:t>
      </w:r>
    </w:p>
    <w:p>
      <w:pPr>
        <w:spacing w:line="360" w:lineRule="auto"/>
        <w:ind w:left="564"/>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六、服务人员</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乙方将整合乙方可协调调配的专业力量，组成服务专班。服务专班由驻场人员+核心专家团队+灵活专家团队构成。</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6.1驻场服务人员</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的实际业务需求，选派2名专业技术人员提供驻场服务，协助</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开展日常工作，并负责收集并传达</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的咨询需求，做好集团与</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的沟通协调工作。</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6.2核心专家团队</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根据甲方的咨询需求，从乙方内部专家库中选派专业对口、经验丰富的专家团队为甲方提供政策咨询、事项研判和论证、项目评估和建议等方面的辅助决策服务。</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6.3灵活专家团队</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的咨询需求，</w:t>
      </w:r>
      <w:r>
        <w:rPr>
          <w:rFonts w:hint="eastAsia" w:asciiTheme="minorEastAsia" w:hAnsiTheme="minorEastAsia" w:eastAsiaTheme="minorEastAsia" w:cstheme="minorEastAsia"/>
          <w:bCs/>
          <w:color w:val="000000"/>
          <w:sz w:val="21"/>
          <w:szCs w:val="21"/>
          <w:highlight w:val="none"/>
          <w:lang w:val="en-US" w:eastAsia="zh-CN"/>
        </w:rPr>
        <w:t>乙方</w:t>
      </w:r>
      <w:r>
        <w:rPr>
          <w:rFonts w:hint="eastAsia" w:asciiTheme="minorEastAsia" w:hAnsiTheme="minorEastAsia" w:eastAsiaTheme="minorEastAsia" w:cstheme="minorEastAsia"/>
          <w:bCs/>
          <w:color w:val="000000"/>
          <w:sz w:val="21"/>
          <w:szCs w:val="21"/>
          <w:highlight w:val="none"/>
        </w:rPr>
        <w:t>邀请相应行业内的领军专家学者为</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提供咨询服务。</w:t>
      </w:r>
    </w:p>
    <w:p>
      <w:pPr>
        <w:spacing w:line="360" w:lineRule="auto"/>
        <w:ind w:firstLine="422" w:firstLineChars="200"/>
        <w:jc w:val="left"/>
        <w:textAlignment w:val="baseline"/>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七、双方</w:t>
      </w:r>
      <w:r>
        <w:rPr>
          <w:rFonts w:hint="eastAsia" w:asciiTheme="minorEastAsia" w:hAnsiTheme="minorEastAsia" w:eastAsiaTheme="minorEastAsia" w:cstheme="minorEastAsia"/>
          <w:b/>
          <w:bCs/>
          <w:color w:val="000000"/>
          <w:sz w:val="21"/>
          <w:szCs w:val="21"/>
          <w:highlight w:val="none"/>
        </w:rPr>
        <w:t>义务及责任</w:t>
      </w:r>
    </w:p>
    <w:p>
      <w:pPr>
        <w:spacing w:line="360" w:lineRule="auto"/>
        <w:ind w:firstLine="422"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7.1甲方义务及责任</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7.1.1甲方应在合同履行期内，免费向乙方提供其能获取的与服务有关的一切资料。</w:t>
      </w:r>
    </w:p>
    <w:p>
      <w:pPr>
        <w:spacing w:line="360" w:lineRule="auto"/>
        <w:ind w:firstLine="420"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Cs/>
          <w:color w:val="000000"/>
          <w:sz w:val="21"/>
          <w:szCs w:val="21"/>
          <w:highlight w:val="none"/>
        </w:rPr>
        <w:t>7.1.2甲方应在合同履行</w:t>
      </w:r>
      <w:r>
        <w:rPr>
          <w:rFonts w:hint="eastAsia" w:asciiTheme="minorEastAsia" w:hAnsiTheme="minorEastAsia" w:eastAsiaTheme="minorEastAsia" w:cstheme="minorEastAsia"/>
          <w:color w:val="000000"/>
          <w:sz w:val="21"/>
          <w:szCs w:val="21"/>
          <w:highlight w:val="none"/>
        </w:rPr>
        <w:t>期内，就乙方以书面形式提交给甲方的一切事宜，做出书面决定和答复。</w:t>
      </w:r>
    </w:p>
    <w:p>
      <w:pPr>
        <w:pStyle w:val="62"/>
        <w:spacing w:line="360" w:lineRule="auto"/>
        <w:ind w:firstLine="420" w:firstLineChars="200"/>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7.1.3甲方应按规定时间提交甲方能够提供的与咨询事项相关的资料，并对其完整性、正确性负责。如因甲方原因服务受到拖延，乙方应将此情况和可能产生的影响通知甲方，且乙方交付成果时间顺延。</w:t>
      </w:r>
    </w:p>
    <w:p>
      <w:pPr>
        <w:spacing w:line="360" w:lineRule="auto"/>
        <w:ind w:firstLine="420"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Cs/>
          <w:color w:val="000000"/>
          <w:sz w:val="21"/>
          <w:szCs w:val="21"/>
          <w:highlight w:val="none"/>
        </w:rPr>
        <w:t>7.1.4甲方如果中途解除或终止合同，乙</w:t>
      </w:r>
      <w:r>
        <w:rPr>
          <w:rFonts w:hint="eastAsia" w:asciiTheme="minorEastAsia" w:hAnsiTheme="minorEastAsia" w:eastAsiaTheme="minorEastAsia" w:cstheme="minorEastAsia"/>
          <w:color w:val="000000"/>
          <w:sz w:val="21"/>
          <w:szCs w:val="21"/>
          <w:highlight w:val="none"/>
        </w:rPr>
        <w:t>方工作已过半，甲方应付给乙方全部咨询费；乙方工作尚未过半，甲方应付给乙方咨询费的50%。</w:t>
      </w:r>
    </w:p>
    <w:p>
      <w:pPr>
        <w:spacing w:line="360" w:lineRule="auto"/>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7.1.5甲方未按本合同第8条约定时间向乙方支付相应合同价款的，每逾期一天，甲方应向乙方支付该项目</w:t>
      </w:r>
      <w:r>
        <w:rPr>
          <w:rFonts w:hint="eastAsia" w:asciiTheme="minorEastAsia" w:hAnsiTheme="minorEastAsia" w:eastAsiaTheme="minorEastAsia" w:cstheme="minorEastAsia"/>
          <w:color w:val="000000"/>
          <w:sz w:val="21"/>
          <w:szCs w:val="21"/>
          <w:highlight w:val="none"/>
          <w:lang w:val="en-US" w:eastAsia="zh-CN"/>
        </w:rPr>
        <w:t>逾期未支付的</w:t>
      </w:r>
      <w:r>
        <w:rPr>
          <w:rFonts w:hint="eastAsia" w:asciiTheme="minorEastAsia" w:hAnsiTheme="minorEastAsia" w:eastAsiaTheme="minorEastAsia" w:cstheme="minorEastAsia"/>
          <w:color w:val="000000"/>
          <w:sz w:val="21"/>
          <w:szCs w:val="21"/>
          <w:highlight w:val="none"/>
        </w:rPr>
        <w:t>工程咨询费的万分之二作为违约金</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同时该违约金上限不应超过服务费用总额的5%</w:t>
      </w:r>
      <w:r>
        <w:rPr>
          <w:rFonts w:hint="eastAsia" w:asciiTheme="minorEastAsia" w:hAnsiTheme="minorEastAsia" w:eastAsiaTheme="minorEastAsia" w:cstheme="minorEastAsia"/>
          <w:color w:val="000000"/>
          <w:sz w:val="21"/>
          <w:szCs w:val="21"/>
          <w:highlight w:val="none"/>
        </w:rPr>
        <w:t>。</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7.2乙方义务及责任</w:t>
      </w:r>
    </w:p>
    <w:p>
      <w:pPr>
        <w:spacing w:line="360" w:lineRule="auto"/>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7.2.1乙方在履行本合同时，要认真贯彻国家有关法律、法规和政策，为国家的利益和甲方的合法利益，应用合理的技能，谨慎而勤奋地工作。</w:t>
      </w:r>
    </w:p>
    <w:p>
      <w:pPr>
        <w:spacing w:line="360" w:lineRule="auto"/>
        <w:ind w:firstLine="420" w:firstLineChars="200"/>
        <w:jc w:val="left"/>
        <w:rPr>
          <w:rFonts w:hint="eastAsia" w:asciiTheme="minorEastAsia" w:hAnsiTheme="minorEastAsia" w:eastAsiaTheme="minorEastAsia" w:cstheme="minorEastAsia"/>
          <w:strike/>
          <w:color w:val="000000"/>
          <w:sz w:val="21"/>
          <w:szCs w:val="21"/>
          <w:highlight w:val="none"/>
        </w:rPr>
      </w:pPr>
      <w:r>
        <w:rPr>
          <w:rFonts w:hint="eastAsia" w:asciiTheme="minorEastAsia" w:hAnsiTheme="minorEastAsia" w:eastAsiaTheme="minorEastAsia" w:cstheme="minorEastAsia"/>
          <w:color w:val="000000"/>
          <w:sz w:val="21"/>
          <w:szCs w:val="21"/>
          <w:highlight w:val="none"/>
        </w:rPr>
        <w:t>7.2.2乙方须根据与甲方的议定的成果交付时间按时交付成果。</w:t>
      </w:r>
    </w:p>
    <w:p>
      <w:pPr>
        <w:spacing w:line="360" w:lineRule="auto"/>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7.2.3合同生效后，乙方要求终止或解除合同，乙方应双倍返还预付款</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如已支付</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若甲方尚未支付预付款，乙方应按服务费总额的5%向甲方支付违约金。合同终止后</w:t>
      </w:r>
      <w:r>
        <w:rPr>
          <w:rFonts w:hint="eastAsia" w:asciiTheme="minorEastAsia" w:hAnsiTheme="minorEastAsia" w:eastAsiaTheme="minorEastAsia" w:cstheme="minorEastAsia"/>
          <w:color w:val="000000"/>
          <w:sz w:val="21"/>
          <w:szCs w:val="21"/>
          <w:highlight w:val="none"/>
        </w:rPr>
        <w:t>甲方</w:t>
      </w:r>
      <w:r>
        <w:rPr>
          <w:rFonts w:hint="eastAsia" w:asciiTheme="minorEastAsia" w:hAnsiTheme="minorEastAsia" w:eastAsiaTheme="minorEastAsia" w:cstheme="minorEastAsia"/>
          <w:color w:val="000000"/>
          <w:sz w:val="21"/>
          <w:szCs w:val="21"/>
          <w:highlight w:val="none"/>
          <w:lang w:val="en-US" w:eastAsia="zh-CN"/>
        </w:rPr>
        <w:t>根据乙方实际工作量价值</w:t>
      </w:r>
      <w:r>
        <w:rPr>
          <w:rFonts w:hint="eastAsia" w:asciiTheme="minorEastAsia" w:hAnsiTheme="minorEastAsia" w:eastAsiaTheme="minorEastAsia" w:cstheme="minorEastAsia"/>
          <w:color w:val="000000"/>
          <w:sz w:val="21"/>
          <w:szCs w:val="21"/>
          <w:highlight w:val="none"/>
        </w:rPr>
        <w:t>付给乙方咨询费。</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rPr>
      </w:pPr>
      <w:r>
        <w:rPr>
          <w:rFonts w:hint="eastAsia" w:asciiTheme="minorEastAsia" w:hAnsiTheme="minorEastAsia" w:eastAsiaTheme="minorEastAsia" w:cstheme="minorEastAsia"/>
          <w:b w:val="0"/>
          <w:color w:val="000000"/>
          <w:sz w:val="21"/>
          <w:szCs w:val="21"/>
          <w:highlight w:val="none"/>
        </w:rPr>
        <w:t>7.2.4乙方对甲方提供的资料应妥善保管，并尽保密之责任，非经甲方同意不得擅自公开或泄露。</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rPr>
        <w:t>7.2.</w:t>
      </w:r>
      <w:r>
        <w:rPr>
          <w:rFonts w:hint="eastAsia" w:asciiTheme="minorEastAsia" w:hAnsiTheme="minorEastAsia" w:eastAsiaTheme="minorEastAsia" w:cstheme="minorEastAsia"/>
          <w:b w:val="0"/>
          <w:color w:val="000000"/>
          <w:sz w:val="21"/>
          <w:szCs w:val="21"/>
          <w:highlight w:val="none"/>
          <w:lang w:val="en-US" w:eastAsia="zh-CN"/>
        </w:rPr>
        <w:t>5 乙方出现下列任一情形的，甲方有权解除本合同，根据乙方实际工作量价值付给乙方咨询费，同时乙方应向甲方支付合同费用总额10%的违约金，违约金不足以补足给甲方造成的损失的，应予以补足：</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A.乙方不得未经甲方书面同意，转让本合同权利义务，或委托他方代为或参与履行本合同的(包括但不限于转包、分包行为)；</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B.与甲方或项目关联方等单位发生不正当利益输送的；</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C.乙方违反保密义务的；</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D.乙方不具备提供本合同项下服务的资质或授权的；</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E.乙方提交的成果违反法律、法规及现行国家、地区及行业有关规范和标准或侵犯任何第三方权利的。</w:t>
      </w:r>
    </w:p>
    <w:p>
      <w:pPr>
        <w:spacing w:line="360" w:lineRule="auto"/>
        <w:ind w:firstLine="422"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7.3 双方责任</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7.3.1如果一方违反条款规定，另一方提出索赔要求，任何一方对另一方的赔偿，仅限于因违约所造成的可以合理预见的损失或损害数额，而不牵连其它方面。</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7.3.2任何一方向另一方支付赔偿的最大数额，不能超过本合同约定的咨询费。</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000000"/>
          <w:sz w:val="21"/>
          <w:szCs w:val="21"/>
          <w:highlight w:val="none"/>
        </w:rPr>
        <w:t>7.3.3一方提出索赔要求不能成立时，要完全补偿对方因该索赔要求所导致的各种费用支出。</w:t>
      </w:r>
    </w:p>
    <w:p>
      <w:pPr>
        <w:spacing w:line="360" w:lineRule="auto"/>
        <w:ind w:firstLine="422"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八、</w:t>
      </w:r>
      <w:r>
        <w:rPr>
          <w:rFonts w:hint="eastAsia" w:asciiTheme="minorEastAsia" w:hAnsiTheme="minorEastAsia" w:eastAsiaTheme="minorEastAsia" w:cstheme="minorEastAsia"/>
          <w:b/>
          <w:color w:val="000000"/>
          <w:sz w:val="21"/>
          <w:szCs w:val="21"/>
          <w:highlight w:val="none"/>
          <w:lang w:val="en-US" w:eastAsia="zh-CN"/>
        </w:rPr>
        <w:t>服务费用</w:t>
      </w:r>
      <w:r>
        <w:rPr>
          <w:rFonts w:hint="eastAsia" w:asciiTheme="minorEastAsia" w:hAnsiTheme="minorEastAsia" w:eastAsiaTheme="minorEastAsia" w:cstheme="minorEastAsia"/>
          <w:b/>
          <w:color w:val="000000"/>
          <w:sz w:val="21"/>
          <w:szCs w:val="21"/>
          <w:highlight w:val="none"/>
        </w:rPr>
        <w:t>支付方式</w:t>
      </w:r>
    </w:p>
    <w:p>
      <w:pPr>
        <w:spacing w:line="500" w:lineRule="exact"/>
        <w:ind w:firstLine="560" w:firstLineChars="0"/>
        <w:jc w:val="left"/>
        <w:rPr>
          <w:rFonts w:hint="eastAsia" w:asciiTheme="minorEastAsia" w:hAnsiTheme="minorEastAsia" w:eastAsiaTheme="minorEastAsia" w:cstheme="minorEastAsia"/>
          <w:color w:val="00000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u w:val="none"/>
          <w:lang w:val="en-US" w:eastAsia="zh-CN"/>
        </w:rPr>
        <w:t>服务费用支付方式为季度付款，</w:t>
      </w:r>
      <w:r>
        <w:rPr>
          <w:rFonts w:hint="eastAsia" w:asciiTheme="minorEastAsia" w:hAnsiTheme="minorEastAsia" w:eastAsiaTheme="minorEastAsia" w:cstheme="minorEastAsia"/>
          <w:bCs w:val="0"/>
          <w:i w:val="0"/>
          <w:iCs w:val="0"/>
          <w:color w:val="000000"/>
          <w:kern w:val="2"/>
          <w:sz w:val="21"/>
          <w:szCs w:val="21"/>
          <w:highlight w:val="none"/>
          <w:u w:val="none"/>
          <w:lang w:val="en-US" w:eastAsia="zh-CN" w:bidi="ar-SA"/>
        </w:rPr>
        <w:t>由甲乙双方共同核定工作量，双方核定完成后，由乙方开具发票，甲方自收到发票15个工作日内支付服务费</w:t>
      </w:r>
      <w:r>
        <w:rPr>
          <w:rFonts w:hint="eastAsia" w:asciiTheme="minorEastAsia" w:hAnsiTheme="minorEastAsia" w:eastAsiaTheme="minorEastAsia" w:cstheme="minorEastAsia"/>
          <w:color w:val="000000"/>
          <w:sz w:val="21"/>
          <w:szCs w:val="21"/>
          <w:highlight w:val="none"/>
          <w:u w:val="none"/>
          <w:lang w:val="en-US" w:eastAsia="zh-CN"/>
        </w:rPr>
        <w:t>。甲方出现财务审批延误或政府封账等特殊情况无法及时支付费用的，甲方付款可顺延，不视为甲方违约，由此造成的损失由乙方承担。</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九、其它</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9.1因国家法律法规变化，引起服务费用和服务内容的改变，要签订补充协议，调整商定的报酬和成果完成时间。</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9.2没有对方同意，双方均不得转让本合同约定的义务。</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9.3乙方根据本合同或在本合同履行过程中专门为甲方或根据甲方提供的有关信息、资料而产生的咨询成果，其知识产权和其他权益全部归甲方所有，且甲方可以不受限制地进行使用。未经甲方事先书面许可，乙方不得为本合同之外的任何目的、以任何形式自行使用、擅自许可任何第三方使用或向任何第三方提出有关意见和建议。</w:t>
      </w:r>
    </w:p>
    <w:p>
      <w:pPr>
        <w:spacing w:line="360" w:lineRule="auto"/>
        <w:ind w:firstLine="420"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Cs/>
          <w:color w:val="000000"/>
          <w:sz w:val="21"/>
          <w:szCs w:val="21"/>
          <w:highlight w:val="none"/>
        </w:rPr>
        <w:t>9.4本合同终止，不应损害和影响各方的权利、责任及索赔。</w:t>
      </w:r>
    </w:p>
    <w:p>
      <w:pPr>
        <w:spacing w:line="360" w:lineRule="auto"/>
        <w:ind w:firstLine="422"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十、解决争议的方式</w:t>
      </w:r>
    </w:p>
    <w:p>
      <w:pPr>
        <w:pStyle w:val="6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10.1本合同在履行中如出现争议，甲、乙双方可协商解决，协商不成，可向合同签署地：</w:t>
      </w:r>
      <w:r>
        <w:rPr>
          <w:rFonts w:hint="eastAsia" w:asciiTheme="minorEastAsia" w:hAnsiTheme="minorEastAsia" w:eastAsiaTheme="minorEastAsia" w:cstheme="minorEastAsia"/>
          <w:color w:val="000000"/>
          <w:sz w:val="21"/>
          <w:szCs w:val="21"/>
          <w:highlight w:val="none"/>
          <w:lang w:val="en-US" w:eastAsia="zh-CN"/>
        </w:rPr>
        <w:t>甲方所在地有管辖权的人民法院</w:t>
      </w:r>
      <w:r>
        <w:rPr>
          <w:rFonts w:hint="eastAsia" w:asciiTheme="minorEastAsia" w:hAnsiTheme="minorEastAsia" w:eastAsiaTheme="minorEastAsia" w:cstheme="minorEastAsia"/>
          <w:color w:val="000000"/>
          <w:sz w:val="21"/>
          <w:szCs w:val="21"/>
          <w:highlight w:val="none"/>
        </w:rPr>
        <w:t>起诉。</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10.2本合同未尽事宜，由双方共同协商并做出书面补充协议。补充协议同样具有法律效力。</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10.3本合同附件与合同是不可分割的整体，与合同有同等的法律效力。</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10.4本合同自双方签字盖章之日起生效，一式</w:t>
      </w:r>
      <w:r>
        <w:rPr>
          <w:rFonts w:hint="eastAsia" w:asciiTheme="minorEastAsia" w:hAnsiTheme="minorEastAsia" w:eastAsiaTheme="minorEastAsia" w:cstheme="minorEastAsia"/>
          <w:b/>
          <w:bCs/>
          <w:color w:val="000000"/>
          <w:sz w:val="21"/>
          <w:szCs w:val="21"/>
          <w:highlight w:val="none"/>
          <w:u w:val="single"/>
        </w:rPr>
        <w:t xml:space="preserve"> 六 </w:t>
      </w:r>
      <w:r>
        <w:rPr>
          <w:rFonts w:hint="eastAsia" w:asciiTheme="minorEastAsia" w:hAnsiTheme="minorEastAsia" w:eastAsiaTheme="minorEastAsia" w:cstheme="minorEastAsia"/>
          <w:b/>
          <w:bCs/>
          <w:color w:val="000000"/>
          <w:sz w:val="21"/>
          <w:szCs w:val="21"/>
          <w:highlight w:val="none"/>
        </w:rPr>
        <w:t>份，双方各执</w:t>
      </w:r>
      <w:r>
        <w:rPr>
          <w:rFonts w:hint="eastAsia" w:asciiTheme="minorEastAsia" w:hAnsiTheme="minorEastAsia" w:eastAsiaTheme="minorEastAsia" w:cstheme="minorEastAsia"/>
          <w:b/>
          <w:bCs/>
          <w:color w:val="000000"/>
          <w:sz w:val="21"/>
          <w:szCs w:val="21"/>
          <w:highlight w:val="none"/>
          <w:u w:val="single"/>
        </w:rPr>
        <w:t xml:space="preserve"> 三 </w:t>
      </w:r>
      <w:r>
        <w:rPr>
          <w:rFonts w:hint="eastAsia" w:asciiTheme="minorEastAsia" w:hAnsiTheme="minorEastAsia" w:eastAsiaTheme="minorEastAsia" w:cstheme="minorEastAsia"/>
          <w:b/>
          <w:bCs/>
          <w:color w:val="000000"/>
          <w:sz w:val="21"/>
          <w:szCs w:val="21"/>
          <w:highlight w:val="none"/>
        </w:rPr>
        <w:t>份</w:t>
      </w:r>
      <w:r>
        <w:rPr>
          <w:rFonts w:hint="eastAsia" w:asciiTheme="minorEastAsia" w:hAnsiTheme="minorEastAsia" w:eastAsiaTheme="minorEastAsia" w:cstheme="minorEastAsia"/>
          <w:b/>
          <w:bCs/>
          <w:color w:val="000000"/>
          <w:sz w:val="21"/>
          <w:szCs w:val="21"/>
          <w:highlight w:val="none"/>
          <w:lang w:eastAsia="zh-CN"/>
        </w:rPr>
        <w:t>，</w:t>
      </w:r>
      <w:r>
        <w:rPr>
          <w:rFonts w:hint="eastAsia" w:asciiTheme="minorEastAsia" w:hAnsiTheme="minorEastAsia" w:eastAsiaTheme="minorEastAsia" w:cstheme="minorEastAsia"/>
          <w:b/>
          <w:bCs/>
          <w:color w:val="000000"/>
          <w:sz w:val="21"/>
          <w:szCs w:val="21"/>
          <w:highlight w:val="none"/>
          <w:lang w:val="en-US" w:eastAsia="zh-CN"/>
        </w:rPr>
        <w:t>具有同等法律效力</w:t>
      </w:r>
      <w:r>
        <w:rPr>
          <w:rFonts w:hint="eastAsia" w:asciiTheme="minorEastAsia" w:hAnsiTheme="minorEastAsia" w:eastAsiaTheme="minorEastAsia" w:cstheme="minorEastAsia"/>
          <w:b/>
          <w:bCs/>
          <w:color w:val="000000"/>
          <w:sz w:val="21"/>
          <w:szCs w:val="21"/>
          <w:highlight w:val="none"/>
        </w:rPr>
        <w:t>。</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p>
    <w:p>
      <w:pPr>
        <w:pStyle w:val="5"/>
        <w:ind w:firstLine="0"/>
        <w:rPr>
          <w:rFonts w:hint="eastAsia" w:asciiTheme="minorEastAsia" w:hAnsiTheme="minorEastAsia" w:eastAsiaTheme="minorEastAsia" w:cstheme="minorEastAsia"/>
          <w:sz w:val="21"/>
          <w:szCs w:val="21"/>
          <w:highlight w:val="none"/>
        </w:rPr>
      </w:pPr>
    </w:p>
    <w:tbl>
      <w:tblPr>
        <w:tblStyle w:val="18"/>
        <w:tblpPr w:leftFromText="180" w:rightFromText="180" w:vertAnchor="text" w:horzAnchor="page" w:tblpX="1557" w:tblpY="165"/>
        <w:tblOverlap w:val="never"/>
        <w:tblW w:w="9106" w:type="dxa"/>
        <w:tblInd w:w="0" w:type="dxa"/>
        <w:tblLayout w:type="fixed"/>
        <w:tblCellMar>
          <w:top w:w="0" w:type="dxa"/>
          <w:left w:w="108" w:type="dxa"/>
          <w:bottom w:w="0" w:type="dxa"/>
          <w:right w:w="108" w:type="dxa"/>
        </w:tblCellMar>
      </w:tblPr>
      <w:tblGrid>
        <w:gridCol w:w="4503"/>
        <w:gridCol w:w="427"/>
        <w:gridCol w:w="4176"/>
      </w:tblGrid>
      <w:tr>
        <w:tblPrEx>
          <w:tblCellMar>
            <w:top w:w="0" w:type="dxa"/>
            <w:left w:w="108" w:type="dxa"/>
            <w:bottom w:w="0" w:type="dxa"/>
            <w:right w:w="108" w:type="dxa"/>
          </w:tblCellMar>
        </w:tblPrEx>
        <w:trPr>
          <w:trHeight w:val="742" w:hRule="atLeast"/>
        </w:trPr>
        <w:tc>
          <w:tcPr>
            <w:tcW w:w="4503" w:type="dxa"/>
          </w:tcPr>
          <w:p>
            <w:pPr>
              <w:tabs>
                <w:tab w:val="left" w:pos="510"/>
                <w:tab w:val="center" w:pos="2215"/>
              </w:tabs>
              <w:spacing w:line="360"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委托方：</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海口</w:t>
            </w:r>
            <w:r>
              <w:rPr>
                <w:rFonts w:hint="eastAsia" w:asciiTheme="minorEastAsia" w:hAnsiTheme="minorEastAsia" w:eastAsiaTheme="minorEastAsia" w:cstheme="minorEastAsia"/>
                <w:color w:val="000000"/>
                <w:position w:val="-2"/>
                <w:sz w:val="21"/>
                <w:szCs w:val="21"/>
                <w:highlight w:val="none"/>
              </w:rPr>
              <w:t>江东新区管理局</w:t>
            </w:r>
          </w:p>
        </w:tc>
        <w:tc>
          <w:tcPr>
            <w:tcW w:w="427" w:type="dxa"/>
          </w:tcPr>
          <w:p>
            <w:pPr>
              <w:tabs>
                <w:tab w:val="left" w:pos="510"/>
                <w:tab w:val="center" w:pos="2215"/>
              </w:tabs>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510"/>
                <w:tab w:val="center" w:pos="2215"/>
              </w:tabs>
              <w:spacing w:line="360" w:lineRule="auto"/>
              <w:ind w:left="1540" w:hanging="1155" w:hangingChars="55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受托方：</w:t>
            </w:r>
          </w:p>
        </w:tc>
      </w:tr>
      <w:tr>
        <w:tblPrEx>
          <w:tblCellMar>
            <w:top w:w="0" w:type="dxa"/>
            <w:left w:w="108" w:type="dxa"/>
            <w:bottom w:w="0" w:type="dxa"/>
            <w:right w:w="108" w:type="dxa"/>
          </w:tblCellMar>
        </w:tblPrEx>
        <w:trPr>
          <w:trHeight w:val="527" w:hRule="atLeast"/>
        </w:trPr>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vAlign w:val="center"/>
          </w:tcPr>
          <w:p>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w:t>
            </w:r>
          </w:p>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或委托代理人（签章）：</w:t>
            </w:r>
          </w:p>
        </w:tc>
        <w:tc>
          <w:tcPr>
            <w:tcW w:w="427" w:type="dxa"/>
            <w:vAlign w:val="center"/>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w:t>
            </w:r>
          </w:p>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或委托代理人（签章）：</w:t>
            </w:r>
          </w:p>
        </w:tc>
      </w:tr>
      <w:tr>
        <w:tblPrEx>
          <w:tblCellMar>
            <w:top w:w="0" w:type="dxa"/>
            <w:left w:w="108" w:type="dxa"/>
            <w:bottom w:w="0" w:type="dxa"/>
            <w:right w:w="108" w:type="dxa"/>
          </w:tblCellMar>
        </w:tblPrEx>
        <w:tc>
          <w:tcPr>
            <w:tcW w:w="4503"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tabs>
                <w:tab w:val="left" w:pos="510"/>
                <w:tab w:val="center" w:pos="2215"/>
              </w:tabs>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单位地址：海南省</w:t>
            </w:r>
          </w:p>
        </w:tc>
        <w:tc>
          <w:tcPr>
            <w:tcW w:w="427" w:type="dxa"/>
          </w:tcPr>
          <w:p>
            <w:pPr>
              <w:tabs>
                <w:tab w:val="left" w:pos="510"/>
                <w:tab w:val="center" w:pos="2215"/>
              </w:tabs>
              <w:spacing w:line="360" w:lineRule="auto"/>
              <w:ind w:firstLine="840" w:firstLineChars="4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510"/>
                <w:tab w:val="center" w:pos="2215"/>
              </w:tabs>
              <w:spacing w:line="360" w:lineRule="auto"/>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单位地址：</w:t>
            </w:r>
          </w:p>
        </w:tc>
      </w:tr>
      <w:tr>
        <w:tblPrEx>
          <w:tblCellMar>
            <w:top w:w="0" w:type="dxa"/>
            <w:left w:w="108" w:type="dxa"/>
            <w:bottom w:w="0" w:type="dxa"/>
            <w:right w:w="108" w:type="dxa"/>
          </w:tblCellMar>
        </w:tblPrEx>
        <w:trPr>
          <w:trHeight w:val="90" w:hRule="atLeast"/>
        </w:trPr>
        <w:tc>
          <w:tcPr>
            <w:tcW w:w="4503"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ind w:left="560" w:hanging="420" w:hangingChars="2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89" w:hRule="atLeast"/>
        </w:trPr>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联系人：</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联 系 人：</w:t>
            </w:r>
          </w:p>
        </w:tc>
      </w:tr>
      <w:tr>
        <w:tblPrEx>
          <w:tblCellMar>
            <w:top w:w="0" w:type="dxa"/>
            <w:left w:w="108" w:type="dxa"/>
            <w:bottom w:w="0" w:type="dxa"/>
            <w:right w:w="108" w:type="dxa"/>
          </w:tblCellMar>
        </w:tblPrEx>
        <w:tc>
          <w:tcPr>
            <w:tcW w:w="4503"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  话：</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    话：</w:t>
            </w:r>
          </w:p>
        </w:tc>
      </w:tr>
      <w:tr>
        <w:tblPrEx>
          <w:tblCellMar>
            <w:top w:w="0" w:type="dxa"/>
            <w:left w:w="108" w:type="dxa"/>
            <w:bottom w:w="0" w:type="dxa"/>
            <w:right w:w="108" w:type="dxa"/>
          </w:tblCellMar>
        </w:tblPrEx>
        <w:tc>
          <w:tcPr>
            <w:tcW w:w="4503"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tabs>
                <w:tab w:val="left" w:pos="510"/>
                <w:tab w:val="center" w:pos="2215"/>
              </w:tabs>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开户名称：</w:t>
            </w:r>
          </w:p>
          <w:p>
            <w:pPr>
              <w:tabs>
                <w:tab w:val="left" w:pos="510"/>
                <w:tab w:val="center" w:pos="2215"/>
              </w:tabs>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tabs>
                <w:tab w:val="left" w:pos="510"/>
                <w:tab w:val="center" w:pos="2215"/>
              </w:tabs>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510"/>
                <w:tab w:val="center" w:pos="2215"/>
              </w:tabs>
              <w:spacing w:line="360" w:lineRule="auto"/>
              <w:ind w:left="1540" w:hanging="1155" w:hangingChars="55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开户名称：</w:t>
            </w:r>
          </w:p>
        </w:tc>
      </w:tr>
      <w:tr>
        <w:tblPrEx>
          <w:tblCellMar>
            <w:top w:w="0" w:type="dxa"/>
            <w:left w:w="108" w:type="dxa"/>
            <w:bottom w:w="0" w:type="dxa"/>
            <w:right w:w="108" w:type="dxa"/>
          </w:tblCellMar>
        </w:tblPrEx>
        <w:tc>
          <w:tcPr>
            <w:tcW w:w="4503"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开户银行：</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开户银行：</w:t>
            </w:r>
          </w:p>
        </w:tc>
      </w:tr>
      <w:tr>
        <w:tblPrEx>
          <w:tblCellMar>
            <w:top w:w="0" w:type="dxa"/>
            <w:left w:w="108" w:type="dxa"/>
            <w:bottom w:w="0" w:type="dxa"/>
            <w:right w:w="108" w:type="dxa"/>
          </w:tblCellMar>
        </w:tblPrEx>
        <w:tc>
          <w:tcPr>
            <w:tcW w:w="4503"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8" w:hRule="atLeast"/>
        </w:trPr>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银行账号：</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银行账号：</w:t>
            </w:r>
          </w:p>
        </w:tc>
      </w:tr>
      <w:tr>
        <w:tblPrEx>
          <w:tblCellMar>
            <w:top w:w="0" w:type="dxa"/>
            <w:left w:w="108" w:type="dxa"/>
            <w:bottom w:w="0" w:type="dxa"/>
            <w:right w:w="108" w:type="dxa"/>
          </w:tblCellMar>
        </w:tblPrEx>
        <w:trPr>
          <w:trHeight w:val="58" w:hRule="atLeast"/>
        </w:trPr>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纳税人识别号：</w:t>
            </w: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纳税人识别号：</w:t>
            </w:r>
          </w:p>
          <w:p>
            <w:pPr>
              <w:tabs>
                <w:tab w:val="left" w:pos="4140"/>
              </w:tabs>
              <w:spacing w:line="360" w:lineRule="auto"/>
              <w:ind w:left="4103" w:leftChars="798" w:hanging="2427" w:hangingChars="1156"/>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投诉电话：</w:t>
            </w:r>
          </w:p>
        </w:tc>
      </w:tr>
      <w:tr>
        <w:tblPrEx>
          <w:tblCellMar>
            <w:top w:w="0" w:type="dxa"/>
            <w:left w:w="108" w:type="dxa"/>
            <w:bottom w:w="0" w:type="dxa"/>
            <w:right w:w="108" w:type="dxa"/>
          </w:tblCellMar>
        </w:tblPrEx>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签订日期：</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签订日期：年   月   日       </w:t>
            </w:r>
          </w:p>
        </w:tc>
      </w:tr>
    </w:tbl>
    <w:p>
      <w:pPr>
        <w:pageBreakBefore w:val="0"/>
        <w:wordWrap/>
        <w:topLinePunct w:val="0"/>
        <w:bidi w:val="0"/>
        <w:adjustRightInd w:val="0"/>
        <w:snapToGrid w:val="0"/>
        <w:spacing w:line="360" w:lineRule="auto"/>
        <w:ind w:firstLine="1680" w:firstLineChars="800"/>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Style w:val="2"/>
        <w:rPr>
          <w:rFonts w:hint="eastAsia"/>
        </w:rPr>
      </w:pPr>
    </w:p>
    <w:p>
      <w:pPr>
        <w:rPr>
          <w:rFonts w:hint="eastAsia"/>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应</w:t>
      </w:r>
      <w:r>
        <w:rPr>
          <w:rFonts w:hint="eastAsia" w:asciiTheme="minorEastAsia" w:hAnsiTheme="minorEastAsia" w:eastAsiaTheme="minorEastAsia" w:cstheme="minorEastAsia"/>
          <w:b/>
          <w:color w:val="auto"/>
          <w:sz w:val="21"/>
          <w:szCs w:val="21"/>
        </w:rPr>
        <w:t xml:space="preserve"> 声 明 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val="en-US" w:eastAsia="zh-CN"/>
        </w:rPr>
        <w:t>海口江东新区管理局</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w:t>
      </w:r>
      <w:r>
        <w:rPr>
          <w:rFonts w:hint="eastAsia" w:asciiTheme="minorEastAsia" w:hAnsiTheme="minorEastAsia" w:eastAsiaTheme="minorEastAsia" w:cstheme="minorEastAsia"/>
          <w:bCs/>
          <w:color w:val="auto"/>
          <w:sz w:val="21"/>
          <w:szCs w:val="21"/>
          <w:lang w:val="en-US" w:eastAsia="zh-CN"/>
        </w:rPr>
        <w:t>文件</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贰 </w:t>
      </w:r>
      <w:r>
        <w:rPr>
          <w:rFonts w:hint="eastAsia" w:asciiTheme="minorEastAsia" w:hAnsiTheme="minorEastAsia" w:eastAsiaTheme="minorEastAsia" w:cstheme="minorEastAsia"/>
          <w:bCs/>
          <w:color w:val="auto"/>
          <w:sz w:val="21"/>
          <w:szCs w:val="21"/>
        </w:rPr>
        <w:t>份及电子版U盘一个。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日  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450"/>
        <w:gridCol w:w="14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(小写)（元）</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质量标准</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pPr>
              <w:pStyle w:val="7"/>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0000FF"/>
                <w:sz w:val="21"/>
                <w:szCs w:val="21"/>
                <w:lang w:val="en-US" w:eastAsia="zh-CN"/>
              </w:rPr>
              <w:t>中小微/</w:t>
            </w:r>
            <w:r>
              <w:rPr>
                <w:rFonts w:hint="eastAsia" w:asciiTheme="minorEastAsia" w:hAnsiTheme="minorEastAsia" w:eastAsiaTheme="minorEastAsia" w:cstheme="minorEastAsia"/>
                <w:bCs/>
                <w:color w:val="0000FF"/>
                <w:sz w:val="21"/>
                <w:szCs w:val="21"/>
              </w:rPr>
              <w:t>小微型</w:t>
            </w:r>
            <w:r>
              <w:rPr>
                <w:rFonts w:hint="eastAsia" w:asciiTheme="minorEastAsia" w:hAnsiTheme="minorEastAsia" w:eastAsiaTheme="minorEastAsia" w:cstheme="minorEastAsia"/>
                <w:bCs/>
                <w:color w:val="auto"/>
                <w:sz w:val="21"/>
                <w:szCs w:val="21"/>
              </w:rPr>
              <w:t>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pPr>
        <w:pStyle w:val="17"/>
        <w:rPr>
          <w:rFonts w:hint="eastAsia" w:ascii="宋体" w:hAnsi="宋体" w:eastAsia="宋体" w:cs="宋体"/>
          <w:bCs/>
          <w:color w:val="auto"/>
          <w:kern w:val="2"/>
          <w:sz w:val="21"/>
          <w:szCs w:val="21"/>
          <w:lang w:val="en-US" w:eastAsia="zh-CN" w:bidi="ar-SA"/>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76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7"/>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pPr>
        <w:pStyle w:val="17"/>
        <w:rPr>
          <w:rFonts w:hint="eastAsia"/>
        </w:rPr>
        <w:sectPr>
          <w:pgSz w:w="11906" w:h="16838"/>
          <w:pgMar w:top="1440" w:right="1800" w:bottom="1440" w:left="1800" w:header="794" w:footer="992" w:gutter="0"/>
          <w:pgNumType w:fmt="decimal"/>
          <w:cols w:space="425" w:num="1"/>
          <w:docGrid w:type="lines" w:linePitch="312" w:charSpace="0"/>
        </w:sectPr>
      </w:pPr>
    </w:p>
    <w:p>
      <w:pPr>
        <w:rPr>
          <w:rFonts w:hint="eastAsia"/>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pPr>
        <w:pStyle w:val="15"/>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spacing w:line="560" w:lineRule="exact"/>
        <w:jc w:val="center"/>
        <w:textAlignment w:val="auto"/>
        <w:rPr>
          <w:color w:val="auto"/>
        </w:rPr>
      </w:pPr>
      <w:r>
        <w:rPr>
          <w:rFonts w:hint="eastAsia"/>
          <w:color w:val="auto"/>
        </w:rPr>
        <w:t>法定代表人授权委托书</w:t>
      </w: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u w:val="single"/>
        </w:rPr>
        <w:t xml:space="preserve">     （供应商名称）     </w:t>
      </w:r>
      <w:r>
        <w:rPr>
          <w:rFonts w:hint="eastAsia"/>
          <w:color w:val="auto"/>
        </w:rPr>
        <w:t>法定代表人授权我司员工</w:t>
      </w:r>
      <w:r>
        <w:rPr>
          <w:rFonts w:hint="eastAsia"/>
          <w:color w:val="auto"/>
          <w:u w:val="single"/>
          <w:lang w:val="en-US" w:eastAsia="zh-CN"/>
        </w:rPr>
        <w:t xml:space="preserve">      </w:t>
      </w:r>
      <w:r>
        <w:rPr>
          <w:rFonts w:hint="eastAsia"/>
          <w:color w:val="auto"/>
        </w:rPr>
        <w:t>全权负责</w:t>
      </w:r>
      <w:r>
        <w:rPr>
          <w:rFonts w:hint="eastAsia"/>
          <w:color w:val="auto"/>
          <w:u w:val="single"/>
          <w:lang w:eastAsia="zh-CN"/>
        </w:rPr>
        <w:t>（</w:t>
      </w:r>
      <w:r>
        <w:rPr>
          <w:rFonts w:hint="eastAsia"/>
          <w:color w:val="auto"/>
          <w:u w:val="single"/>
        </w:rPr>
        <w:t>项目</w:t>
      </w:r>
      <w:r>
        <w:rPr>
          <w:rFonts w:hint="eastAsia"/>
          <w:color w:val="auto"/>
          <w:u w:val="single"/>
          <w:lang w:val="en-US" w:eastAsia="zh-CN"/>
        </w:rPr>
        <w:t xml:space="preserve">名称）   </w:t>
      </w:r>
      <w:r>
        <w:rPr>
          <w:rFonts w:hint="eastAsia"/>
          <w:color w:val="auto"/>
        </w:rPr>
        <w:t>的一切相关事宜。本授权书于_______年_____月_____日签字生效，特此声明。</w:t>
      </w: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 xml:space="preserve">供应商（公章）：                                                         </w:t>
      </w: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法定代表人签字：（或法人章）</w:t>
      </w: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被授权人签字：</w:t>
      </w: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ascii="宋体" w:hAnsi="宋体" w:eastAsia="宋体" w:cs="宋体"/>
          <w:color w:val="auto"/>
        </w:rPr>
      </w:pPr>
      <w:r>
        <w:rPr>
          <w:rFonts w:hint="eastAsia" w:ascii="宋体" w:hAnsi="宋体" w:eastAsia="宋体" w:cs="宋体"/>
          <w:color w:val="auto"/>
        </w:rPr>
        <w:t>附：法定代表人身份证复印件</w:t>
      </w: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授权委托人身份证复印件</w:t>
      </w:r>
    </w:p>
    <w:p>
      <w:pPr>
        <w:pStyle w:val="15"/>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pPr>
        <w:pStyle w:val="17"/>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p>
    <w:p>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Cs w:val="21"/>
        </w:rPr>
        <w:t xml:space="preserve">日期： </w:t>
      </w:r>
    </w:p>
    <w:p>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r>
        <w:rPr>
          <w:rFonts w:hint="eastAsia" w:ascii="宋体" w:hAnsi="宋体" w:cs="宋体"/>
          <w:color w:val="auto"/>
          <w:spacing w:val="0"/>
          <w:w w:val="100"/>
          <w:position w:val="0"/>
          <w:sz w:val="21"/>
          <w:szCs w:val="21"/>
          <w:u w:val="single"/>
          <w:lang w:eastAsia="zh-CN"/>
        </w:rPr>
        <w:t>采购人</w:t>
      </w:r>
      <w:r>
        <w:rPr>
          <w:rFonts w:hint="eastAsia" w:ascii="宋体" w:hAnsi="宋体" w:eastAsia="宋体" w:cs="宋体"/>
          <w:color w:val="auto"/>
          <w:spacing w:val="0"/>
          <w:w w:val="100"/>
          <w:position w:val="0"/>
          <w:sz w:val="21"/>
          <w:szCs w:val="21"/>
          <w:u w:val="single"/>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项目的政府采购活动，现承诺如下：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w:t>
      </w:r>
      <w:r>
        <w:rPr>
          <w:rFonts w:hint="eastAsia" w:asciiTheme="minorEastAsia" w:hAnsiTheme="minorEastAsia" w:eastAsiaTheme="minorEastAsia" w:cstheme="minorEastAsia"/>
          <w:b/>
          <w:color w:val="auto"/>
          <w:sz w:val="21"/>
          <w:szCs w:val="21"/>
          <w:lang w:val="en-US" w:eastAsia="zh-CN"/>
        </w:rPr>
        <w:t>2</w:t>
      </w:r>
      <w:r>
        <w:rPr>
          <w:rFonts w:hint="eastAsia" w:asciiTheme="minorEastAsia" w:hAnsiTheme="minorEastAsia" w:eastAsiaTheme="minorEastAsia" w:cstheme="minorEastAsia"/>
          <w:b/>
          <w:color w:val="auto"/>
          <w:sz w:val="21"/>
          <w:szCs w:val="21"/>
          <w:lang w:val="zh-CN"/>
        </w:rPr>
        <w:t>：监狱企业证明文件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pPr>
      <w:pStyle w:val="13"/>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7F22F"/>
    <w:multiLevelType w:val="singleLevel"/>
    <w:tmpl w:val="DBE7F22F"/>
    <w:lvl w:ilvl="0" w:tentative="0">
      <w:start w:val="2"/>
      <w:numFmt w:val="chineseCounting"/>
      <w:suff w:val="space"/>
      <w:lvlText w:val="第%1章"/>
      <w:lvlJc w:val="left"/>
      <w:rPr>
        <w:rFonts w:hint="eastAsia"/>
      </w:rPr>
    </w:lvl>
  </w:abstractNum>
  <w:abstractNum w:abstractNumId="1">
    <w:nsid w:val="1AA41FE5"/>
    <w:multiLevelType w:val="singleLevel"/>
    <w:tmpl w:val="1AA41FE5"/>
    <w:lvl w:ilvl="0" w:tentative="0">
      <w:start w:val="5"/>
      <w:numFmt w:val="chineseCounting"/>
      <w:suff w:val="nothing"/>
      <w:lvlText w:val="%1、"/>
      <w:lvlJc w:val="left"/>
      <w:rPr>
        <w:rFonts w:hint="eastAsia"/>
      </w:rPr>
    </w:lvl>
  </w:abstractNum>
  <w:abstractNum w:abstractNumId="2">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2213014"/>
    <w:rsid w:val="022D30DA"/>
    <w:rsid w:val="02455925"/>
    <w:rsid w:val="02D219C4"/>
    <w:rsid w:val="03231259"/>
    <w:rsid w:val="033B0CFE"/>
    <w:rsid w:val="034F7EF4"/>
    <w:rsid w:val="03854560"/>
    <w:rsid w:val="03BF4CCA"/>
    <w:rsid w:val="03C14561"/>
    <w:rsid w:val="040D3C69"/>
    <w:rsid w:val="04261197"/>
    <w:rsid w:val="04630F4A"/>
    <w:rsid w:val="049B5476"/>
    <w:rsid w:val="04E03371"/>
    <w:rsid w:val="052D4ADE"/>
    <w:rsid w:val="055E210C"/>
    <w:rsid w:val="056A57F8"/>
    <w:rsid w:val="05F21DE6"/>
    <w:rsid w:val="064E6865"/>
    <w:rsid w:val="06984B35"/>
    <w:rsid w:val="06EC4087"/>
    <w:rsid w:val="07050876"/>
    <w:rsid w:val="071D0355"/>
    <w:rsid w:val="073851BD"/>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586351"/>
    <w:rsid w:val="0A7B7C6C"/>
    <w:rsid w:val="0A89454C"/>
    <w:rsid w:val="0AA52631"/>
    <w:rsid w:val="0AD87214"/>
    <w:rsid w:val="0AF21923"/>
    <w:rsid w:val="0AFD710E"/>
    <w:rsid w:val="0BB7140A"/>
    <w:rsid w:val="0BBC0022"/>
    <w:rsid w:val="0BD90EE9"/>
    <w:rsid w:val="0C282C80"/>
    <w:rsid w:val="0C747BE1"/>
    <w:rsid w:val="0C796895"/>
    <w:rsid w:val="0C8D7232"/>
    <w:rsid w:val="0C956CDB"/>
    <w:rsid w:val="0C9E593E"/>
    <w:rsid w:val="0CC95340"/>
    <w:rsid w:val="0CE06855"/>
    <w:rsid w:val="0CF271BF"/>
    <w:rsid w:val="0D3A63F7"/>
    <w:rsid w:val="0D5F1E64"/>
    <w:rsid w:val="0DB27913"/>
    <w:rsid w:val="0DFD1228"/>
    <w:rsid w:val="0E2B535C"/>
    <w:rsid w:val="0E603E62"/>
    <w:rsid w:val="0F3B3D47"/>
    <w:rsid w:val="0F4814BC"/>
    <w:rsid w:val="100B407B"/>
    <w:rsid w:val="104E667B"/>
    <w:rsid w:val="10575E20"/>
    <w:rsid w:val="105A2DDD"/>
    <w:rsid w:val="10621B90"/>
    <w:rsid w:val="106611CB"/>
    <w:rsid w:val="113722BE"/>
    <w:rsid w:val="113F685C"/>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E71F9E"/>
    <w:rsid w:val="14F364DD"/>
    <w:rsid w:val="150D5D06"/>
    <w:rsid w:val="157F1A78"/>
    <w:rsid w:val="15D078F9"/>
    <w:rsid w:val="15DA2C5A"/>
    <w:rsid w:val="1605187F"/>
    <w:rsid w:val="16154877"/>
    <w:rsid w:val="16AD37FE"/>
    <w:rsid w:val="16C0190D"/>
    <w:rsid w:val="170F0CDD"/>
    <w:rsid w:val="17137D16"/>
    <w:rsid w:val="17B77DC6"/>
    <w:rsid w:val="186A144F"/>
    <w:rsid w:val="18812024"/>
    <w:rsid w:val="18DA1062"/>
    <w:rsid w:val="18DF750D"/>
    <w:rsid w:val="19057B47"/>
    <w:rsid w:val="192E465C"/>
    <w:rsid w:val="195A634B"/>
    <w:rsid w:val="199C16E9"/>
    <w:rsid w:val="199D5F29"/>
    <w:rsid w:val="19CA20B2"/>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E2494A"/>
    <w:rsid w:val="1E1A6270"/>
    <w:rsid w:val="1E66393B"/>
    <w:rsid w:val="1EB83740"/>
    <w:rsid w:val="1EC56452"/>
    <w:rsid w:val="1EED5392"/>
    <w:rsid w:val="1EF23BCB"/>
    <w:rsid w:val="1F9D2223"/>
    <w:rsid w:val="1FC96AD8"/>
    <w:rsid w:val="1FE15F3B"/>
    <w:rsid w:val="203E5DA7"/>
    <w:rsid w:val="21132956"/>
    <w:rsid w:val="211428BF"/>
    <w:rsid w:val="21202FCA"/>
    <w:rsid w:val="217C5962"/>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56D22"/>
    <w:rsid w:val="29AF73CD"/>
    <w:rsid w:val="29CF2C9E"/>
    <w:rsid w:val="2A1525B3"/>
    <w:rsid w:val="2A1F3C77"/>
    <w:rsid w:val="2A420242"/>
    <w:rsid w:val="2A770325"/>
    <w:rsid w:val="2B577739"/>
    <w:rsid w:val="2B82420A"/>
    <w:rsid w:val="2BC32FA6"/>
    <w:rsid w:val="2BDE0F2A"/>
    <w:rsid w:val="2C1F0ECB"/>
    <w:rsid w:val="2C2F0132"/>
    <w:rsid w:val="2C5B48B1"/>
    <w:rsid w:val="2C635A6B"/>
    <w:rsid w:val="2C9C63F2"/>
    <w:rsid w:val="2CE95AE3"/>
    <w:rsid w:val="2CEE3181"/>
    <w:rsid w:val="2D056A81"/>
    <w:rsid w:val="2D0D1210"/>
    <w:rsid w:val="2D205DF5"/>
    <w:rsid w:val="2D6F2A08"/>
    <w:rsid w:val="2D7A708A"/>
    <w:rsid w:val="2D986A7C"/>
    <w:rsid w:val="2DD31C58"/>
    <w:rsid w:val="2E386100"/>
    <w:rsid w:val="2E3A4E93"/>
    <w:rsid w:val="2E921BC1"/>
    <w:rsid w:val="2E9D3756"/>
    <w:rsid w:val="2ED71151"/>
    <w:rsid w:val="2EFB0B3C"/>
    <w:rsid w:val="2F3B21A6"/>
    <w:rsid w:val="2F5B4CE0"/>
    <w:rsid w:val="2F5C1340"/>
    <w:rsid w:val="2F6457B2"/>
    <w:rsid w:val="2F8D101C"/>
    <w:rsid w:val="2F9039F3"/>
    <w:rsid w:val="2FE92ED2"/>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6F039A"/>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803352"/>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3215097"/>
    <w:rsid w:val="43335793"/>
    <w:rsid w:val="43504A5C"/>
    <w:rsid w:val="437629AE"/>
    <w:rsid w:val="43BE61A8"/>
    <w:rsid w:val="43D0692B"/>
    <w:rsid w:val="43DA56DD"/>
    <w:rsid w:val="442D019F"/>
    <w:rsid w:val="44370871"/>
    <w:rsid w:val="44AA1CB0"/>
    <w:rsid w:val="44CE24E4"/>
    <w:rsid w:val="44D16A09"/>
    <w:rsid w:val="44D90521"/>
    <w:rsid w:val="44E52F1F"/>
    <w:rsid w:val="450E440F"/>
    <w:rsid w:val="45502007"/>
    <w:rsid w:val="4580392B"/>
    <w:rsid w:val="45883F8A"/>
    <w:rsid w:val="45F04858"/>
    <w:rsid w:val="4606799E"/>
    <w:rsid w:val="4629386F"/>
    <w:rsid w:val="466174A4"/>
    <w:rsid w:val="468B197E"/>
    <w:rsid w:val="46D52AA1"/>
    <w:rsid w:val="470E5183"/>
    <w:rsid w:val="471F4F7F"/>
    <w:rsid w:val="473A77FF"/>
    <w:rsid w:val="47413903"/>
    <w:rsid w:val="47501D1D"/>
    <w:rsid w:val="479B2B65"/>
    <w:rsid w:val="47E241F2"/>
    <w:rsid w:val="47E67EE1"/>
    <w:rsid w:val="47F05DF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CC2191"/>
    <w:rsid w:val="4B967555"/>
    <w:rsid w:val="4BA41081"/>
    <w:rsid w:val="4BAE7BD6"/>
    <w:rsid w:val="4C624E51"/>
    <w:rsid w:val="4C6F5D75"/>
    <w:rsid w:val="4C8614A0"/>
    <w:rsid w:val="4CB90B4A"/>
    <w:rsid w:val="4D011E35"/>
    <w:rsid w:val="4D1A70AD"/>
    <w:rsid w:val="4D4D66ED"/>
    <w:rsid w:val="4D896AAF"/>
    <w:rsid w:val="4D927727"/>
    <w:rsid w:val="4DBA3D68"/>
    <w:rsid w:val="4DCE7CC5"/>
    <w:rsid w:val="4DDF58BD"/>
    <w:rsid w:val="4E0A0B66"/>
    <w:rsid w:val="4E295649"/>
    <w:rsid w:val="4E434405"/>
    <w:rsid w:val="4E6D51A2"/>
    <w:rsid w:val="4E8B3BC1"/>
    <w:rsid w:val="4F203050"/>
    <w:rsid w:val="4F330037"/>
    <w:rsid w:val="4F6B7B7D"/>
    <w:rsid w:val="4F840FDE"/>
    <w:rsid w:val="4F8A0ABB"/>
    <w:rsid w:val="502B260A"/>
    <w:rsid w:val="503277C4"/>
    <w:rsid w:val="507B2035"/>
    <w:rsid w:val="50D729C1"/>
    <w:rsid w:val="5187033E"/>
    <w:rsid w:val="51B615DA"/>
    <w:rsid w:val="51CF5615"/>
    <w:rsid w:val="51D41141"/>
    <w:rsid w:val="52111515"/>
    <w:rsid w:val="52115DFD"/>
    <w:rsid w:val="523830D8"/>
    <w:rsid w:val="52F14A35"/>
    <w:rsid w:val="53016434"/>
    <w:rsid w:val="53453EF9"/>
    <w:rsid w:val="537E7219"/>
    <w:rsid w:val="53E73F9D"/>
    <w:rsid w:val="542B47E5"/>
    <w:rsid w:val="5463665A"/>
    <w:rsid w:val="54737C15"/>
    <w:rsid w:val="5489364B"/>
    <w:rsid w:val="549E0BB5"/>
    <w:rsid w:val="54D86D8D"/>
    <w:rsid w:val="554B067D"/>
    <w:rsid w:val="55583A1F"/>
    <w:rsid w:val="55705033"/>
    <w:rsid w:val="557D70BE"/>
    <w:rsid w:val="55CE4587"/>
    <w:rsid w:val="5624337B"/>
    <w:rsid w:val="56332F20"/>
    <w:rsid w:val="56E827E2"/>
    <w:rsid w:val="56E96FC6"/>
    <w:rsid w:val="57103B34"/>
    <w:rsid w:val="5714694D"/>
    <w:rsid w:val="57340E32"/>
    <w:rsid w:val="57FE6BC0"/>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600B3636"/>
    <w:rsid w:val="6013436D"/>
    <w:rsid w:val="6060486B"/>
    <w:rsid w:val="60DE7CF2"/>
    <w:rsid w:val="611E2E9B"/>
    <w:rsid w:val="612B0E8B"/>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1F3A59"/>
    <w:rsid w:val="656C147B"/>
    <w:rsid w:val="65832223"/>
    <w:rsid w:val="664A7A0D"/>
    <w:rsid w:val="671A190B"/>
    <w:rsid w:val="6731767E"/>
    <w:rsid w:val="67335956"/>
    <w:rsid w:val="68016B77"/>
    <w:rsid w:val="68307014"/>
    <w:rsid w:val="687047EC"/>
    <w:rsid w:val="690C2F01"/>
    <w:rsid w:val="692A3B68"/>
    <w:rsid w:val="693A4663"/>
    <w:rsid w:val="699B0FA7"/>
    <w:rsid w:val="699F0403"/>
    <w:rsid w:val="6A257C7E"/>
    <w:rsid w:val="6AAD2156"/>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65867"/>
    <w:rsid w:val="6E5246F3"/>
    <w:rsid w:val="6F3326BD"/>
    <w:rsid w:val="6F5B19D4"/>
    <w:rsid w:val="6FBD5643"/>
    <w:rsid w:val="6FC50CC6"/>
    <w:rsid w:val="6FDF215C"/>
    <w:rsid w:val="6FF979C2"/>
    <w:rsid w:val="707123F1"/>
    <w:rsid w:val="70A709CF"/>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53F7B"/>
    <w:rsid w:val="7AE9123F"/>
    <w:rsid w:val="7AED3D24"/>
    <w:rsid w:val="7AFC3A32"/>
    <w:rsid w:val="7B237139"/>
    <w:rsid w:val="7B323F28"/>
    <w:rsid w:val="7B463FC9"/>
    <w:rsid w:val="7B4D150D"/>
    <w:rsid w:val="7B504D7D"/>
    <w:rsid w:val="7BB05565"/>
    <w:rsid w:val="7BBB5446"/>
    <w:rsid w:val="7BEA3458"/>
    <w:rsid w:val="7C0163B0"/>
    <w:rsid w:val="7C025169"/>
    <w:rsid w:val="7C682867"/>
    <w:rsid w:val="7C6C7F23"/>
    <w:rsid w:val="7CA51C7D"/>
    <w:rsid w:val="7CD05611"/>
    <w:rsid w:val="7D524A37"/>
    <w:rsid w:val="7DA418C3"/>
    <w:rsid w:val="7DEA78A4"/>
    <w:rsid w:val="7E454CA6"/>
    <w:rsid w:val="7E8B0CEF"/>
    <w:rsid w:val="7EA93097"/>
    <w:rsid w:val="7F143F12"/>
    <w:rsid w:val="7F1E73A2"/>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toa heading"/>
    <w:basedOn w:val="1"/>
    <w:next w:val="1"/>
    <w:qFormat/>
    <w:uiPriority w:val="99"/>
    <w:pPr>
      <w:spacing w:before="120"/>
    </w:pPr>
    <w:rPr>
      <w:rFonts w:ascii="Arial" w:hAnsi="Arial" w:cs="Arial"/>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style>
  <w:style w:type="paragraph" w:styleId="9">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2"/>
    <w:basedOn w:val="9"/>
    <w:unhideWhenUsed/>
    <w:qFormat/>
    <w:uiPriority w:val="0"/>
    <w:pPr>
      <w:spacing w:after="120" w:line="240" w:lineRule="auto"/>
      <w:ind w:left="420" w:leftChars="200" w:firstLine="420" w:firstLineChars="200"/>
    </w:pPr>
    <w:rPr>
      <w:sz w:val="21"/>
      <w:szCs w:val="21"/>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semiHidden/>
    <w:unhideWhenUsed/>
    <w:qFormat/>
    <w:uiPriority w:val="0"/>
  </w:style>
  <w:style w:type="character" w:styleId="28">
    <w:name w:val="HTML Keyboard"/>
    <w:basedOn w:val="20"/>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semiHidden/>
    <w:unhideWhenUsed/>
    <w:qFormat/>
    <w:uiPriority w:val="0"/>
    <w:rPr>
      <w:rFonts w:ascii="Consolas" w:hAnsi="Consolas" w:eastAsia="Consolas" w:cs="Consolas"/>
      <w:sz w:val="21"/>
      <w:szCs w:val="21"/>
    </w:rPr>
  </w:style>
  <w:style w:type="paragraph" w:customStyle="1" w:styleId="30">
    <w:name w:val="Quote"/>
    <w:basedOn w:val="1"/>
    <w:next w:val="1"/>
    <w:qFormat/>
    <w:uiPriority w:val="99"/>
    <w:rPr>
      <w:rFonts w:ascii="Calibri" w:hAnsi="Calibri" w:cs="Calibri"/>
      <w:i/>
      <w:iCs/>
      <w:color w:val="000000"/>
      <w:sz w:val="22"/>
      <w:szCs w:val="22"/>
    </w:r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样式3"/>
    <w:basedOn w:val="10"/>
    <w:qFormat/>
    <w:uiPriority w:val="0"/>
    <w:pPr>
      <w:spacing w:line="0" w:lineRule="atLeast"/>
      <w:outlineLvl w:val="0"/>
    </w:pPr>
    <w:rPr>
      <w:sz w:val="28"/>
      <w:szCs w:val="24"/>
    </w:rPr>
  </w:style>
  <w:style w:type="paragraph" w:customStyle="1" w:styleId="33">
    <w:name w:val="正文1"/>
    <w:qFormat/>
    <w:uiPriority w:val="0"/>
    <w:pPr>
      <w:jc w:val="both"/>
    </w:pPr>
    <w:rPr>
      <w:rFonts w:ascii="Calibri" w:hAnsi="Calibri" w:eastAsia="宋体" w:cs="宋体"/>
      <w:kern w:val="2"/>
      <w:sz w:val="21"/>
      <w:szCs w:val="21"/>
      <w:lang w:val="en-US" w:eastAsia="zh-CN" w:bidi="ar-SA"/>
    </w:rPr>
  </w:style>
  <w:style w:type="paragraph" w:customStyle="1" w:styleId="34">
    <w:name w:val="Normal_18"/>
    <w:qFormat/>
    <w:uiPriority w:val="0"/>
    <w:rPr>
      <w:rFonts w:ascii="Times New Roman" w:hAnsi="Times New Roman" w:eastAsia="宋体" w:cs="Times New Roman"/>
      <w:sz w:val="21"/>
      <w:lang w:val="en-US" w:eastAsia="zh-CN" w:bidi="ar-SA"/>
    </w:rPr>
  </w:style>
  <w:style w:type="character" w:customStyle="1" w:styleId="35">
    <w:name w:val="ndata"/>
    <w:basedOn w:val="20"/>
    <w:qFormat/>
    <w:uiPriority w:val="0"/>
    <w:rPr>
      <w:color w:val="AAAAAA"/>
    </w:rPr>
  </w:style>
  <w:style w:type="character" w:customStyle="1" w:styleId="36">
    <w:name w:val="NormalCharacter"/>
    <w:qFormat/>
    <w:uiPriority w:val="0"/>
    <w:rPr>
      <w:sz w:val="21"/>
      <w:lang w:val="en-US" w:eastAsia="zh-CN" w:bidi="ar-SA"/>
    </w:rPr>
  </w:style>
  <w:style w:type="paragraph" w:customStyle="1" w:styleId="37">
    <w:name w:val="正文2"/>
    <w:basedOn w:val="1"/>
    <w:qFormat/>
    <w:uiPriority w:val="0"/>
    <w:pPr>
      <w:spacing w:before="156" w:line="360" w:lineRule="auto"/>
      <w:ind w:firstLine="510" w:firstLineChars="200"/>
    </w:pPr>
    <w:rPr>
      <w:sz w:val="24"/>
    </w:rPr>
  </w:style>
  <w:style w:type="paragraph" w:customStyle="1" w:styleId="38">
    <w:name w:val="NormalIndent"/>
    <w:basedOn w:val="1"/>
    <w:qFormat/>
    <w:uiPriority w:val="0"/>
    <w:pPr>
      <w:widowControl/>
      <w:ind w:firstLine="200" w:firstLineChars="200"/>
      <w:textAlignment w:val="baseline"/>
    </w:pPr>
    <w:rPr>
      <w:rFonts w:ascii="Calibri" w:hAnsi="Calibri"/>
    </w:rPr>
  </w:style>
  <w:style w:type="paragraph" w:styleId="39">
    <w:name w:val="List Paragraph"/>
    <w:basedOn w:val="1"/>
    <w:qFormat/>
    <w:uiPriority w:val="34"/>
    <w:pPr>
      <w:ind w:firstLine="420" w:firstLineChars="200"/>
    </w:pPr>
  </w:style>
  <w:style w:type="paragraph" w:customStyle="1" w:styleId="4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1">
    <w:name w:val="active5"/>
    <w:basedOn w:val="20"/>
    <w:qFormat/>
    <w:uiPriority w:val="0"/>
    <w:rPr>
      <w:color w:val="FFFFFF"/>
      <w:shd w:val="clear" w:fill="428BCA"/>
    </w:rPr>
  </w:style>
  <w:style w:type="character" w:customStyle="1" w:styleId="42">
    <w:name w:val="ui-jqgrid-resize"/>
    <w:basedOn w:val="20"/>
    <w:qFormat/>
    <w:uiPriority w:val="0"/>
  </w:style>
  <w:style w:type="character" w:customStyle="1" w:styleId="43">
    <w:name w:val="ui-icon37"/>
    <w:basedOn w:val="20"/>
    <w:qFormat/>
    <w:uiPriority w:val="0"/>
  </w:style>
  <w:style w:type="character" w:customStyle="1" w:styleId="44">
    <w:name w:val="ui-icon38"/>
    <w:basedOn w:val="20"/>
    <w:qFormat/>
    <w:uiPriority w:val="0"/>
  </w:style>
  <w:style w:type="character" w:customStyle="1" w:styleId="45">
    <w:name w:val="ui-icon39"/>
    <w:basedOn w:val="20"/>
    <w:qFormat/>
    <w:uiPriority w:val="0"/>
  </w:style>
  <w:style w:type="character" w:customStyle="1" w:styleId="46">
    <w:name w:val="input-icon2"/>
    <w:basedOn w:val="20"/>
    <w:qFormat/>
    <w:uiPriority w:val="0"/>
  </w:style>
  <w:style w:type="character" w:customStyle="1" w:styleId="47">
    <w:name w:val="before"/>
    <w:basedOn w:val="20"/>
    <w:qFormat/>
    <w:uiPriority w:val="0"/>
    <w:rPr>
      <w:rFonts w:hint="default" w:ascii="FontAwesome" w:hAnsi="FontAwesome" w:eastAsia="FontAwesome" w:cs="FontAwesome"/>
      <w:color w:val="888888"/>
    </w:rPr>
  </w:style>
  <w:style w:type="character" w:customStyle="1" w:styleId="48">
    <w:name w:val="before1"/>
    <w:basedOn w:val="20"/>
    <w:qFormat/>
    <w:uiPriority w:val="0"/>
    <w:rPr>
      <w:rFonts w:hint="default" w:ascii="FontAwesome" w:hAnsi="FontAwesome" w:eastAsia="FontAwesome" w:cs="FontAwesome"/>
      <w:color w:val="888888"/>
    </w:rPr>
  </w:style>
  <w:style w:type="character" w:customStyle="1" w:styleId="49">
    <w:name w:val="hover6"/>
    <w:basedOn w:val="20"/>
    <w:qFormat/>
    <w:uiPriority w:val="0"/>
    <w:rPr>
      <w:shd w:val="clear" w:fill="EEEEEE"/>
    </w:rPr>
  </w:style>
  <w:style w:type="character" w:customStyle="1" w:styleId="50">
    <w:name w:val="old"/>
    <w:basedOn w:val="20"/>
    <w:qFormat/>
    <w:uiPriority w:val="0"/>
    <w:rPr>
      <w:color w:val="999999"/>
    </w:rPr>
  </w:style>
  <w:style w:type="character" w:customStyle="1" w:styleId="51">
    <w:name w:val="ui-icon40"/>
    <w:basedOn w:val="20"/>
    <w:qFormat/>
    <w:uiPriority w:val="0"/>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3">
    <w:name w:val="font31"/>
    <w:basedOn w:val="20"/>
    <w:qFormat/>
    <w:uiPriority w:val="0"/>
    <w:rPr>
      <w:rFonts w:hint="default" w:ascii="Arial" w:hAnsi="Arial" w:cs="Arial"/>
      <w:b/>
      <w:color w:val="000000"/>
      <w:sz w:val="24"/>
      <w:szCs w:val="24"/>
      <w:u w:val="none"/>
    </w:rPr>
  </w:style>
  <w:style w:type="character" w:customStyle="1" w:styleId="54">
    <w:name w:val="font81"/>
    <w:basedOn w:val="20"/>
    <w:qFormat/>
    <w:uiPriority w:val="0"/>
    <w:rPr>
      <w:rFonts w:ascii="新宋体" w:hAnsi="新宋体" w:eastAsia="新宋体" w:cs="新宋体"/>
      <w:color w:val="000000"/>
      <w:sz w:val="21"/>
      <w:szCs w:val="21"/>
      <w:u w:val="none"/>
    </w:rPr>
  </w:style>
  <w:style w:type="character" w:customStyle="1" w:styleId="55">
    <w:name w:val="font41"/>
    <w:basedOn w:val="20"/>
    <w:qFormat/>
    <w:uiPriority w:val="0"/>
    <w:rPr>
      <w:rFonts w:hint="default" w:ascii="Times New Roman" w:hAnsi="Times New Roman" w:cs="Times New Roman"/>
      <w:color w:val="000000"/>
      <w:sz w:val="18"/>
      <w:szCs w:val="18"/>
      <w:u w:val="none"/>
    </w:rPr>
  </w:style>
  <w:style w:type="character" w:customStyle="1" w:styleId="56">
    <w:name w:val="font51"/>
    <w:basedOn w:val="20"/>
    <w:qFormat/>
    <w:uiPriority w:val="0"/>
    <w:rPr>
      <w:rFonts w:hint="eastAsia" w:ascii="宋体" w:hAnsi="宋体" w:eastAsia="宋体" w:cs="宋体"/>
      <w:b/>
      <w:color w:val="000000"/>
      <w:sz w:val="32"/>
      <w:szCs w:val="32"/>
      <w:u w:val="none"/>
    </w:rPr>
  </w:style>
  <w:style w:type="character" w:customStyle="1" w:styleId="57">
    <w:name w:val="font01"/>
    <w:basedOn w:val="20"/>
    <w:qFormat/>
    <w:uiPriority w:val="0"/>
    <w:rPr>
      <w:rFonts w:hint="eastAsia" w:ascii="宋体" w:hAnsi="宋体" w:eastAsia="宋体" w:cs="宋体"/>
      <w:color w:val="000000"/>
      <w:sz w:val="24"/>
      <w:szCs w:val="24"/>
      <w:u w:val="none"/>
    </w:rPr>
  </w:style>
  <w:style w:type="character" w:customStyle="1" w:styleId="58">
    <w:name w:val="font71"/>
    <w:basedOn w:val="20"/>
    <w:qFormat/>
    <w:uiPriority w:val="0"/>
    <w:rPr>
      <w:rFonts w:hint="default" w:ascii="仿宋_GB2312" w:eastAsia="仿宋_GB2312" w:cs="仿宋_GB2312"/>
      <w:b/>
      <w:bCs/>
      <w:color w:val="000000"/>
      <w:sz w:val="32"/>
      <w:szCs w:val="32"/>
      <w:u w:val="none"/>
    </w:rPr>
  </w:style>
  <w:style w:type="character" w:customStyle="1" w:styleId="59">
    <w:name w:val="active1"/>
    <w:basedOn w:val="20"/>
    <w:qFormat/>
    <w:uiPriority w:val="0"/>
    <w:rPr>
      <w:color w:val="FFFFFF"/>
      <w:shd w:val="clear" w:fill="428BCA"/>
    </w:rPr>
  </w:style>
  <w:style w:type="character" w:customStyle="1" w:styleId="60">
    <w:name w:val="hover5"/>
    <w:basedOn w:val="20"/>
    <w:qFormat/>
    <w:uiPriority w:val="0"/>
    <w:rPr>
      <w:shd w:val="clear" w:fill="EEEEEE"/>
    </w:rPr>
  </w:style>
  <w:style w:type="character" w:customStyle="1" w:styleId="61">
    <w:name w:val="ui-jqgrid-resize2"/>
    <w:basedOn w:val="20"/>
    <w:qFormat/>
    <w:uiPriority w:val="0"/>
  </w:style>
  <w:style w:type="paragraph" w:customStyle="1" w:styleId="62">
    <w:name w:val="日期1"/>
    <w:basedOn w:val="1"/>
    <w:qFormat/>
    <w:uiPriority w:val="0"/>
    <w:rPr>
      <w:rFonts w:ascii="楷体_GB2312" w:eastAsia="楷体_GB2312"/>
      <w:b/>
      <w:sz w:val="28"/>
      <w:szCs w:val="20"/>
    </w:rPr>
  </w:style>
  <w:style w:type="paragraph" w:customStyle="1" w:styleId="63">
    <w:name w:val="正文文本缩进1"/>
    <w:basedOn w:val="1"/>
    <w:qFormat/>
    <w:uiPriority w:val="0"/>
    <w:pPr>
      <w:ind w:firstLine="560" w:firstLineChars="200"/>
      <w:jc w:val="left"/>
    </w:pPr>
    <w:rPr>
      <w:rFonts w:ascii="宋体" w:hAnsi="宋体"/>
      <w:bCs/>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45</Pages>
  <Words>3939</Words>
  <Characters>4116</Characters>
  <Lines>701</Lines>
  <Paragraphs>197</Paragraphs>
  <TotalTime>12</TotalTime>
  <ScaleCrop>false</ScaleCrop>
  <LinksUpToDate>false</LinksUpToDate>
  <CharactersWithSpaces>4153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Smart 洋</cp:lastModifiedBy>
  <cp:lastPrinted>2021-11-04T02:19:00Z</cp:lastPrinted>
  <dcterms:modified xsi:type="dcterms:W3CDTF">2024-12-13T10:16:51Z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D7402C4630DA41039757EE806C14C223</vt:lpwstr>
  </property>
</Properties>
</file>