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821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jc w:val="both"/>
        <w:textAlignment w:val="auto"/>
        <w:rPr>
          <w:rFonts w:hint="eastAsia" w:ascii="黑体" w:hAnsi="黑体" w:eastAsia="黑体" w:cs="黑体"/>
          <w:b w:val="0"/>
          <w:bCs w:val="0"/>
          <w:color w:val="auto"/>
          <w:kern w:val="2"/>
          <w:sz w:val="32"/>
          <w:szCs w:val="32"/>
          <w:highlight w:val="none"/>
          <w:lang w:val="en-US" w:eastAsia="zh-CN" w:bidi="ar"/>
        </w:rPr>
      </w:pPr>
      <w:r>
        <w:rPr>
          <w:rFonts w:hint="eastAsia" w:ascii="黑体" w:hAnsi="黑体" w:eastAsia="黑体" w:cs="黑体"/>
          <w:b w:val="0"/>
          <w:bCs w:val="0"/>
          <w:color w:val="auto"/>
          <w:kern w:val="2"/>
          <w:sz w:val="32"/>
          <w:szCs w:val="32"/>
          <w:highlight w:val="none"/>
          <w:lang w:val="en-US" w:eastAsia="zh-CN" w:bidi="ar"/>
        </w:rPr>
        <w:t>附件四</w:t>
      </w:r>
    </w:p>
    <w:p w14:paraId="2880E9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jc w:val="center"/>
        <w:textAlignment w:val="auto"/>
        <w:rPr>
          <w:rFonts w:ascii="方正小标宋简体" w:hAnsi="方正小标宋简体" w:eastAsia="方正小标宋简体" w:cs="方正小标宋简体"/>
          <w:b w:val="0"/>
          <w:bCs w:val="0"/>
          <w:color w:val="auto"/>
          <w:kern w:val="2"/>
          <w:sz w:val="44"/>
          <w:szCs w:val="44"/>
          <w:highlight w:val="none"/>
          <w:lang w:val="en-US" w:eastAsia="zh-CN" w:bidi="ar"/>
        </w:rPr>
      </w:pPr>
    </w:p>
    <w:p w14:paraId="57A6D8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jc w:val="center"/>
        <w:textAlignment w:val="auto"/>
        <w:rPr>
          <w:rFonts w:ascii="方正小标宋简体" w:hAnsi="方正小标宋简体" w:eastAsia="方正小标宋简体" w:cs="方正小标宋简体"/>
          <w:b w:val="0"/>
          <w:bCs w:val="0"/>
          <w:color w:val="auto"/>
          <w:kern w:val="2"/>
          <w:sz w:val="44"/>
          <w:szCs w:val="44"/>
          <w:highlight w:val="none"/>
        </w:rPr>
      </w:pPr>
      <w:r>
        <w:rPr>
          <w:rFonts w:ascii="方正小标宋简体" w:hAnsi="方正小标宋简体" w:eastAsia="方正小标宋简体" w:cs="方正小标宋简体"/>
          <w:b w:val="0"/>
          <w:bCs w:val="0"/>
          <w:color w:val="auto"/>
          <w:kern w:val="2"/>
          <w:sz w:val="44"/>
          <w:szCs w:val="44"/>
          <w:highlight w:val="none"/>
          <w:lang w:val="en-US" w:eastAsia="zh-CN" w:bidi="ar"/>
        </w:rPr>
        <w:t>海口江东新区关于支持金融产业</w:t>
      </w:r>
    </w:p>
    <w:p w14:paraId="49740A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jc w:val="center"/>
        <w:textAlignment w:val="auto"/>
        <w:rPr>
          <w:rFonts w:ascii="仿宋" w:hAnsi="仿宋" w:eastAsia="仿宋" w:cs="仿宋"/>
          <w:b w:val="0"/>
          <w:bCs w:val="0"/>
          <w:color w:val="auto"/>
          <w:kern w:val="2"/>
          <w:sz w:val="44"/>
          <w:szCs w:val="44"/>
          <w:highlight w:val="none"/>
        </w:rPr>
      </w:pPr>
      <w:r>
        <w:rPr>
          <w:rFonts w:ascii="方正小标宋简体" w:hAnsi="方正小标宋简体" w:eastAsia="方正小标宋简体" w:cs="方正小标宋简体"/>
          <w:b w:val="0"/>
          <w:bCs w:val="0"/>
          <w:color w:val="auto"/>
          <w:kern w:val="2"/>
          <w:sz w:val="44"/>
          <w:szCs w:val="44"/>
          <w:highlight w:val="none"/>
          <w:lang w:val="en-US" w:eastAsia="zh-CN" w:bidi="ar"/>
        </w:rPr>
        <w:t>高质量发展的若干措施</w:t>
      </w:r>
    </w:p>
    <w:p w14:paraId="46414F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 w:hAnsi="仿宋" w:eastAsia="仿宋" w:cs="仿宋"/>
          <w:color w:val="auto"/>
          <w:kern w:val="2"/>
          <w:sz w:val="32"/>
          <w:szCs w:val="32"/>
          <w:highlight w:val="none"/>
        </w:rPr>
      </w:pPr>
    </w:p>
    <w:p w14:paraId="743E05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为</w:t>
      </w:r>
      <w:r>
        <w:rPr>
          <w:rFonts w:hint="eastAsia" w:ascii="仿宋_GB2312" w:hAnsi="Times New Roman" w:eastAsia="仿宋_GB2312" w:cs="仿宋_GB2312"/>
          <w:color w:val="auto"/>
          <w:kern w:val="2"/>
          <w:sz w:val="32"/>
          <w:szCs w:val="32"/>
          <w:highlight w:val="none"/>
          <w:lang w:val="en-US" w:eastAsia="zh" w:bidi="ar"/>
        </w:rPr>
        <w:t>进一步</w:t>
      </w:r>
      <w:r>
        <w:rPr>
          <w:rFonts w:ascii="仿宋_GB2312" w:hAnsi="Times New Roman" w:eastAsia="仿宋_GB2312" w:cs="仿宋_GB2312"/>
          <w:color w:val="auto"/>
          <w:kern w:val="2"/>
          <w:sz w:val="32"/>
          <w:szCs w:val="32"/>
          <w:highlight w:val="none"/>
          <w:lang w:val="en-US" w:eastAsia="zh-CN" w:bidi="ar"/>
        </w:rPr>
        <w:t>落实《关于金融支持海口建设自由贸易港核心引领区的意见》，加快海口江东新区（以下简称：江东新区）金融产业高质量发展，助力打造“两区一地”定位，结合园区实际，特制定本措施。</w:t>
      </w:r>
    </w:p>
    <w:p w14:paraId="50378D6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第一条 支持对象。</w:t>
      </w:r>
      <w:r>
        <w:rPr>
          <w:rFonts w:ascii="仿宋_GB2312" w:hAnsi="Calibri" w:eastAsia="仿宋_GB2312" w:cs="仿宋_GB2312"/>
          <w:i w:val="0"/>
          <w:iCs w:val="0"/>
          <w:caps w:val="0"/>
          <w:color w:val="auto"/>
          <w:spacing w:val="0"/>
          <w:kern w:val="0"/>
          <w:sz w:val="32"/>
          <w:szCs w:val="32"/>
          <w:highlight w:val="none"/>
          <w:lang w:val="en-US" w:eastAsia="zh-CN" w:bidi="ar"/>
        </w:rPr>
        <w:t>本措施主要适用于</w:t>
      </w:r>
      <w:r>
        <w:rPr>
          <w:rFonts w:hint="eastAsia" w:ascii="仿宋_GB2312" w:eastAsia="仿宋_GB2312" w:cs="仿宋_GB2312"/>
          <w:i w:val="0"/>
          <w:iCs w:val="0"/>
          <w:caps w:val="0"/>
          <w:color w:val="auto"/>
          <w:spacing w:val="0"/>
          <w:kern w:val="0"/>
          <w:sz w:val="32"/>
          <w:szCs w:val="32"/>
          <w:highlight w:val="none"/>
          <w:lang w:val="en-US" w:eastAsia="zh" w:bidi="ar"/>
        </w:rPr>
        <w:t>金融企业，是指</w:t>
      </w:r>
      <w:r>
        <w:rPr>
          <w:rFonts w:ascii="仿宋_GB2312" w:hAnsi="Calibri" w:eastAsia="仿宋_GB2312" w:cs="仿宋_GB2312"/>
          <w:i w:val="0"/>
          <w:iCs w:val="0"/>
          <w:caps w:val="0"/>
          <w:color w:val="auto"/>
          <w:spacing w:val="0"/>
          <w:kern w:val="0"/>
          <w:sz w:val="32"/>
          <w:szCs w:val="32"/>
          <w:highlight w:val="none"/>
          <w:lang w:val="en-US" w:eastAsia="zh-CN" w:bidi="ar"/>
        </w:rPr>
        <w:t>注册在江东新区，</w:t>
      </w:r>
      <w:r>
        <w:rPr>
          <w:rFonts w:hint="eastAsia" w:ascii="仿宋_GB2312" w:eastAsia="仿宋_GB2312" w:cs="仿宋_GB2312"/>
          <w:i w:val="0"/>
          <w:iCs w:val="0"/>
          <w:caps w:val="0"/>
          <w:color w:val="auto"/>
          <w:spacing w:val="0"/>
          <w:kern w:val="0"/>
          <w:sz w:val="32"/>
          <w:szCs w:val="32"/>
          <w:highlight w:val="none"/>
          <w:lang w:val="en-US" w:eastAsia="zh" w:bidi="ar"/>
        </w:rPr>
        <w:t>获得国家及地方金融监管部门批复成立</w:t>
      </w:r>
      <w:r>
        <w:rPr>
          <w:rFonts w:hint="eastAsia" w:ascii="仿宋_GB2312" w:eastAsia="仿宋_GB2312" w:cs="仿宋_GB2312"/>
          <w:i w:val="0"/>
          <w:iCs w:val="0"/>
          <w:caps w:val="0"/>
          <w:color w:val="auto"/>
          <w:spacing w:val="0"/>
          <w:kern w:val="0"/>
          <w:sz w:val="32"/>
          <w:szCs w:val="32"/>
          <w:highlight w:val="none"/>
          <w:lang w:val="en-US" w:eastAsia="zh-CN" w:bidi="ar"/>
        </w:rPr>
        <w:t>，且与省、市政府或江东管理局签订协议（包括合作协议、框架协议、用地准入协议等）</w:t>
      </w:r>
      <w:r>
        <w:rPr>
          <w:rFonts w:hint="eastAsia" w:ascii="仿宋_GB2312" w:eastAsia="仿宋_GB2312" w:cs="仿宋_GB2312"/>
          <w:i w:val="0"/>
          <w:iCs w:val="0"/>
          <w:caps w:val="0"/>
          <w:color w:val="auto"/>
          <w:spacing w:val="0"/>
          <w:kern w:val="0"/>
          <w:sz w:val="32"/>
          <w:szCs w:val="32"/>
          <w:highlight w:val="none"/>
          <w:lang w:val="en-US" w:eastAsia="zh" w:bidi="ar"/>
        </w:rPr>
        <w:t>的各类金融机构</w:t>
      </w:r>
      <w:r>
        <w:rPr>
          <w:rFonts w:ascii="仿宋_GB2312" w:hAnsi="Calibri" w:eastAsia="仿宋_GB2312" w:cs="仿宋_GB2312"/>
          <w:i w:val="0"/>
          <w:iCs w:val="0"/>
          <w:caps w:val="0"/>
          <w:color w:val="auto"/>
          <w:spacing w:val="0"/>
          <w:kern w:val="0"/>
          <w:sz w:val="32"/>
          <w:szCs w:val="32"/>
          <w:highlight w:val="none"/>
          <w:lang w:val="en-US" w:eastAsia="zh-CN" w:bidi="ar"/>
        </w:rPr>
        <w:t>。</w:t>
      </w:r>
    </w:p>
    <w:p w14:paraId="0640F9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jc w:val="both"/>
        <w:textAlignment w:val="auto"/>
        <w:rPr>
          <w:rFonts w:ascii="Times New Roman" w:hAnsi="Times New Roman" w:eastAsia="仿宋_GB2312" w:cs="Times New Roman"/>
          <w:color w:val="auto"/>
          <w:kern w:val="2"/>
          <w:sz w:val="32"/>
          <w:szCs w:val="32"/>
          <w:highlight w:val="none"/>
        </w:rPr>
      </w:pPr>
      <w:r>
        <w:rPr>
          <w:rFonts w:hint="eastAsia" w:ascii="黑体" w:hAnsi="黑体" w:eastAsia="黑体" w:cs="黑体"/>
          <w:b w:val="0"/>
          <w:bCs w:val="0"/>
          <w:color w:val="auto"/>
          <w:kern w:val="2"/>
          <w:sz w:val="32"/>
          <w:szCs w:val="32"/>
          <w:highlight w:val="none"/>
          <w:lang w:val="en-US" w:eastAsia="zh-CN" w:bidi="ar"/>
        </w:rPr>
        <w:t>第</w:t>
      </w:r>
      <w:r>
        <w:rPr>
          <w:rFonts w:hint="eastAsia" w:ascii="黑体" w:hAnsi="黑体" w:eastAsia="黑体" w:cs="黑体"/>
          <w:b w:val="0"/>
          <w:bCs w:val="0"/>
          <w:color w:val="auto"/>
          <w:kern w:val="2"/>
          <w:sz w:val="32"/>
          <w:szCs w:val="32"/>
          <w:highlight w:val="none"/>
          <w:lang w:val="en-US" w:eastAsia="zh" w:bidi="ar"/>
        </w:rPr>
        <w:t>二</w:t>
      </w:r>
      <w:r>
        <w:rPr>
          <w:rFonts w:hint="eastAsia" w:ascii="黑体" w:hAnsi="黑体" w:eastAsia="黑体" w:cs="黑体"/>
          <w:b w:val="0"/>
          <w:bCs w:val="0"/>
          <w:color w:val="auto"/>
          <w:kern w:val="2"/>
          <w:sz w:val="32"/>
          <w:szCs w:val="32"/>
          <w:highlight w:val="none"/>
          <w:lang w:val="en-US" w:eastAsia="zh-CN" w:bidi="ar"/>
        </w:rPr>
        <w:t>条 促进法人金融机构集聚。</w:t>
      </w:r>
      <w:r>
        <w:rPr>
          <w:rFonts w:ascii="仿宋_GB2312" w:hAnsi="Times New Roman" w:eastAsia="仿宋_GB2312" w:cs="仿宋_GB2312"/>
          <w:color w:val="auto"/>
          <w:kern w:val="2"/>
          <w:sz w:val="32"/>
          <w:szCs w:val="32"/>
          <w:highlight w:val="none"/>
          <w:lang w:val="en-US" w:eastAsia="zh-CN" w:bidi="ar"/>
        </w:rPr>
        <w:t>支持在江东新区设立各类金融机构，针对新批复开业（或新迁入）的独立法人金融机构，根据实缴注册资本金给予不高于</w:t>
      </w:r>
      <w:r>
        <w:rPr>
          <w:rFonts w:ascii="Times New Roman" w:hAnsi="Times New Roman" w:eastAsia="仿宋_GB2312" w:cs="Times New Roman"/>
          <w:color w:val="auto"/>
          <w:kern w:val="2"/>
          <w:sz w:val="32"/>
          <w:szCs w:val="32"/>
          <w:highlight w:val="none"/>
          <w:lang w:val="en-US" w:eastAsia="zh-CN" w:bidi="ar"/>
        </w:rPr>
        <w:t>2%</w:t>
      </w:r>
      <w:r>
        <w:rPr>
          <w:rFonts w:ascii="仿宋_GB2312" w:hAnsi="Times New Roman" w:eastAsia="仿宋_GB2312" w:cs="仿宋_GB2312"/>
          <w:color w:val="auto"/>
          <w:kern w:val="2"/>
          <w:sz w:val="32"/>
          <w:szCs w:val="32"/>
          <w:highlight w:val="none"/>
          <w:lang w:val="en-US" w:eastAsia="zh-CN" w:bidi="ar"/>
        </w:rPr>
        <w:t>的支持，未达到最高限额的，增资后可以按对应标准申请补足支持差额，最高不超过</w:t>
      </w:r>
      <w:r>
        <w:rPr>
          <w:rFonts w:ascii="Times New Roman" w:hAnsi="Times New Roman" w:eastAsia="仿宋_GB2312" w:cs="Times New Roman"/>
          <w:color w:val="auto"/>
          <w:kern w:val="2"/>
          <w:sz w:val="32"/>
          <w:szCs w:val="32"/>
          <w:highlight w:val="none"/>
          <w:lang w:val="en-US" w:eastAsia="zh-CN" w:bidi="ar"/>
        </w:rPr>
        <w:t>1000</w:t>
      </w:r>
      <w:r>
        <w:rPr>
          <w:rFonts w:ascii="仿宋_GB2312" w:hAnsi="Times New Roman" w:eastAsia="仿宋_GB2312" w:cs="仿宋_GB2312"/>
          <w:color w:val="auto"/>
          <w:kern w:val="2"/>
          <w:sz w:val="32"/>
          <w:szCs w:val="32"/>
          <w:highlight w:val="none"/>
          <w:lang w:val="en-US" w:eastAsia="zh-CN" w:bidi="ar"/>
        </w:rPr>
        <w:t>万元。针对新批复开业（或新迁入）的法人金融机构一级分支机构给予一次性支持</w:t>
      </w:r>
      <w:r>
        <w:rPr>
          <w:rFonts w:hint="eastAsia" w:ascii="Times New Roman" w:hAnsi="Times New Roman" w:eastAsia="仿宋_GB2312" w:cs="Times New Roman"/>
          <w:color w:val="auto"/>
          <w:kern w:val="2"/>
          <w:sz w:val="32"/>
          <w:szCs w:val="32"/>
          <w:highlight w:val="none"/>
          <w:lang w:val="en-US" w:eastAsia="zh-CN" w:bidi="ar"/>
        </w:rPr>
        <w:t>2</w:t>
      </w:r>
      <w:r>
        <w:rPr>
          <w:rFonts w:ascii="Times New Roman" w:hAnsi="Times New Roman" w:eastAsia="仿宋_GB2312" w:cs="Times New Roman"/>
          <w:color w:val="auto"/>
          <w:kern w:val="2"/>
          <w:sz w:val="32"/>
          <w:szCs w:val="32"/>
          <w:highlight w:val="none"/>
          <w:lang w:val="en-US" w:eastAsia="zh-CN" w:bidi="ar"/>
        </w:rPr>
        <w:t>00</w:t>
      </w:r>
      <w:r>
        <w:rPr>
          <w:rFonts w:ascii="仿宋_GB2312" w:hAnsi="Times New Roman" w:eastAsia="仿宋_GB2312" w:cs="仿宋_GB2312"/>
          <w:color w:val="auto"/>
          <w:kern w:val="2"/>
          <w:sz w:val="32"/>
          <w:szCs w:val="32"/>
          <w:highlight w:val="none"/>
          <w:lang w:val="en-US" w:eastAsia="zh-CN" w:bidi="ar"/>
        </w:rPr>
        <w:t>万元。</w:t>
      </w:r>
    </w:p>
    <w:p w14:paraId="127543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jc w:val="both"/>
        <w:textAlignment w:val="auto"/>
        <w:rPr>
          <w:rFonts w:ascii="仿宋_GB2312" w:eastAsia="仿宋_GB2312" w:cs="仿宋_GB2312"/>
          <w:color w:val="auto"/>
          <w:kern w:val="2"/>
          <w:sz w:val="28"/>
          <w:szCs w:val="28"/>
          <w:highlight w:val="none"/>
        </w:rPr>
      </w:pPr>
      <w:r>
        <w:rPr>
          <w:rFonts w:ascii="仿宋_GB2312" w:hAnsi="Times New Roman" w:eastAsia="仿宋_GB2312" w:cs="仿宋_GB2312"/>
          <w:color w:val="auto"/>
          <w:kern w:val="2"/>
          <w:sz w:val="32"/>
          <w:szCs w:val="32"/>
          <w:highlight w:val="none"/>
          <w:lang w:val="en-US" w:eastAsia="zh-CN" w:bidi="ar"/>
        </w:rPr>
        <w:t>本措施所称法人金融机构，是指经国家金融监管部门批准，具有独立法人资格的金融机构，包括银行、证券公司、保险公司、信托公司、财务公司及其子公司、金融租赁公司、消费金融公司、资产管理公司等持有一行两会审批牌照的具有独立法人资格的金融机构。</w:t>
      </w:r>
    </w:p>
    <w:p w14:paraId="78AD2D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jc w:val="both"/>
        <w:textAlignment w:val="auto"/>
        <w:rPr>
          <w:rFonts w:ascii="楷体" w:hAnsi="楷体" w:eastAsia="楷体" w:cs="楷体"/>
          <w:color w:val="auto"/>
          <w:kern w:val="2"/>
          <w:sz w:val="28"/>
          <w:szCs w:val="28"/>
          <w:highlight w:val="none"/>
        </w:rPr>
      </w:pPr>
      <w:r>
        <w:rPr>
          <w:rFonts w:hint="eastAsia" w:ascii="黑体" w:hAnsi="黑体" w:eastAsia="黑体" w:cs="黑体"/>
          <w:b w:val="0"/>
          <w:bCs w:val="0"/>
          <w:color w:val="auto"/>
          <w:kern w:val="2"/>
          <w:sz w:val="32"/>
          <w:szCs w:val="32"/>
          <w:highlight w:val="none"/>
          <w:lang w:val="en-US" w:eastAsia="zh-CN" w:bidi="ar"/>
        </w:rPr>
        <w:t>第</w:t>
      </w:r>
      <w:r>
        <w:rPr>
          <w:rFonts w:hint="eastAsia" w:ascii="黑体" w:hAnsi="黑体" w:eastAsia="黑体" w:cs="黑体"/>
          <w:b w:val="0"/>
          <w:bCs w:val="0"/>
          <w:color w:val="auto"/>
          <w:kern w:val="2"/>
          <w:sz w:val="32"/>
          <w:szCs w:val="32"/>
          <w:highlight w:val="none"/>
          <w:lang w:val="en-US" w:eastAsia="zh" w:bidi="ar"/>
        </w:rPr>
        <w:t>三</w:t>
      </w:r>
      <w:r>
        <w:rPr>
          <w:rFonts w:hint="eastAsia" w:ascii="黑体" w:hAnsi="黑体" w:eastAsia="黑体" w:cs="黑体"/>
          <w:b w:val="0"/>
          <w:bCs w:val="0"/>
          <w:color w:val="auto"/>
          <w:kern w:val="2"/>
          <w:sz w:val="32"/>
          <w:szCs w:val="32"/>
          <w:highlight w:val="none"/>
          <w:lang w:val="en-US" w:eastAsia="zh-CN" w:bidi="ar"/>
        </w:rPr>
        <w:t>条 支持设立跨境资金运营中心。</w:t>
      </w:r>
      <w:r>
        <w:rPr>
          <w:rFonts w:ascii="仿宋_GB2312" w:hAnsi="Times New Roman" w:eastAsia="仿宋_GB2312" w:cs="仿宋_GB2312"/>
          <w:color w:val="auto"/>
          <w:kern w:val="2"/>
          <w:sz w:val="32"/>
          <w:szCs w:val="32"/>
          <w:highlight w:val="none"/>
          <w:lang w:val="en-US" w:eastAsia="zh-CN" w:bidi="ar"/>
        </w:rPr>
        <w:t>鼓励符合条件的大型企业集团依法设立跨境资金集中运营中心，按企业实缴资本的1.5</w:t>
      </w:r>
      <w:r>
        <w:rPr>
          <w:rFonts w:ascii="Times New Roman" w:hAnsi="Times New Roman" w:eastAsia="仿宋_GB2312" w:cs="Times New Roman"/>
          <w:color w:val="auto"/>
          <w:kern w:val="2"/>
          <w:sz w:val="32"/>
          <w:szCs w:val="32"/>
          <w:highlight w:val="none"/>
          <w:lang w:val="en-US" w:eastAsia="zh-CN" w:bidi="ar"/>
        </w:rPr>
        <w:t>%</w:t>
      </w:r>
      <w:r>
        <w:rPr>
          <w:rFonts w:ascii="仿宋_GB2312" w:hAnsi="Times New Roman" w:eastAsia="仿宋_GB2312" w:cs="仿宋_GB2312"/>
          <w:color w:val="auto"/>
          <w:kern w:val="2"/>
          <w:sz w:val="32"/>
          <w:szCs w:val="32"/>
          <w:highlight w:val="none"/>
          <w:lang w:val="en-US" w:eastAsia="zh-CN" w:bidi="ar"/>
        </w:rPr>
        <w:t>给予支持，最高不超过750万元。若为境外公司直接设立或参股设立跨境资金集中运营中心，可按当年度注册资本实缴到位的外资金额的1%给予一次性支持，该支持可与前述按企业实缴资本予以支持条款叠加享受，最高不超过</w:t>
      </w:r>
      <w:r>
        <w:rPr>
          <w:rFonts w:hint="eastAsia" w:ascii="仿宋_GB2312" w:hAnsi="Times New Roman" w:eastAsia="仿宋_GB2312" w:cs="仿宋_GB2312"/>
          <w:color w:val="auto"/>
          <w:kern w:val="2"/>
          <w:sz w:val="32"/>
          <w:szCs w:val="32"/>
          <w:highlight w:val="none"/>
          <w:lang w:val="en-US" w:eastAsia="zh" w:bidi="ar"/>
        </w:rPr>
        <w:t>10</w:t>
      </w:r>
      <w:r>
        <w:rPr>
          <w:rFonts w:ascii="仿宋_GB2312" w:hAnsi="Times New Roman" w:eastAsia="仿宋_GB2312" w:cs="仿宋_GB2312"/>
          <w:color w:val="auto"/>
          <w:kern w:val="2"/>
          <w:sz w:val="32"/>
          <w:szCs w:val="32"/>
          <w:highlight w:val="none"/>
          <w:lang w:val="en-US" w:eastAsia="zh-CN" w:bidi="ar"/>
        </w:rPr>
        <w:t>00万元。未达到最高限额的，增资后可以按对应标准申请补足支持差额。</w:t>
      </w:r>
    </w:p>
    <w:p w14:paraId="64F16455">
      <w:pPr>
        <w:pStyle w:val="4"/>
        <w:keepNext w:val="0"/>
        <w:keepLines w:val="0"/>
        <w:pageBreakBefore w:val="0"/>
        <w:widowControl/>
        <w:kinsoku/>
        <w:wordWrap/>
        <w:overflowPunct/>
        <w:topLinePunct w:val="0"/>
        <w:autoSpaceDE/>
        <w:autoSpaceDN/>
        <w:bidi w:val="0"/>
        <w:adjustRightInd/>
        <w:snapToGrid/>
        <w:spacing w:beforeAutospacing="0" w:after="0" w:afterAutospacing="0" w:line="576" w:lineRule="exact"/>
        <w:ind w:left="0" w:leftChars="0" w:right="0" w:firstLine="640"/>
        <w:textAlignment w:val="auto"/>
        <w:rPr>
          <w:rFonts w:ascii="Times New Roman" w:hAnsi="仿宋_GB2312" w:eastAsia="宋体" w:cs="仿宋_GB2312"/>
          <w:color w:val="auto"/>
          <w:kern w:val="2"/>
          <w:sz w:val="32"/>
          <w:szCs w:val="32"/>
          <w:highlight w:val="none"/>
        </w:rPr>
      </w:pPr>
      <w:r>
        <w:rPr>
          <w:rFonts w:hint="eastAsia" w:ascii="黑体" w:hAnsi="黑体" w:eastAsia="黑体" w:cs="黑体"/>
          <w:b w:val="0"/>
          <w:bCs w:val="0"/>
          <w:color w:val="auto"/>
          <w:kern w:val="2"/>
          <w:sz w:val="32"/>
          <w:szCs w:val="32"/>
          <w:highlight w:val="none"/>
          <w:lang w:val="en-US" w:eastAsia="zh-CN" w:bidi="ar"/>
        </w:rPr>
        <w:t>第</w:t>
      </w:r>
      <w:r>
        <w:rPr>
          <w:rFonts w:hint="eastAsia" w:ascii="黑体" w:hAnsi="黑体" w:eastAsia="黑体" w:cs="黑体"/>
          <w:b w:val="0"/>
          <w:bCs w:val="0"/>
          <w:color w:val="auto"/>
          <w:kern w:val="2"/>
          <w:sz w:val="32"/>
          <w:szCs w:val="32"/>
          <w:highlight w:val="none"/>
          <w:lang w:val="en-US" w:eastAsia="zh" w:bidi="ar"/>
        </w:rPr>
        <w:t>四</w:t>
      </w:r>
      <w:r>
        <w:rPr>
          <w:rFonts w:hint="eastAsia" w:ascii="黑体" w:hAnsi="黑体" w:eastAsia="黑体" w:cs="黑体"/>
          <w:b w:val="0"/>
          <w:bCs w:val="0"/>
          <w:color w:val="auto"/>
          <w:kern w:val="2"/>
          <w:sz w:val="32"/>
          <w:szCs w:val="32"/>
          <w:highlight w:val="none"/>
          <w:lang w:val="en-US" w:eastAsia="zh-CN" w:bidi="ar"/>
        </w:rPr>
        <w:t>条 鼓励提升公募基金规模。</w:t>
      </w:r>
      <w:r>
        <w:rPr>
          <w:rFonts w:ascii="仿宋_GB2312" w:eastAsia="仿宋_GB2312" w:cs="仿宋_GB2312"/>
          <w:color w:val="auto"/>
          <w:kern w:val="2"/>
          <w:sz w:val="32"/>
          <w:szCs w:val="32"/>
          <w:highlight w:val="none"/>
        </w:rPr>
        <w:t>对区域内公募基金管理机构，在管理规模达到5亿元（含）以上时，按不高于管理总规模的0.5‰比例给予一次性支持。对区域内独立基金销售机构，其销售的公募基金保有规模达到50亿元（含）以上时，按不高于总规模的0.03‰比例给予一次性支持。上述两类</w:t>
      </w:r>
      <w:r>
        <w:rPr>
          <w:rFonts w:ascii="仿宋_GB2312" w:hAnsi="Times New Roman" w:eastAsia="仿宋_GB2312" w:cs="仿宋_GB2312"/>
          <w:color w:val="auto"/>
          <w:kern w:val="2"/>
          <w:sz w:val="32"/>
          <w:szCs w:val="32"/>
          <w:highlight w:val="none"/>
        </w:rPr>
        <w:t>规模增加后可以按对应标准申请补足</w:t>
      </w:r>
      <w:r>
        <w:rPr>
          <w:rFonts w:hint="eastAsia" w:ascii="宋体" w:hAnsi="宋体" w:eastAsia="宋体" w:cs="宋体"/>
          <w:color w:val="auto"/>
          <w:kern w:val="2"/>
          <w:sz w:val="32"/>
          <w:szCs w:val="32"/>
          <w:highlight w:val="none"/>
        </w:rPr>
        <w:t>支持</w:t>
      </w:r>
      <w:r>
        <w:rPr>
          <w:rFonts w:ascii="仿宋_GB2312" w:hAnsi="Times New Roman" w:eastAsia="仿宋_GB2312" w:cs="仿宋_GB2312"/>
          <w:color w:val="auto"/>
          <w:kern w:val="2"/>
          <w:sz w:val="32"/>
          <w:szCs w:val="32"/>
          <w:highlight w:val="none"/>
        </w:rPr>
        <w:t>差额，</w:t>
      </w:r>
      <w:r>
        <w:rPr>
          <w:rFonts w:ascii="仿宋_GB2312" w:eastAsia="仿宋_GB2312" w:cs="仿宋_GB2312"/>
          <w:color w:val="auto"/>
          <w:kern w:val="2"/>
          <w:sz w:val="32"/>
          <w:szCs w:val="32"/>
          <w:highlight w:val="none"/>
        </w:rPr>
        <w:t>最高不超过300万元。</w:t>
      </w:r>
    </w:p>
    <w:p w14:paraId="4634DE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28"/>
          <w:szCs w:val="28"/>
          <w:highlight w:val="none"/>
        </w:rPr>
      </w:pPr>
      <w:r>
        <w:rPr>
          <w:rFonts w:hint="eastAsia" w:ascii="黑体" w:hAnsi="黑体" w:eastAsia="黑体" w:cs="黑体"/>
          <w:b w:val="0"/>
          <w:bCs w:val="0"/>
          <w:color w:val="auto"/>
          <w:kern w:val="2"/>
          <w:sz w:val="32"/>
          <w:szCs w:val="32"/>
          <w:highlight w:val="none"/>
          <w:lang w:val="en-US" w:eastAsia="zh-CN" w:bidi="ar"/>
        </w:rPr>
        <w:t>第</w:t>
      </w:r>
      <w:r>
        <w:rPr>
          <w:rFonts w:hint="eastAsia" w:ascii="黑体" w:hAnsi="黑体" w:eastAsia="黑体" w:cs="黑体"/>
          <w:b w:val="0"/>
          <w:bCs w:val="0"/>
          <w:color w:val="auto"/>
          <w:kern w:val="2"/>
          <w:sz w:val="32"/>
          <w:szCs w:val="32"/>
          <w:highlight w:val="none"/>
          <w:lang w:val="en-US" w:eastAsia="zh" w:bidi="ar"/>
        </w:rPr>
        <w:t>五</w:t>
      </w:r>
      <w:r>
        <w:rPr>
          <w:rFonts w:hint="eastAsia" w:ascii="黑体" w:hAnsi="黑体" w:eastAsia="黑体" w:cs="黑体"/>
          <w:b w:val="0"/>
          <w:bCs w:val="0"/>
          <w:color w:val="auto"/>
          <w:kern w:val="2"/>
          <w:sz w:val="32"/>
          <w:szCs w:val="32"/>
          <w:highlight w:val="none"/>
          <w:lang w:val="en-US" w:eastAsia="zh-CN" w:bidi="ar"/>
        </w:rPr>
        <w:t>条 鼓励优质私募基金展业。</w:t>
      </w:r>
      <w:r>
        <w:rPr>
          <w:rFonts w:ascii="仿宋_GB2312" w:hAnsi="Times New Roman" w:eastAsia="仿宋_GB2312" w:cs="仿宋_GB2312"/>
          <w:color w:val="auto"/>
          <w:kern w:val="2"/>
          <w:sz w:val="32"/>
          <w:szCs w:val="32"/>
          <w:highlight w:val="none"/>
          <w:lang w:val="en-US" w:eastAsia="zh-CN" w:bidi="ar"/>
        </w:rPr>
        <w:t>对在中基协完成管理人登记备案并成功备案首支产品（纯外资QFLP私募基金产品视同为已备案，下同）的QDLP/QFLP私募基金管理机构、一般私募基金管理机构分别给予20万、10万元的一次性支持，对在中基协完成备案的每支QDLP基金产品给予8万元的一次性支持，对在中基协完成备案的每支私募股权投资基金产品（不含QFLP基金）给予5万元的一次性支持。</w:t>
      </w:r>
    </w:p>
    <w:p w14:paraId="66F092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hAnsi="Times New Roman" w:eastAsia="仿宋_GB2312" w:cs="仿宋_GB2312"/>
          <w:color w:val="auto"/>
          <w:kern w:val="2"/>
          <w:sz w:val="32"/>
          <w:szCs w:val="32"/>
          <w:highlight w:val="none"/>
          <w:lang w:val="en-US" w:eastAsia="zh-CN" w:bidi="ar"/>
        </w:rPr>
      </w:pPr>
      <w:r>
        <w:rPr>
          <w:rFonts w:hint="eastAsia" w:ascii="黑体" w:hAnsi="黑体" w:eastAsia="黑体" w:cs="黑体"/>
          <w:b w:val="0"/>
          <w:bCs w:val="0"/>
          <w:color w:val="auto"/>
          <w:kern w:val="2"/>
          <w:sz w:val="32"/>
          <w:szCs w:val="32"/>
          <w:highlight w:val="none"/>
          <w:lang w:val="en-US" w:eastAsia="zh-CN" w:bidi="ar"/>
        </w:rPr>
        <w:t>第</w:t>
      </w:r>
      <w:r>
        <w:rPr>
          <w:rFonts w:hint="eastAsia" w:ascii="黑体" w:hAnsi="黑体" w:eastAsia="黑体" w:cs="黑体"/>
          <w:b w:val="0"/>
          <w:bCs w:val="0"/>
          <w:color w:val="auto"/>
          <w:kern w:val="2"/>
          <w:sz w:val="32"/>
          <w:szCs w:val="32"/>
          <w:highlight w:val="none"/>
          <w:lang w:val="en-US" w:eastAsia="zh" w:bidi="ar"/>
        </w:rPr>
        <w:t>六</w:t>
      </w:r>
      <w:r>
        <w:rPr>
          <w:rFonts w:hint="eastAsia" w:ascii="黑体" w:hAnsi="黑体" w:eastAsia="黑体" w:cs="黑体"/>
          <w:b w:val="0"/>
          <w:bCs w:val="0"/>
          <w:color w:val="auto"/>
          <w:kern w:val="2"/>
          <w:sz w:val="32"/>
          <w:szCs w:val="32"/>
          <w:highlight w:val="none"/>
          <w:lang w:val="en-US" w:eastAsia="zh-CN" w:bidi="ar"/>
        </w:rPr>
        <w:t>条 鼓励本地私募基金管理机构提升管理规模。</w:t>
      </w:r>
      <w:r>
        <w:rPr>
          <w:rFonts w:ascii="仿宋_GB2312" w:hAnsi="Times New Roman" w:eastAsia="仿宋_GB2312" w:cs="仿宋_GB2312"/>
          <w:color w:val="auto"/>
          <w:kern w:val="2"/>
          <w:sz w:val="32"/>
          <w:szCs w:val="32"/>
          <w:highlight w:val="none"/>
          <w:lang w:val="en-US" w:eastAsia="zh-CN" w:bidi="ar"/>
        </w:rPr>
        <w:t>对管理规模超过3亿元（含）且存续期超过一年以上的私募股权、创业投资基金管理机构在海口新发行的或从省外迁入的基金产品，每年度按照不高于当年管理费收入的3%给予支持；对管理规模超过5亿元（含）且存续期超过一年以上的私募证券投资基金管理机构，每年度按不高于实际管理规模的0.1%给予支持。对海口江东新区存续期超过一年以上的私募基金管理企业，当基金管理规模达30亿元（含）、50亿元（含）、100亿元（含）且存续期超一年以上时，分别给予经营贡献支持30万、50万、100万元。</w:t>
      </w:r>
    </w:p>
    <w:p w14:paraId="39E414A1">
      <w:pPr>
        <w:pStyle w:val="2"/>
        <w:keepNext w:val="0"/>
        <w:keepLines w:val="0"/>
        <w:pageBreakBefore w:val="0"/>
        <w:widowControl/>
        <w:kinsoku/>
        <w:wordWrap/>
        <w:overflowPunct/>
        <w:topLinePunct w:val="0"/>
        <w:autoSpaceDE/>
        <w:autoSpaceDN/>
        <w:bidi w:val="0"/>
        <w:adjustRightInd/>
        <w:snapToGrid/>
        <w:spacing w:before="0" w:beforeAutospacing="0" w:after="0" w:line="576" w:lineRule="exact"/>
        <w:ind w:left="0" w:firstLine="640" w:firstLineChars="200"/>
        <w:textAlignment w:val="auto"/>
        <w:rPr>
          <w:rFonts w:ascii="仿宋_GB2312" w:eastAsia="仿宋_GB2312" w:cs="仿宋_GB2312"/>
          <w:color w:val="auto"/>
          <w:kern w:val="2"/>
          <w:sz w:val="32"/>
          <w:szCs w:val="32"/>
          <w:highlight w:val="none"/>
        </w:rPr>
      </w:pPr>
      <w:r>
        <w:rPr>
          <w:rFonts w:hint="eastAsia" w:ascii="黑体" w:hAnsi="黑体" w:eastAsia="黑体" w:cs="黑体"/>
          <w:b w:val="0"/>
          <w:bCs w:val="0"/>
          <w:color w:val="auto"/>
          <w:kern w:val="2"/>
          <w:sz w:val="32"/>
          <w:szCs w:val="32"/>
          <w:highlight w:val="none"/>
          <w:lang w:val="en-US" w:eastAsia="zh-CN" w:bidi="ar"/>
        </w:rPr>
        <w:t>第</w:t>
      </w:r>
      <w:r>
        <w:rPr>
          <w:rFonts w:hint="eastAsia" w:ascii="黑体" w:hAnsi="黑体" w:eastAsia="黑体" w:cs="黑体"/>
          <w:b w:val="0"/>
          <w:bCs w:val="0"/>
          <w:color w:val="auto"/>
          <w:kern w:val="2"/>
          <w:sz w:val="32"/>
          <w:szCs w:val="32"/>
          <w:highlight w:val="none"/>
          <w:lang w:val="en-US" w:eastAsia="zh" w:bidi="ar"/>
        </w:rPr>
        <w:t>七</w:t>
      </w:r>
      <w:r>
        <w:rPr>
          <w:rFonts w:hint="eastAsia" w:ascii="黑体" w:hAnsi="黑体" w:eastAsia="黑体" w:cs="黑体"/>
          <w:b w:val="0"/>
          <w:bCs w:val="0"/>
          <w:color w:val="auto"/>
          <w:kern w:val="2"/>
          <w:sz w:val="32"/>
          <w:szCs w:val="32"/>
          <w:highlight w:val="none"/>
          <w:lang w:val="en-US" w:eastAsia="zh-CN" w:bidi="ar"/>
        </w:rPr>
        <w:t>条 鼓励新增实际利用外资。</w:t>
      </w:r>
      <w:r>
        <w:rPr>
          <w:rFonts w:ascii="仿宋_GB2312" w:eastAsia="仿宋_GB2312" w:cs="仿宋_GB2312"/>
          <w:b w:val="0"/>
          <w:bCs w:val="0"/>
          <w:color w:val="auto"/>
          <w:kern w:val="2"/>
          <w:sz w:val="32"/>
          <w:szCs w:val="32"/>
          <w:highlight w:val="none"/>
        </w:rPr>
        <w:t>支持外资企业以新设主体、增资扩股、分配利润再投资、股权投资等方式在江东新区进行投资。对当年度新增实际外资金额合计达500万美元（含）以上的外资企业，按年度累计新增实际外资金额的1%予以支持。单个企业年度最高奖励3000万元。</w:t>
      </w:r>
    </w:p>
    <w:p w14:paraId="2036C2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hAnsi="Times New Roman" w:eastAsia="仿宋_GB2312" w:cs="Times New Roman"/>
          <w:color w:val="auto"/>
          <w:kern w:val="2"/>
          <w:sz w:val="32"/>
          <w:szCs w:val="32"/>
          <w:highlight w:val="none"/>
        </w:rPr>
      </w:pPr>
      <w:r>
        <w:rPr>
          <w:rFonts w:hint="eastAsia" w:ascii="黑体" w:hAnsi="黑体" w:eastAsia="黑体" w:cs="黑体"/>
          <w:b w:val="0"/>
          <w:bCs w:val="0"/>
          <w:color w:val="auto"/>
          <w:kern w:val="2"/>
          <w:sz w:val="32"/>
          <w:szCs w:val="32"/>
          <w:highlight w:val="none"/>
          <w:lang w:val="en-US" w:eastAsia="zh-CN" w:bidi="ar"/>
        </w:rPr>
        <w:t>第</w:t>
      </w:r>
      <w:r>
        <w:rPr>
          <w:rFonts w:hint="eastAsia" w:ascii="黑体" w:hAnsi="黑体" w:eastAsia="黑体" w:cs="黑体"/>
          <w:b w:val="0"/>
          <w:bCs w:val="0"/>
          <w:color w:val="auto"/>
          <w:kern w:val="2"/>
          <w:sz w:val="32"/>
          <w:szCs w:val="32"/>
          <w:highlight w:val="none"/>
          <w:lang w:val="en-US" w:eastAsia="zh" w:bidi="ar"/>
        </w:rPr>
        <w:t>八</w:t>
      </w:r>
      <w:r>
        <w:rPr>
          <w:rFonts w:hint="eastAsia" w:ascii="黑体" w:hAnsi="黑体" w:eastAsia="黑体" w:cs="黑体"/>
          <w:b w:val="0"/>
          <w:bCs w:val="0"/>
          <w:color w:val="auto"/>
          <w:kern w:val="2"/>
          <w:sz w:val="32"/>
          <w:szCs w:val="32"/>
          <w:highlight w:val="none"/>
          <w:lang w:val="en-US" w:eastAsia="zh-CN" w:bidi="ar"/>
        </w:rPr>
        <w:t>条 鼓励投资园区项目。</w:t>
      </w:r>
      <w:r>
        <w:rPr>
          <w:rFonts w:ascii="仿宋_GB2312" w:hAnsi="Times New Roman" w:eastAsia="仿宋_GB2312" w:cs="仿宋_GB2312"/>
          <w:color w:val="auto"/>
          <w:kern w:val="2"/>
          <w:sz w:val="32"/>
          <w:szCs w:val="32"/>
          <w:highlight w:val="none"/>
          <w:lang w:val="en-US" w:eastAsia="zh-CN" w:bidi="ar"/>
        </w:rPr>
        <w:t>自2025年1月1日后，投资机构投向江东新区内的企业（含投资后一年内从外省迁入江东新区的企业），按实际到位投资额（扣除省市区各级政府出资金额后，下同）给予股权投资专项支持。上一年度新增实际投资额超过1000万元（含）的，给予实际投资额2%的支持；达到2亿元（含）的，给予实际投资额2.5%的支持。每支基金支持总额不超过1000万元。支持资金在实际投资时按40%比例兑现，在项目完成退出时按60%的比例兑现，项目退出时间超出本政策有效期的，本条政策仍适用。</w:t>
      </w:r>
    </w:p>
    <w:p w14:paraId="3DF8AB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hAnsi="Times New Roman" w:eastAsia="仿宋_GB2312" w:cs="Times New Roman"/>
          <w:color w:val="auto"/>
          <w:kern w:val="2"/>
          <w:sz w:val="32"/>
          <w:szCs w:val="32"/>
          <w:highlight w:val="none"/>
        </w:rPr>
      </w:pPr>
      <w:r>
        <w:rPr>
          <w:rFonts w:hint="eastAsia" w:ascii="黑体" w:hAnsi="黑体" w:eastAsia="黑体" w:cs="黑体"/>
          <w:b w:val="0"/>
          <w:bCs w:val="0"/>
          <w:color w:val="auto"/>
          <w:kern w:val="2"/>
          <w:sz w:val="32"/>
          <w:szCs w:val="32"/>
          <w:highlight w:val="none"/>
          <w:lang w:val="en-US" w:eastAsia="zh-CN" w:bidi="ar"/>
        </w:rPr>
        <w:t>第</w:t>
      </w:r>
      <w:r>
        <w:rPr>
          <w:rFonts w:hint="eastAsia" w:ascii="黑体" w:hAnsi="黑体" w:eastAsia="黑体" w:cs="黑体"/>
          <w:b w:val="0"/>
          <w:bCs w:val="0"/>
          <w:color w:val="auto"/>
          <w:kern w:val="2"/>
          <w:sz w:val="32"/>
          <w:szCs w:val="32"/>
          <w:highlight w:val="none"/>
          <w:lang w:val="en-US" w:eastAsia="zh" w:bidi="ar"/>
        </w:rPr>
        <w:t>九</w:t>
      </w:r>
      <w:r>
        <w:rPr>
          <w:rFonts w:hint="eastAsia" w:ascii="黑体" w:hAnsi="黑体" w:eastAsia="黑体" w:cs="黑体"/>
          <w:b w:val="0"/>
          <w:bCs w:val="0"/>
          <w:color w:val="auto"/>
          <w:kern w:val="2"/>
          <w:sz w:val="32"/>
          <w:szCs w:val="32"/>
          <w:highlight w:val="none"/>
          <w:lang w:val="en-US" w:eastAsia="zh-CN" w:bidi="ar"/>
        </w:rPr>
        <w:t>条 鼓励开展跨境业务。</w:t>
      </w:r>
      <w:r>
        <w:rPr>
          <w:rFonts w:ascii="仿宋_GB2312" w:hAnsi="Times New Roman" w:eastAsia="仿宋_GB2312" w:cs="仿宋_GB2312"/>
          <w:color w:val="auto"/>
          <w:kern w:val="2"/>
          <w:sz w:val="32"/>
          <w:szCs w:val="32"/>
          <w:highlight w:val="none"/>
          <w:lang w:val="en-US" w:eastAsia="zh-CN" w:bidi="ar"/>
        </w:rPr>
        <w:t>支持企业开通EF账户，或以该企业作为本外币跨境资金池主发起人并开展业务，自然年度内企业使用EF账户或本外币跨境资金池国际收支规模达10亿元（含）以上的，给予10万元支持。规模每增加10亿元，再给予10万元支持。每家企业每年所获支持最高不超过50万元。</w:t>
      </w:r>
    </w:p>
    <w:p w14:paraId="1756A993">
      <w:pPr>
        <w:pStyle w:val="2"/>
        <w:keepNext w:val="0"/>
        <w:keepLines w:val="0"/>
        <w:pageBreakBefore w:val="0"/>
        <w:widowControl/>
        <w:kinsoku/>
        <w:wordWrap/>
        <w:overflowPunct/>
        <w:topLinePunct w:val="0"/>
        <w:autoSpaceDE/>
        <w:autoSpaceDN/>
        <w:bidi w:val="0"/>
        <w:adjustRightInd/>
        <w:snapToGrid/>
        <w:spacing w:before="0" w:beforeAutospacing="0" w:after="0" w:line="576" w:lineRule="exact"/>
        <w:ind w:left="0" w:firstLine="640" w:firstLineChars="200"/>
        <w:textAlignment w:val="auto"/>
        <w:rPr>
          <w:rFonts w:ascii="楷体" w:hAnsi="楷体" w:eastAsia="楷体" w:cs="楷体"/>
          <w:color w:val="auto"/>
          <w:kern w:val="2"/>
          <w:sz w:val="28"/>
          <w:szCs w:val="28"/>
          <w:highlight w:val="none"/>
        </w:rPr>
      </w:pPr>
      <w:r>
        <w:rPr>
          <w:rFonts w:hint="eastAsia" w:ascii="黑体" w:hAnsi="黑体" w:eastAsia="黑体" w:cs="黑体"/>
          <w:b w:val="0"/>
          <w:bCs w:val="0"/>
          <w:color w:val="auto"/>
          <w:kern w:val="2"/>
          <w:sz w:val="32"/>
          <w:szCs w:val="32"/>
          <w:highlight w:val="none"/>
          <w:lang w:val="en-US" w:eastAsia="zh-CN" w:bidi="ar"/>
        </w:rPr>
        <w:t>第</w:t>
      </w:r>
      <w:r>
        <w:rPr>
          <w:rFonts w:hint="eastAsia" w:ascii="黑体" w:hAnsi="黑体" w:eastAsia="黑体" w:cs="黑体"/>
          <w:b w:val="0"/>
          <w:bCs w:val="0"/>
          <w:color w:val="auto"/>
          <w:kern w:val="2"/>
          <w:sz w:val="32"/>
          <w:szCs w:val="32"/>
          <w:highlight w:val="none"/>
          <w:lang w:val="en-US" w:eastAsia="zh" w:bidi="ar"/>
        </w:rPr>
        <w:t>十</w:t>
      </w:r>
      <w:r>
        <w:rPr>
          <w:rFonts w:hint="eastAsia" w:ascii="黑体" w:hAnsi="黑体" w:eastAsia="黑体" w:cs="黑体"/>
          <w:b w:val="0"/>
          <w:bCs w:val="0"/>
          <w:color w:val="auto"/>
          <w:kern w:val="2"/>
          <w:sz w:val="32"/>
          <w:szCs w:val="32"/>
          <w:highlight w:val="none"/>
          <w:lang w:val="en-US" w:eastAsia="zh-CN" w:bidi="ar"/>
        </w:rPr>
        <w:t>条 支持琼港、琼澳联动合作开展跨境保险业务。</w:t>
      </w:r>
      <w:r>
        <w:rPr>
          <w:rFonts w:ascii="仿宋_GB2312" w:hAnsi="Times New Roman" w:eastAsia="仿宋_GB2312" w:cs="仿宋_GB2312"/>
          <w:color w:val="auto"/>
          <w:kern w:val="2"/>
          <w:sz w:val="32"/>
          <w:szCs w:val="32"/>
          <w:highlight w:val="none"/>
        </w:rPr>
        <w:t>鼓励优质港资、澳资保险机构与园区以及相关职能部门加强合作。支持符合条件的港澳保险机构在园区探索设立保险和售后服务中心，为购买港澳保险产品的内地居民提供交保、理赔、退保、咨询等跨境资金汇兑服务。对经批准成立的港澳保险售后服务中心，参照第十条支持力度提供人才支持、交通支持等要素。</w:t>
      </w:r>
    </w:p>
    <w:p w14:paraId="0E276355">
      <w:pPr>
        <w:pStyle w:val="7"/>
        <w:keepNext w:val="0"/>
        <w:keepLines w:val="0"/>
        <w:pageBreakBefore w:val="0"/>
        <w:widowControl/>
        <w:kinsoku/>
        <w:wordWrap/>
        <w:overflowPunct/>
        <w:topLinePunct w:val="0"/>
        <w:autoSpaceDE/>
        <w:autoSpaceDN/>
        <w:bidi w:val="0"/>
        <w:adjustRightInd/>
        <w:snapToGrid/>
        <w:spacing w:before="0" w:beforeAutospacing="0" w:after="0" w:line="576" w:lineRule="exact"/>
        <w:ind w:left="0" w:firstLine="640" w:firstLineChars="0"/>
        <w:textAlignment w:val="auto"/>
        <w:rPr>
          <w:rFonts w:hint="eastAsia" w:ascii="仿宋_GB2312" w:eastAsia="仿宋_GB2312" w:cs="仿宋_GB2312"/>
          <w:color w:val="auto"/>
          <w:kern w:val="2"/>
          <w:sz w:val="32"/>
          <w:szCs w:val="32"/>
          <w:highlight w:val="none"/>
          <w:vertAlign w:val="baseline"/>
          <w:lang w:eastAsia="zh-CN"/>
        </w:rPr>
      </w:pPr>
      <w:r>
        <w:rPr>
          <w:rFonts w:hint="eastAsia" w:ascii="黑体" w:hAnsi="黑体" w:eastAsia="黑体" w:cs="黑体"/>
          <w:b w:val="0"/>
          <w:bCs w:val="0"/>
          <w:color w:val="auto"/>
          <w:kern w:val="2"/>
          <w:sz w:val="32"/>
          <w:szCs w:val="32"/>
          <w:highlight w:val="none"/>
          <w:lang w:val="en-US" w:eastAsia="zh-CN" w:bidi="ar"/>
        </w:rPr>
        <w:t>第十</w:t>
      </w:r>
      <w:r>
        <w:rPr>
          <w:rFonts w:hint="eastAsia" w:ascii="黑体" w:hAnsi="黑体" w:eastAsia="黑体" w:cs="黑体"/>
          <w:b w:val="0"/>
          <w:bCs w:val="0"/>
          <w:color w:val="auto"/>
          <w:kern w:val="2"/>
          <w:sz w:val="32"/>
          <w:szCs w:val="32"/>
          <w:highlight w:val="none"/>
          <w:lang w:val="en-US" w:eastAsia="zh" w:bidi="ar"/>
        </w:rPr>
        <w:t>一</w:t>
      </w:r>
      <w:r>
        <w:rPr>
          <w:rFonts w:hint="eastAsia" w:ascii="黑体" w:hAnsi="黑体" w:eastAsia="黑体" w:cs="黑体"/>
          <w:b w:val="0"/>
          <w:bCs w:val="0"/>
          <w:color w:val="auto"/>
          <w:kern w:val="2"/>
          <w:sz w:val="32"/>
          <w:szCs w:val="32"/>
          <w:highlight w:val="none"/>
          <w:lang w:val="en-US" w:eastAsia="zh-CN" w:bidi="ar"/>
        </w:rPr>
        <w:t xml:space="preserve">条 </w:t>
      </w:r>
      <w:r>
        <w:rPr>
          <w:rFonts w:hint="eastAsia" w:ascii="黑体" w:hAnsi="黑体" w:eastAsia="黑体" w:cs="黑体"/>
          <w:b w:val="0"/>
          <w:bCs w:val="0"/>
          <w:color w:val="auto"/>
          <w:kern w:val="2"/>
          <w:sz w:val="32"/>
          <w:szCs w:val="32"/>
          <w:highlight w:val="none"/>
          <w:lang w:val="en-US" w:eastAsia="zh" w:bidi="ar"/>
        </w:rPr>
        <w:t>支持金融机构就业</w:t>
      </w:r>
      <w:r>
        <w:rPr>
          <w:rFonts w:hint="eastAsia" w:ascii="黑体" w:hAnsi="黑体" w:eastAsia="黑体" w:cs="黑体"/>
          <w:b w:val="0"/>
          <w:bCs w:val="0"/>
          <w:color w:val="auto"/>
          <w:kern w:val="2"/>
          <w:sz w:val="32"/>
          <w:szCs w:val="32"/>
          <w:highlight w:val="none"/>
          <w:lang w:val="en-US" w:eastAsia="zh-CN" w:bidi="ar"/>
        </w:rPr>
        <w:t>。</w:t>
      </w:r>
      <w:r>
        <w:rPr>
          <w:rFonts w:hint="eastAsia" w:ascii="仿宋_GB2312" w:eastAsia="仿宋_GB2312" w:cs="仿宋_GB2312"/>
          <w:b w:val="0"/>
          <w:bCs w:val="0"/>
          <w:color w:val="auto"/>
          <w:kern w:val="2"/>
          <w:sz w:val="32"/>
          <w:szCs w:val="32"/>
          <w:highlight w:val="none"/>
          <w:vertAlign w:val="baseline"/>
          <w:lang w:eastAsia="zh"/>
        </w:rPr>
        <w:t>鼓励</w:t>
      </w:r>
      <w:r>
        <w:rPr>
          <w:rFonts w:hint="eastAsia" w:ascii="仿宋_GB2312" w:eastAsia="仿宋_GB2312" w:cs="仿宋_GB2312"/>
          <w:color w:val="auto"/>
          <w:kern w:val="2"/>
          <w:sz w:val="32"/>
          <w:szCs w:val="32"/>
          <w:highlight w:val="none"/>
          <w:vertAlign w:val="baseline"/>
          <w:lang w:eastAsia="zh"/>
        </w:rPr>
        <w:t>金融</w:t>
      </w:r>
      <w:r>
        <w:rPr>
          <w:rFonts w:ascii="仿宋_GB2312" w:eastAsia="仿宋_GB2312" w:cs="仿宋_GB2312"/>
          <w:color w:val="auto"/>
          <w:kern w:val="2"/>
          <w:sz w:val="32"/>
          <w:szCs w:val="32"/>
          <w:highlight w:val="none"/>
          <w:vertAlign w:val="baseline"/>
        </w:rPr>
        <w:t>类机构</w:t>
      </w:r>
      <w:r>
        <w:rPr>
          <w:rFonts w:hint="eastAsia" w:ascii="仿宋_GB2312" w:eastAsia="仿宋_GB2312" w:cs="仿宋_GB2312"/>
          <w:color w:val="auto"/>
          <w:kern w:val="2"/>
          <w:sz w:val="32"/>
          <w:szCs w:val="32"/>
          <w:highlight w:val="none"/>
          <w:vertAlign w:val="baseline"/>
          <w:lang w:eastAsia="zh"/>
        </w:rPr>
        <w:t>（不含银行机构）加大人才招引力度，根据金融类机构就业人员数量（以当年度12月缴纳社保的花名册或缴纳个税的人员数量为准）给予就业支持每人每月最高1500元，给予交通支持每人每月最高1500元。</w:t>
      </w:r>
      <w:r>
        <w:rPr>
          <w:rFonts w:ascii="仿宋_GB2312" w:eastAsia="仿宋_GB2312" w:cs="仿宋_GB2312"/>
          <w:color w:val="auto"/>
          <w:kern w:val="2"/>
          <w:sz w:val="32"/>
          <w:szCs w:val="32"/>
          <w:highlight w:val="none"/>
          <w:vertAlign w:val="baseline"/>
        </w:rPr>
        <w:t>原则上支持不超过36个月，其中第3年支持力度减半。支持按年度申请，当年年度支持乙方于次年一季度向甲方提交材料申请。甲方将在收到乙方申请材料后，经审核无误且收到财政拨付支持资金后45日内向乙方兑现。</w:t>
      </w:r>
    </w:p>
    <w:p w14:paraId="10403A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黑体" w:hAnsi="黑体" w:eastAsia="黑体" w:cs="黑体"/>
          <w:b w:val="0"/>
          <w:bCs w:val="0"/>
          <w:color w:val="auto"/>
          <w:kern w:val="2"/>
          <w:sz w:val="32"/>
          <w:szCs w:val="32"/>
          <w:highlight w:val="none"/>
          <w:lang w:val="en-US" w:eastAsia="zh-CN" w:bidi="ar"/>
        </w:rPr>
      </w:pPr>
      <w:r>
        <w:rPr>
          <w:rFonts w:hint="eastAsia" w:ascii="黑体" w:hAnsi="黑体" w:eastAsia="黑体" w:cs="黑体"/>
          <w:b w:val="0"/>
          <w:bCs w:val="0"/>
          <w:color w:val="auto"/>
          <w:kern w:val="2"/>
          <w:sz w:val="32"/>
          <w:szCs w:val="32"/>
          <w:highlight w:val="none"/>
          <w:lang w:val="en-US" w:eastAsia="zh-CN" w:bidi="ar"/>
        </w:rPr>
        <w:t>第十</w:t>
      </w:r>
      <w:r>
        <w:rPr>
          <w:rFonts w:hint="eastAsia" w:ascii="黑体" w:hAnsi="黑体" w:eastAsia="黑体" w:cs="黑体"/>
          <w:b w:val="0"/>
          <w:bCs w:val="0"/>
          <w:color w:val="auto"/>
          <w:kern w:val="2"/>
          <w:sz w:val="32"/>
          <w:szCs w:val="32"/>
          <w:highlight w:val="none"/>
          <w:lang w:val="en-US" w:eastAsia="zh" w:bidi="ar"/>
        </w:rPr>
        <w:t>二</w:t>
      </w:r>
      <w:r>
        <w:rPr>
          <w:rFonts w:hint="eastAsia" w:ascii="黑体" w:hAnsi="黑体" w:eastAsia="黑体" w:cs="黑体"/>
          <w:b w:val="0"/>
          <w:bCs w:val="0"/>
          <w:color w:val="auto"/>
          <w:kern w:val="2"/>
          <w:sz w:val="32"/>
          <w:szCs w:val="32"/>
          <w:highlight w:val="none"/>
          <w:lang w:val="en-US" w:eastAsia="zh-CN" w:bidi="ar"/>
        </w:rPr>
        <w:t>条 附则</w:t>
      </w:r>
    </w:p>
    <w:p w14:paraId="6E3F4F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b w:val="0"/>
          <w:bCs w:val="0"/>
          <w:color w:val="auto"/>
          <w:kern w:val="2"/>
          <w:sz w:val="32"/>
          <w:szCs w:val="32"/>
          <w:highlight w:val="none"/>
        </w:rPr>
      </w:pPr>
      <w:r>
        <w:rPr>
          <w:rFonts w:ascii="仿宋_GB2312" w:hAnsi="Times New Roman" w:eastAsia="仿宋_GB2312" w:cs="仿宋_GB2312"/>
          <w:b w:val="0"/>
          <w:bCs w:val="0"/>
          <w:color w:val="auto"/>
          <w:kern w:val="2"/>
          <w:sz w:val="32"/>
          <w:szCs w:val="32"/>
          <w:highlight w:val="none"/>
          <w:lang w:val="en-US" w:eastAsia="zh-CN" w:bidi="ar"/>
        </w:rPr>
        <w:t>（一）上述支持措施若与国家、海南省、海口市及江东新区管理局等各级各类企业支持措施或本措施出现重叠或交叉的，同个申报主体申请享受支持措施均按“就高不就低、不重复支持”原则执行。本措施中支持资金，由符合条件的机构向江东新区管理局申请，江东新区管理局经对申报材料审查无误后，依法依规拨付相应支持资金。针对本措施的具体条款实施，海口江东新区管理局将另行制定实施细则并予以明确。</w:t>
      </w:r>
    </w:p>
    <w:p w14:paraId="276528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二）本措施所指的私募基金类企业，是指注册在江东新区范围内的，经中国证券投资基金业协会（以下简称“中基协”）登记或备案的私募基金管理机构（以下简称“基金管理机构”）、私募投资基金产品（以下简称“私募基金”）、以及根据《海南省地方金融监督管理局关于外商投资股权投资企业有关事项的补充通知》不需要登记的外商投资股权投资企业，在海南省发改委完成备案的创业投资机构,以及SPAC（SpecialPurposeAcquisitionCompany，即特殊目的收购公司）发起人，以下统称为投资机构。</w:t>
      </w:r>
    </w:p>
    <w:p w14:paraId="102F92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（三）符合本措施支持条款的企业申请支持政策需满足以下条件：</w:t>
      </w:r>
    </w:p>
    <w:p w14:paraId="5C0374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1.在江东新区注册登记、依法纳税且开展业务；</w:t>
      </w:r>
    </w:p>
    <w:p w14:paraId="263B28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2.持牌金融机构和相关企业，需满足中国人民银行、国家金融监督管理总局、证监会、省委金融办等金融监管部门核准或备案。</w:t>
      </w:r>
    </w:p>
    <w:p w14:paraId="40DEF3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3.私募基金类企业，需在具备托管资质的银行和券商机构开立托管账户。</w:t>
      </w:r>
    </w:p>
    <w:p w14:paraId="3D6AB5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4.合规经营且申请支持时企业未在严重违法失信企业名单、失信被执行人名单、失联机构或经营异常名录。</w:t>
      </w:r>
    </w:p>
    <w:p w14:paraId="3078BB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（四）申请企业应按要求提供以下材料，包括但不仅限于：</w:t>
      </w:r>
    </w:p>
    <w:p w14:paraId="5B097D9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1.法定（授权）代表人/负责人签署的申请书（写明申请事项，符合条件说明等）、法定代表人/负责人的身份证明复印件；企业经办人身份证明复印件（原件查验）；营业执照、公司章程复印件、国家企业信用信息公示报告；</w:t>
      </w:r>
    </w:p>
    <w:p w14:paraId="7FAF81D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2.企业当年的完税证明（证明其纳税、经营）；</w:t>
      </w:r>
    </w:p>
    <w:p w14:paraId="007DA2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3.持牌金融机构和相关企业，需提供其经中国人民银行、国家金融监督管理总局、证监会、省委金融办等金融监管部门核准或备案的复印件（原件查验，如银行、保险、信托、金融租赁、公募等法人金融机构及其专业子公司或一级分支机构，以及跨境资金集中运营中心、财务公司等法人金融机构提供）。</w:t>
      </w:r>
    </w:p>
    <w:p w14:paraId="4CC59D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4.私募基金类企业，需提供企业开立托管账户的证明及托管报告等相应材料，中基协备案、登记证明，基金设立推荐函复印件，银行开具的FDI入账登记表，被投资企业银行流水，被投企业名单、股权投资协议，上市证明材料等；</w:t>
      </w:r>
    </w:p>
    <w:p w14:paraId="76A2AA7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5.企业运行情况报告，主要包含项目单位和平台项目的基本情况、企业运营模式、企业经济和社会效益等；</w:t>
      </w:r>
    </w:p>
    <w:p w14:paraId="1A7700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6.企业上一年度纳税清单、第三方机构出具的清缴证明复印件（原件查验）；</w:t>
      </w:r>
    </w:p>
    <w:p w14:paraId="05E89A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7.江东新区管理局要求的其他材料；</w:t>
      </w:r>
    </w:p>
    <w:p w14:paraId="181897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申请材料须提交一式两份，复印件必须由申请单位加盖公章证实与原件一致。</w:t>
      </w:r>
    </w:p>
    <w:p w14:paraId="662934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（五）本措施涉及金额均指人民币，涉及外汇折算的，以交易当日国家外汇管理局发布的汇率为准。</w:t>
      </w:r>
    </w:p>
    <w:p w14:paraId="6EDF10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（六）若私募股权基金的管理人注册在江东新区、依法纳税且开展业务，支持资金可奖励给私募股权投资基金或其管理人，由其管理人确定申报主体。</w:t>
      </w:r>
    </w:p>
    <w:p w14:paraId="04871C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（七）鼓励金融机构为园区内企业提供优质金融服务，鼓励投资机构优先选择江东新区设立分支机构的银行及券商进行合作。</w:t>
      </w:r>
    </w:p>
    <w:p w14:paraId="4D9EB7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ascii="仿宋_GB2312" w:eastAsia="仿宋_GB2312" w:cs="仿宋_GB2312"/>
          <w:color w:val="auto"/>
          <w:kern w:val="2"/>
          <w:sz w:val="32"/>
          <w:szCs w:val="32"/>
          <w:highlight w:val="none"/>
        </w:rPr>
      </w:pPr>
      <w:r>
        <w:rPr>
          <w:rFonts w:ascii="仿宋_GB2312" w:hAnsi="Times New Roman" w:eastAsia="仿宋_GB2312" w:cs="仿宋_GB2312"/>
          <w:color w:val="auto"/>
          <w:kern w:val="2"/>
          <w:sz w:val="32"/>
          <w:szCs w:val="32"/>
          <w:highlight w:val="none"/>
          <w:lang w:val="en-US" w:eastAsia="zh-CN" w:bidi="ar"/>
        </w:rPr>
        <w:t>（八）监督管理。基金企业在申报支持资金过程中存在弄虚作假、以其他不正当手段骗取资金的，5年内不得申请海口市及江东新区任何形式支持资金，企业应当退回全部支持资金，并按当期贷款市场报价利率（LPR）计息；地方政府将依据国家有关规定向相关部门推送相关信息，涉嫌违法犯罪的，依法移送有权机关处理。</w:t>
      </w:r>
    </w:p>
    <w:p w14:paraId="7298FA35">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0"/>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r>
        <w:rPr>
          <w:rFonts w:ascii="仿宋_GB2312" w:hAnsi="Times New Roman" w:eastAsia="仿宋_GB2312" w:cs="仿宋_GB2312"/>
          <w:color w:val="auto"/>
          <w:kern w:val="2"/>
          <w:sz w:val="32"/>
          <w:szCs w:val="32"/>
          <w:highlight w:val="none"/>
          <w:lang w:val="en-US" w:eastAsia="zh-CN" w:bidi="ar"/>
        </w:rPr>
        <w:t>（九）</w:t>
      </w:r>
      <w:r>
        <w:rPr>
          <w:rFonts w:ascii="仿宋_GB2312" w:hAnsi="Calibri" w:eastAsia="仿宋_GB2312" w:cs="仿宋_GB2312"/>
          <w:i w:val="0"/>
          <w:iCs w:val="0"/>
          <w:caps w:val="0"/>
          <w:color w:val="auto"/>
          <w:spacing w:val="0"/>
          <w:kern w:val="0"/>
          <w:sz w:val="32"/>
          <w:szCs w:val="32"/>
          <w:highlight w:val="none"/>
          <w:lang w:val="en-US" w:eastAsia="zh-CN" w:bidi="ar"/>
        </w:rPr>
        <w:t>本措施自</w:t>
      </w:r>
      <w:r>
        <w:rPr>
          <w:rFonts w:hint="eastAsia" w:ascii="仿宋_GB2312" w:eastAsia="仿宋_GB2312" w:cs="仿宋_GB2312"/>
          <w:i w:val="0"/>
          <w:iCs w:val="0"/>
          <w:caps w:val="0"/>
          <w:color w:val="auto"/>
          <w:spacing w:val="0"/>
          <w:kern w:val="0"/>
          <w:sz w:val="32"/>
          <w:szCs w:val="32"/>
          <w:highlight w:val="none"/>
          <w:lang w:val="en-US" w:eastAsia="zh" w:bidi="ar"/>
        </w:rPr>
        <w:t>印发之日</w:t>
      </w:r>
      <w:r>
        <w:rPr>
          <w:rFonts w:ascii="仿宋_GB2312" w:hAnsi="Calibri" w:eastAsia="仿宋_GB2312" w:cs="仿宋_GB2312"/>
          <w:i w:val="0"/>
          <w:iCs w:val="0"/>
          <w:caps w:val="0"/>
          <w:color w:val="auto"/>
          <w:spacing w:val="0"/>
          <w:kern w:val="0"/>
          <w:sz w:val="32"/>
          <w:szCs w:val="32"/>
          <w:highlight w:val="none"/>
          <w:lang w:val="en-US" w:eastAsia="zh-CN" w:bidi="ar"/>
        </w:rPr>
        <w:t>起</w:t>
      </w:r>
      <w:r>
        <w:rPr>
          <w:rFonts w:hint="eastAsia" w:ascii="仿宋_GB2312" w:eastAsia="仿宋_GB2312" w:cs="仿宋_GB2312"/>
          <w:i w:val="0"/>
          <w:iCs w:val="0"/>
          <w:caps w:val="0"/>
          <w:color w:val="auto"/>
          <w:spacing w:val="0"/>
          <w:kern w:val="0"/>
          <w:sz w:val="32"/>
          <w:szCs w:val="32"/>
          <w:highlight w:val="none"/>
          <w:lang w:val="en-US" w:eastAsia="zh" w:bidi="ar"/>
        </w:rPr>
        <w:t>实施</w:t>
      </w:r>
      <w:r>
        <w:rPr>
          <w:rFonts w:ascii="仿宋_GB2312" w:hAnsi="Calibri" w:eastAsia="仿宋_GB2312" w:cs="仿宋_GB2312"/>
          <w:i w:val="0"/>
          <w:iCs w:val="0"/>
          <w:caps w:val="0"/>
          <w:color w:val="auto"/>
          <w:spacing w:val="0"/>
          <w:kern w:val="0"/>
          <w:sz w:val="32"/>
          <w:szCs w:val="32"/>
          <w:highlight w:val="none"/>
          <w:lang w:val="en-US" w:eastAsia="zh-CN" w:bidi="ar"/>
        </w:rPr>
        <w:t>，有效期</w:t>
      </w:r>
      <w:r>
        <w:rPr>
          <w:rFonts w:hint="eastAsia" w:ascii="仿宋_GB2312" w:eastAsia="仿宋_GB2312" w:cs="仿宋_GB2312"/>
          <w:i w:val="0"/>
          <w:iCs w:val="0"/>
          <w:caps w:val="0"/>
          <w:color w:val="auto"/>
          <w:spacing w:val="0"/>
          <w:kern w:val="0"/>
          <w:sz w:val="32"/>
          <w:szCs w:val="32"/>
          <w:highlight w:val="none"/>
          <w:lang w:val="en-US" w:eastAsia="zh" w:bidi="ar"/>
        </w:rPr>
        <w:t>五年。</w:t>
      </w:r>
      <w:r>
        <w:rPr>
          <w:rFonts w:ascii="仿宋_GB2312" w:hAnsi="Calibri" w:eastAsia="仿宋_GB2312" w:cs="仿宋_GB2312"/>
          <w:i w:val="0"/>
          <w:iCs w:val="0"/>
          <w:caps w:val="0"/>
          <w:color w:val="auto"/>
          <w:spacing w:val="0"/>
          <w:kern w:val="0"/>
          <w:sz w:val="32"/>
          <w:szCs w:val="32"/>
          <w:highlight w:val="none"/>
          <w:shd w:val="clear"/>
          <w:lang w:bidi="ar"/>
        </w:rPr>
        <w:t>施行期间如遇国家和</w:t>
      </w:r>
      <w:r>
        <w:rPr>
          <w:rFonts w:hint="eastAsia" w:ascii="仿宋_GB2312" w:eastAsia="仿宋_GB2312" w:cs="仿宋_GB2312"/>
          <w:i w:val="0"/>
          <w:iCs w:val="0"/>
          <w:caps w:val="0"/>
          <w:color w:val="auto"/>
          <w:spacing w:val="0"/>
          <w:kern w:val="0"/>
          <w:sz w:val="32"/>
          <w:szCs w:val="32"/>
          <w:highlight w:val="none"/>
          <w:shd w:val="clear"/>
          <w:lang w:eastAsia="zh" w:bidi="ar"/>
        </w:rPr>
        <w:t>海南省、海口市</w:t>
      </w:r>
      <w:r>
        <w:rPr>
          <w:rFonts w:ascii="仿宋_GB2312" w:hAnsi="Calibri" w:eastAsia="仿宋_GB2312" w:cs="仿宋_GB2312"/>
          <w:i w:val="0"/>
          <w:iCs w:val="0"/>
          <w:caps w:val="0"/>
          <w:color w:val="auto"/>
          <w:spacing w:val="0"/>
          <w:kern w:val="0"/>
          <w:sz w:val="32"/>
          <w:szCs w:val="32"/>
          <w:highlight w:val="none"/>
          <w:shd w:val="clear"/>
          <w:lang w:bidi="ar"/>
        </w:rPr>
        <w:t>相关政策调整，本政策同步调整。</w:t>
      </w:r>
      <w:r>
        <w:rPr>
          <w:rFonts w:ascii="宋体" w:hAnsi="宋体" w:eastAsia="宋体" w:cs="宋体"/>
          <w:sz w:val="24"/>
          <w:szCs w:val="24"/>
          <w:highlight w:val="none"/>
        </w:rPr>
        <w:t xml:space="preserve"> </w:t>
      </w:r>
      <w:r>
        <w:rPr>
          <w:rFonts w:ascii="仿宋_GB2312" w:hAnsi="Calibri" w:eastAsia="仿宋_GB2312" w:cs="仿宋_GB2312"/>
          <w:i w:val="0"/>
          <w:iCs w:val="0"/>
          <w:caps w:val="0"/>
          <w:color w:val="auto"/>
          <w:spacing w:val="0"/>
          <w:kern w:val="0"/>
          <w:sz w:val="32"/>
          <w:szCs w:val="32"/>
          <w:highlight w:val="none"/>
          <w:lang w:val="en-US" w:eastAsia="zh-CN" w:bidi="ar"/>
        </w:rPr>
        <w:t>执行期间由江东新区管理局负责解释。执行期间因政策变动、情势变更等原因导致部分条款无法执行的，不影响其他条款的执行。</w:t>
      </w:r>
    </w:p>
    <w:p w14:paraId="2999F62D">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0"/>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p>
    <w:p w14:paraId="4ECD235F">
      <w:pPr>
        <w:keepNext w:val="0"/>
        <w:keepLines w:val="0"/>
        <w:widowControl/>
        <w:suppressLineNumbers w:val="0"/>
        <w:spacing w:beforeAutospacing="0" w:after="20" w:afterAutospacing="0" w:line="576" w:lineRule="exact"/>
        <w:ind w:left="0" w:leftChars="0" w:right="0" w:firstLine="640"/>
        <w:jc w:val="both"/>
        <w:rPr>
          <w:rFonts w:ascii="仿宋_GB2312" w:hAnsi="Calibri" w:eastAsia="仿宋_GB2312" w:cs="仿宋_GB2312"/>
          <w:i w:val="0"/>
          <w:iCs w:val="0"/>
          <w:caps w:val="0"/>
          <w:color w:val="auto"/>
          <w:spacing w:val="0"/>
          <w:kern w:val="0"/>
          <w:sz w:val="32"/>
          <w:szCs w:val="32"/>
          <w:highlight w:val="none"/>
          <w:lang w:val="en-US" w:eastAsia="zh-CN" w:bidi="ar"/>
        </w:rPr>
      </w:pPr>
    </w:p>
    <w:p w14:paraId="3E01DE9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right="0"/>
        <w:jc w:val="both"/>
        <w:textAlignment w:val="auto"/>
        <w:rPr>
          <w:rFonts w:hint="eastAsia" w:ascii="黑体" w:hAnsi="黑体" w:eastAsia="黑体" w:cs="黑体"/>
          <w:b w:val="0"/>
          <w:bCs w:val="0"/>
          <w:color w:val="auto"/>
          <w:kern w:val="2"/>
          <w:sz w:val="32"/>
          <w:szCs w:val="32"/>
          <w:highlight w:val="none"/>
          <w:lang w:val="en-US" w:eastAsia="zh-CN" w:bidi="ar"/>
        </w:rPr>
        <w:sectPr>
          <w:footerReference r:id="rId3" w:type="default"/>
          <w:pgSz w:w="11906" w:h="16838"/>
          <w:pgMar w:top="2098" w:right="1474" w:bottom="1417"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bookmarkStart w:id="0" w:name="_GoBack"/>
      <w:bookmarkEnd w:id="0"/>
    </w:p>
    <w:p w14:paraId="5930DA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41AF1">
    <w:pPr>
      <w:pStyle w:val="3"/>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D8209">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AD8209">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33</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F3DDA"/>
    <w:rsid w:val="59AF3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keepNext w:val="0"/>
      <w:keepLines w:val="0"/>
      <w:widowControl w:val="0"/>
      <w:suppressLineNumbers w:val="0"/>
      <w:spacing w:before="0" w:beforeAutospacing="0" w:after="0" w:afterAutospacing="0"/>
      <w:ind w:left="0" w:right="0"/>
      <w:jc w:val="left"/>
    </w:pPr>
    <w:rPr>
      <w:rFonts w:ascii="仿宋_GB2312" w:hAnsi="Times New Roman" w:eastAsia="仿宋_GB2312" w:cs="Times New Roman"/>
      <w:kern w:val="2"/>
      <w:sz w:val="32"/>
      <w:szCs w:val="32"/>
      <w:lang w:val="en-US" w:eastAsia="zh-CN" w:bidi="ar"/>
    </w:rPr>
  </w:style>
  <w:style w:type="paragraph" w:styleId="3">
    <w:name w:val="footer"/>
    <w:basedOn w:val="1"/>
    <w:qFormat/>
    <w:uiPriority w:val="0"/>
    <w:pPr>
      <w:tabs>
        <w:tab w:val="center" w:pos="4153"/>
        <w:tab w:val="right" w:pos="8306"/>
      </w:tabs>
      <w:jc w:val="left"/>
    </w:pPr>
    <w:rPr>
      <w:sz w:val="18"/>
    </w:rPr>
  </w:style>
  <w:style w:type="paragraph" w:styleId="4">
    <w:name w:val="Body Text First Indent 2"/>
    <w:qFormat/>
    <w:uiPriority w:val="0"/>
    <w:pPr>
      <w:keepNext w:val="0"/>
      <w:keepLines w:val="0"/>
      <w:widowControl w:val="0"/>
      <w:suppressLineNumbers w:val="0"/>
      <w:spacing w:after="120" w:afterAutospacing="0"/>
      <w:ind w:left="420" w:leftChars="200" w:firstLine="420" w:firstLineChars="200"/>
      <w:jc w:val="both"/>
    </w:pPr>
    <w:rPr>
      <w:rFonts w:ascii="Times New Roman" w:hAnsi="Times New Roman" w:eastAsia="宋体" w:cs="Times New Roman"/>
      <w:kern w:val="2"/>
      <w:sz w:val="32"/>
      <w:szCs w:val="32"/>
      <w:lang w:val="en-US" w:eastAsia="zh-CN" w:bidi="ar"/>
    </w:rPr>
  </w:style>
  <w:style w:type="paragraph" w:customStyle="1" w:styleId="7">
    <w:name w:val="正文缩进1"/>
    <w:basedOn w:val="1"/>
    <w:qFormat/>
    <w:uiPriority w:val="0"/>
    <w:pPr>
      <w:keepNext w:val="0"/>
      <w:keepLines w:val="0"/>
      <w:widowControl w:val="0"/>
      <w:suppressLineNumbers w:val="0"/>
      <w:spacing w:before="0" w:beforeAutospacing="0" w:after="0" w:afterAutospacing="0"/>
      <w:ind w:left="0" w:right="0" w:firstLine="420" w:firstLineChars="200"/>
      <w:jc w:val="both"/>
    </w:pPr>
    <w:rPr>
      <w:rFonts w:ascii="Times New Roman" w:hAnsi="Times New Roman" w:eastAsia="宋体"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2025-05-14T07:18:00Z</dcterms:created>
  <dc:creator>阳光一生</dc:creator>
  <cp:lastModifiedBy>阳光一生</cp:lastModifiedBy>
  <dcterms:modified xsi:type="dcterms:W3CDTF">2025-05-14T07:18:30Z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6089F789980C45B8BAA968945AC3B819_11</vt:lpwstr>
  </property>
  <property fmtid="{D5CDD505-2E9C-101B-9397-08002B2CF9AE}" pid="4" name="KSOTemplateDocerSaveRecord">
    <vt:lpwstr>eyJoZGlkIjoiMWNmNzcwMGNlMmU0NTYwMTdkOTdmNzg0YTQ3YWJmYjYiLCJ1c2VySWQiOiIzMDgyMjgzOTQifQ==</vt:lpwstr>
  </property>
</Properties>
</file>