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ADAFE">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both"/>
        <w:textAlignment w:val="auto"/>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附件三</w:t>
      </w:r>
    </w:p>
    <w:p w14:paraId="4796C6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0"/>
        <w:jc w:val="center"/>
        <w:textAlignment w:val="auto"/>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pPr>
    </w:p>
    <w:p w14:paraId="0C2398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0"/>
        <w:jc w:val="center"/>
        <w:textAlignment w:val="auto"/>
        <w:rPr>
          <w:rFonts w:ascii="Calibri" w:hAnsi="Calibri" w:cs="Calibri"/>
          <w:i w:val="0"/>
          <w:iCs w:val="0"/>
          <w:caps w:val="0"/>
          <w:color w:val="auto"/>
          <w:spacing w:val="0"/>
          <w:sz w:val="21"/>
          <w:szCs w:val="21"/>
          <w:highlight w:val="none"/>
        </w:rPr>
      </w:pPr>
      <w:r>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t>海口江东新区关于支持楼宇经济</w:t>
      </w:r>
    </w:p>
    <w:p w14:paraId="0FDDC3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0"/>
        <w:jc w:val="center"/>
        <w:textAlignment w:val="auto"/>
        <w:rPr>
          <w:rFonts w:ascii="Calibri" w:hAnsi="Calibri" w:cs="Calibri"/>
          <w:i w:val="0"/>
          <w:iCs w:val="0"/>
          <w:caps w:val="0"/>
          <w:color w:val="auto"/>
          <w:spacing w:val="0"/>
          <w:sz w:val="21"/>
          <w:szCs w:val="21"/>
          <w:highlight w:val="none"/>
        </w:rPr>
      </w:pPr>
      <w:r>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t>高质量发展的若干措施</w:t>
      </w:r>
    </w:p>
    <w:p w14:paraId="7CF3AB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0"/>
        <w:jc w:val="both"/>
        <w:textAlignment w:val="auto"/>
        <w:rPr>
          <w:rFonts w:ascii="Calibri" w:hAnsi="Calibri" w:cs="Calibri"/>
          <w:i w:val="0"/>
          <w:iCs w:val="0"/>
          <w:caps w:val="0"/>
          <w:color w:val="auto"/>
          <w:spacing w:val="0"/>
          <w:sz w:val="21"/>
          <w:szCs w:val="21"/>
          <w:highlight w:val="none"/>
        </w:rPr>
      </w:pPr>
      <w:r>
        <w:rPr>
          <w:rFonts w:ascii="Calibri" w:hAnsi="Calibri" w:eastAsia="宋体" w:cs="Calibri"/>
          <w:i w:val="0"/>
          <w:iCs w:val="0"/>
          <w:caps w:val="0"/>
          <w:color w:val="auto"/>
          <w:spacing w:val="0"/>
          <w:kern w:val="0"/>
          <w:sz w:val="21"/>
          <w:szCs w:val="21"/>
          <w:highlight w:val="none"/>
          <w:lang w:val="en-US" w:eastAsia="zh-CN" w:bidi="ar"/>
        </w:rPr>
        <w:t> </w:t>
      </w:r>
    </w:p>
    <w:p w14:paraId="178F6F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ascii="仿宋_GB2312" w:hAnsi="Calibri" w:eastAsia="仿宋_GB2312" w:cs="仿宋_GB2312"/>
          <w:i w:val="0"/>
          <w:iCs w:val="0"/>
          <w:caps w:val="0"/>
          <w:color w:val="auto"/>
          <w:spacing w:val="0"/>
          <w:kern w:val="0"/>
          <w:sz w:val="32"/>
          <w:szCs w:val="32"/>
          <w:highlight w:val="none"/>
          <w:lang w:val="en-US" w:eastAsia="zh-CN" w:bidi="ar"/>
        </w:rPr>
        <w:t>为</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充分发挥海口江东新区（以下简称：江东新区）核心区域内楼宇载体功能和资源，推动以楼聚力，以楼为媒，以楼聚产，</w:t>
      </w:r>
      <w:r>
        <w:rPr>
          <w:rFonts w:ascii="仿宋_GB2312" w:hAnsi="Calibri" w:eastAsia="仿宋_GB2312" w:cs="仿宋_GB2312"/>
          <w:i w:val="0"/>
          <w:iCs w:val="0"/>
          <w:caps w:val="0"/>
          <w:color w:val="auto"/>
          <w:spacing w:val="0"/>
          <w:kern w:val="0"/>
          <w:sz w:val="32"/>
          <w:szCs w:val="32"/>
          <w:highlight w:val="none"/>
          <w:lang w:val="en-US" w:eastAsia="zh-CN" w:bidi="ar"/>
        </w:rPr>
        <w:t>培育一批主导产业鲜明、集聚效应突出、配套产业完善的特色产业楼宇，结合园区实际，</w:t>
      </w:r>
      <w:r>
        <w:rPr>
          <w:rFonts w:ascii="仿宋_GB2312" w:hAnsi="Calibri" w:eastAsia="仿宋_GB2312" w:cs="仿宋_GB2312"/>
          <w:b w:val="0"/>
          <w:bCs w:val="0"/>
          <w:i w:val="0"/>
          <w:iCs w:val="0"/>
          <w:caps w:val="0"/>
          <w:color w:val="auto"/>
          <w:spacing w:val="0"/>
          <w:kern w:val="0"/>
          <w:sz w:val="32"/>
          <w:szCs w:val="32"/>
          <w:highlight w:val="none"/>
          <w:lang w:val="en-US" w:eastAsia="zh-CN" w:bidi="ar"/>
        </w:rPr>
        <w:t>特制定本措施。</w:t>
      </w:r>
    </w:p>
    <w:p w14:paraId="547DF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第一条 支持范围和对象。</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本措施主要适用于江东新区</w:t>
      </w:r>
      <w:r>
        <w:rPr>
          <w:rFonts w:ascii="仿宋_GB2312" w:hAnsi="Calibri" w:eastAsia="仿宋_GB2312" w:cs="仿宋_GB2312"/>
          <w:i w:val="0"/>
          <w:iCs w:val="0"/>
          <w:caps w:val="0"/>
          <w:color w:val="auto"/>
          <w:spacing w:val="0"/>
          <w:kern w:val="0"/>
          <w:sz w:val="32"/>
          <w:szCs w:val="32"/>
          <w:highlight w:val="none"/>
          <w:lang w:val="en-US" w:eastAsia="zh-CN" w:bidi="ar"/>
        </w:rPr>
        <w:t>起步区范围内（包括CBD总部经济区及CBD南片区（含1.5级企业港））</w:t>
      </w:r>
      <w:r>
        <w:rPr>
          <w:rFonts w:hint="eastAsia" w:ascii="仿宋_GB2312" w:eastAsia="仿宋_GB2312" w:cs="仿宋_GB2312"/>
          <w:i w:val="0"/>
          <w:iCs w:val="0"/>
          <w:caps w:val="0"/>
          <w:color w:val="auto"/>
          <w:spacing w:val="0"/>
          <w:kern w:val="0"/>
          <w:sz w:val="32"/>
          <w:szCs w:val="32"/>
          <w:highlight w:val="none"/>
          <w:lang w:val="en-US" w:eastAsia="zh" w:bidi="ar"/>
        </w:rPr>
        <w:t>规划</w:t>
      </w:r>
      <w:r>
        <w:rPr>
          <w:rFonts w:hint="default" w:ascii="仿宋_GB2312" w:hAnsi="Calibri" w:eastAsia="仿宋_GB2312" w:cs="仿宋_GB2312"/>
          <w:i w:val="0"/>
          <w:iCs w:val="0"/>
          <w:caps w:val="0"/>
          <w:color w:val="auto"/>
          <w:spacing w:val="0"/>
          <w:kern w:val="0"/>
          <w:sz w:val="32"/>
          <w:szCs w:val="32"/>
          <w:highlight w:val="none"/>
          <w:lang w:val="en-US" w:eastAsia="zh-CN" w:bidi="ar"/>
        </w:rPr>
        <w:t>用地性质</w:t>
      </w:r>
      <w:r>
        <w:rPr>
          <w:rFonts w:hint="eastAsia" w:ascii="仿宋_GB2312" w:eastAsia="仿宋_GB2312" w:cs="仿宋_GB2312"/>
          <w:i w:val="0"/>
          <w:iCs w:val="0"/>
          <w:caps w:val="0"/>
          <w:color w:val="auto"/>
          <w:spacing w:val="0"/>
          <w:kern w:val="0"/>
          <w:sz w:val="32"/>
          <w:szCs w:val="32"/>
          <w:highlight w:val="none"/>
          <w:lang w:val="en-US" w:eastAsia="zh-CN" w:bidi="ar"/>
        </w:rPr>
        <w:t>为</w:t>
      </w:r>
      <w:r>
        <w:rPr>
          <w:rFonts w:hint="default" w:ascii="仿宋_GB2312" w:hAnsi="Calibri" w:eastAsia="仿宋_GB2312" w:cs="仿宋_GB2312"/>
          <w:i w:val="0"/>
          <w:iCs w:val="0"/>
          <w:caps w:val="0"/>
          <w:color w:val="auto"/>
          <w:spacing w:val="0"/>
          <w:kern w:val="0"/>
          <w:sz w:val="32"/>
          <w:szCs w:val="32"/>
          <w:highlight w:val="none"/>
          <w:lang w:val="en-US" w:eastAsia="zh-CN" w:bidi="ar"/>
        </w:rPr>
        <w:t>商务、商业用地或第三方测绘报告房屋用途</w:t>
      </w:r>
      <w:r>
        <w:rPr>
          <w:rFonts w:hint="eastAsia" w:ascii="仿宋_GB2312" w:eastAsia="仿宋_GB2312" w:cs="仿宋_GB2312"/>
          <w:i w:val="0"/>
          <w:iCs w:val="0"/>
          <w:caps w:val="0"/>
          <w:color w:val="auto"/>
          <w:spacing w:val="0"/>
          <w:kern w:val="0"/>
          <w:sz w:val="32"/>
          <w:szCs w:val="32"/>
          <w:highlight w:val="none"/>
          <w:lang w:val="en-US" w:eastAsia="zh-CN" w:bidi="ar"/>
        </w:rPr>
        <w:t>为</w:t>
      </w:r>
      <w:r>
        <w:rPr>
          <w:rFonts w:hint="default" w:ascii="仿宋_GB2312" w:hAnsi="Calibri" w:eastAsia="仿宋_GB2312" w:cs="仿宋_GB2312"/>
          <w:i w:val="0"/>
          <w:iCs w:val="0"/>
          <w:caps w:val="0"/>
          <w:color w:val="auto"/>
          <w:spacing w:val="0"/>
          <w:kern w:val="0"/>
          <w:sz w:val="32"/>
          <w:szCs w:val="32"/>
          <w:highlight w:val="none"/>
          <w:lang w:val="en-US" w:eastAsia="zh-CN" w:bidi="ar"/>
        </w:rPr>
        <w:t>商业、办公的楼宇</w:t>
      </w:r>
      <w:r>
        <w:rPr>
          <w:rFonts w:ascii="仿宋_GB2312" w:hAnsi="Calibri" w:eastAsia="仿宋_GB2312" w:cs="仿宋_GB2312"/>
          <w:i w:val="0"/>
          <w:iCs w:val="0"/>
          <w:caps w:val="0"/>
          <w:color w:val="auto"/>
          <w:spacing w:val="0"/>
          <w:kern w:val="0"/>
          <w:sz w:val="32"/>
          <w:szCs w:val="32"/>
          <w:highlight w:val="none"/>
          <w:lang w:val="en-US" w:eastAsia="zh-CN" w:bidi="ar"/>
        </w:rPr>
        <w:t>。</w:t>
      </w:r>
      <w:r>
        <w:rPr>
          <w:rFonts w:ascii="仿宋_GB2312" w:hAnsi="Calibri" w:eastAsia="仿宋_GB2312" w:cs="仿宋_GB2312"/>
          <w:b w:val="0"/>
          <w:bCs w:val="0"/>
          <w:i w:val="0"/>
          <w:iCs w:val="0"/>
          <w:caps w:val="0"/>
          <w:color w:val="auto"/>
          <w:spacing w:val="0"/>
          <w:kern w:val="0"/>
          <w:sz w:val="32"/>
          <w:szCs w:val="32"/>
          <w:highlight w:val="none"/>
          <w:lang w:val="en-US" w:eastAsia="zh-CN" w:bidi="ar"/>
        </w:rPr>
        <w:t>符合条件</w:t>
      </w:r>
      <w:r>
        <w:rPr>
          <w:rFonts w:hint="eastAsia" w:ascii="仿宋_GB2312" w:eastAsia="仿宋_GB2312" w:cs="仿宋_GB2312"/>
          <w:i w:val="0"/>
          <w:iCs w:val="0"/>
          <w:caps w:val="0"/>
          <w:color w:val="auto"/>
          <w:spacing w:val="0"/>
          <w:kern w:val="0"/>
          <w:sz w:val="32"/>
          <w:szCs w:val="32"/>
          <w:highlight w:val="none"/>
          <w:lang w:val="en-US" w:eastAsia="zh-CN" w:bidi="ar"/>
        </w:rPr>
        <w:t>且与海口江东新区管理局签约的商务楼宇业主或负责楼宇招商/运营管理的企业</w:t>
      </w:r>
      <w:r>
        <w:rPr>
          <w:rFonts w:ascii="仿宋_GB2312" w:hAnsi="Calibri" w:eastAsia="仿宋_GB2312" w:cs="仿宋_GB2312"/>
          <w:i w:val="0"/>
          <w:iCs w:val="0"/>
          <w:caps w:val="0"/>
          <w:color w:val="auto"/>
          <w:spacing w:val="0"/>
          <w:kern w:val="0"/>
          <w:sz w:val="32"/>
          <w:szCs w:val="32"/>
          <w:highlight w:val="none"/>
          <w:lang w:val="en-US" w:eastAsia="zh-CN" w:bidi="ar"/>
        </w:rPr>
        <w:t>，在满足以下运营条件的情况下，可享受本措施相关支持政策：</w:t>
      </w:r>
    </w:p>
    <w:p w14:paraId="0CDEF3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ascii="仿宋_GB2312" w:hAnsi="Calibri" w:eastAsia="仿宋_GB2312" w:cs="仿宋_GB2312"/>
          <w:i w:val="0"/>
          <w:iCs w:val="0"/>
          <w:caps w:val="0"/>
          <w:color w:val="auto"/>
          <w:spacing w:val="0"/>
          <w:kern w:val="0"/>
          <w:sz w:val="32"/>
          <w:szCs w:val="32"/>
          <w:highlight w:val="none"/>
          <w:vertAlign w:val="baseline"/>
          <w:lang w:val="en-US" w:eastAsia="zh-CN" w:bidi="ar"/>
        </w:rPr>
        <w:t>1.配备有物业管理、产业招商、运营服务等专业服务团队，且服务团队人员不少于10人；</w:t>
      </w:r>
    </w:p>
    <w:p w14:paraId="4BFE40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2.实际入驻企业办公</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面积占可用于办公面积的20%（含）以上；</w:t>
      </w:r>
    </w:p>
    <w:p w14:paraId="61E13E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ascii="仿宋_GB2312" w:hAnsi="Calibri" w:eastAsia="仿宋_GB2312" w:cs="仿宋_GB2312"/>
          <w:i w:val="0"/>
          <w:iCs w:val="0"/>
          <w:caps w:val="0"/>
          <w:color w:val="auto"/>
          <w:spacing w:val="0"/>
          <w:kern w:val="0"/>
          <w:sz w:val="32"/>
          <w:szCs w:val="32"/>
          <w:highlight w:val="none"/>
          <w:vertAlign w:val="baseline"/>
          <w:lang w:val="en-US" w:eastAsia="zh-CN" w:bidi="ar"/>
        </w:rPr>
        <w:t>3.楼宇年度整体入驻办公人员不少于100人。</w:t>
      </w:r>
    </w:p>
    <w:p w14:paraId="30F62D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left"/>
        <w:textAlignment w:val="auto"/>
        <w:rPr>
          <w:rFonts w:ascii="仿宋_GB2312" w:hAnsi="Calibri" w:eastAsia="仿宋_GB2312" w:cs="仿宋_GB2312"/>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 xml:space="preserve">第二条 </w:t>
      </w:r>
      <w:r>
        <w:rPr>
          <w:rFonts w:hint="eastAsia" w:ascii="黑体" w:hAnsi="黑体" w:eastAsia="黑体" w:cs="黑体"/>
          <w:b w:val="0"/>
          <w:bCs w:val="0"/>
          <w:i w:val="0"/>
          <w:iCs w:val="0"/>
          <w:caps w:val="0"/>
          <w:color w:val="auto"/>
          <w:spacing w:val="0"/>
          <w:kern w:val="0"/>
          <w:sz w:val="32"/>
          <w:szCs w:val="32"/>
          <w:highlight w:val="none"/>
          <w:lang w:val="en-US" w:eastAsia="zh" w:bidi="ar"/>
        </w:rPr>
        <w:t>鼓励</w:t>
      </w:r>
      <w:r>
        <w:rPr>
          <w:rFonts w:hint="eastAsia" w:ascii="黑体" w:hAnsi="黑体" w:eastAsia="黑体" w:cs="黑体"/>
          <w:b w:val="0"/>
          <w:bCs w:val="0"/>
          <w:i w:val="0"/>
          <w:iCs w:val="0"/>
          <w:caps w:val="0"/>
          <w:color w:val="auto"/>
          <w:spacing w:val="0"/>
          <w:kern w:val="0"/>
          <w:sz w:val="32"/>
          <w:szCs w:val="32"/>
          <w:highlight w:val="none"/>
          <w:lang w:val="en-US" w:eastAsia="zh-CN" w:bidi="ar"/>
        </w:rPr>
        <w:t>楼宇</w:t>
      </w:r>
      <w:r>
        <w:rPr>
          <w:rFonts w:hint="eastAsia" w:ascii="黑体" w:hAnsi="黑体" w:eastAsia="黑体" w:cs="黑体"/>
          <w:b w:val="0"/>
          <w:bCs w:val="0"/>
          <w:i w:val="0"/>
          <w:iCs w:val="0"/>
          <w:caps w:val="0"/>
          <w:color w:val="auto"/>
          <w:spacing w:val="0"/>
          <w:kern w:val="0"/>
          <w:sz w:val="32"/>
          <w:szCs w:val="32"/>
          <w:highlight w:val="none"/>
          <w:lang w:val="en-US" w:eastAsia="zh" w:bidi="ar"/>
        </w:rPr>
        <w:t>提高企业入驻率</w:t>
      </w:r>
      <w:r>
        <w:rPr>
          <w:rFonts w:hint="eastAsia" w:ascii="黑体" w:hAnsi="黑体" w:eastAsia="黑体" w:cs="黑体"/>
          <w:b w:val="0"/>
          <w:bCs w:val="0"/>
          <w:i w:val="0"/>
          <w:iCs w:val="0"/>
          <w:caps w:val="0"/>
          <w:color w:val="auto"/>
          <w:spacing w:val="0"/>
          <w:kern w:val="0"/>
          <w:sz w:val="32"/>
          <w:szCs w:val="32"/>
          <w:highlight w:val="none"/>
          <w:lang w:val="en-US" w:eastAsia="zh-CN" w:bidi="ar"/>
        </w:rPr>
        <w:t>。</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对</w:t>
      </w:r>
      <w:r>
        <w:rPr>
          <w:rFonts w:hint="eastAsia" w:ascii="仿宋_GB2312" w:eastAsia="仿宋_GB2312" w:cs="仿宋_GB2312"/>
          <w:b w:val="0"/>
          <w:bCs w:val="0"/>
          <w:i w:val="0"/>
          <w:iCs w:val="0"/>
          <w:caps w:val="0"/>
          <w:color w:val="auto"/>
          <w:spacing w:val="0"/>
          <w:kern w:val="0"/>
          <w:sz w:val="32"/>
          <w:szCs w:val="32"/>
          <w:highlight w:val="none"/>
          <w:lang w:val="en-US" w:eastAsia="zh" w:bidi="ar"/>
        </w:rPr>
        <w:t>可对外租售办公面积</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在</w:t>
      </w:r>
      <w:r>
        <w:rPr>
          <w:rFonts w:hint="eastAsia" w:ascii="仿宋_GB2312" w:eastAsia="仿宋_GB2312" w:cs="仿宋_GB2312"/>
          <w:b w:val="0"/>
          <w:bCs w:val="0"/>
          <w:i w:val="0"/>
          <w:iCs w:val="0"/>
          <w:caps w:val="0"/>
          <w:color w:val="auto"/>
          <w:spacing w:val="0"/>
          <w:kern w:val="0"/>
          <w:sz w:val="32"/>
          <w:szCs w:val="32"/>
          <w:highlight w:val="none"/>
          <w:lang w:val="en-US" w:eastAsia="zh" w:bidi="ar"/>
        </w:rPr>
        <w:t>1.5</w:t>
      </w:r>
      <w:r>
        <w:rPr>
          <w:rFonts w:ascii="仿宋_GB2312" w:hAnsi="Calibri" w:eastAsia="仿宋_GB2312" w:cs="仿宋_GB2312"/>
          <w:b w:val="0"/>
          <w:bCs w:val="0"/>
          <w:i w:val="0"/>
          <w:iCs w:val="0"/>
          <w:caps w:val="0"/>
          <w:color w:val="auto"/>
          <w:spacing w:val="0"/>
          <w:kern w:val="0"/>
          <w:sz w:val="32"/>
          <w:szCs w:val="32"/>
          <w:highlight w:val="none"/>
          <w:lang w:val="en-US" w:eastAsia="zh-CN" w:bidi="ar"/>
        </w:rPr>
        <w:t>万㎡（含）以下的楼宇方，根据其入驻率，最高给予200万元一次性支持。对</w:t>
      </w:r>
      <w:r>
        <w:rPr>
          <w:rFonts w:hint="eastAsia" w:ascii="仿宋_GB2312" w:eastAsia="仿宋_GB2312" w:cs="仿宋_GB2312"/>
          <w:b w:val="0"/>
          <w:bCs w:val="0"/>
          <w:i w:val="0"/>
          <w:iCs w:val="0"/>
          <w:caps w:val="0"/>
          <w:color w:val="auto"/>
          <w:spacing w:val="0"/>
          <w:kern w:val="0"/>
          <w:sz w:val="32"/>
          <w:szCs w:val="32"/>
          <w:highlight w:val="none"/>
          <w:lang w:val="en-US" w:eastAsia="zh" w:bidi="ar"/>
        </w:rPr>
        <w:t>可对外租售办公面积</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在</w:t>
      </w:r>
      <w:r>
        <w:rPr>
          <w:rFonts w:hint="eastAsia" w:ascii="仿宋_GB2312" w:eastAsia="仿宋_GB2312" w:cs="仿宋_GB2312"/>
          <w:b w:val="0"/>
          <w:bCs w:val="0"/>
          <w:i w:val="0"/>
          <w:iCs w:val="0"/>
          <w:caps w:val="0"/>
          <w:color w:val="auto"/>
          <w:spacing w:val="0"/>
          <w:kern w:val="0"/>
          <w:sz w:val="32"/>
          <w:szCs w:val="32"/>
          <w:highlight w:val="none"/>
          <w:lang w:val="en-US" w:eastAsia="zh" w:bidi="ar"/>
        </w:rPr>
        <w:t>1.</w:t>
      </w:r>
      <w:r>
        <w:rPr>
          <w:rFonts w:ascii="仿宋_GB2312" w:hAnsi="Calibri" w:eastAsia="仿宋_GB2312" w:cs="仿宋_GB2312"/>
          <w:b w:val="0"/>
          <w:bCs w:val="0"/>
          <w:i w:val="0"/>
          <w:iCs w:val="0"/>
          <w:caps w:val="0"/>
          <w:color w:val="auto"/>
          <w:spacing w:val="0"/>
          <w:kern w:val="0"/>
          <w:sz w:val="32"/>
          <w:szCs w:val="32"/>
          <w:highlight w:val="none"/>
          <w:lang w:val="en-US" w:eastAsia="zh-CN" w:bidi="ar"/>
        </w:rPr>
        <w:t>5万㎡（含）以上的楼宇方，根据其入驻率，最高给予300万元一次性支持。</w:t>
      </w:r>
    </w:p>
    <w:p w14:paraId="3E026B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left"/>
        <w:textAlignment w:val="auto"/>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 xml:space="preserve">第三条 </w:t>
      </w:r>
      <w:r>
        <w:rPr>
          <w:rFonts w:hint="eastAsia" w:ascii="黑体" w:hAnsi="黑体" w:eastAsia="黑体" w:cs="黑体"/>
          <w:b w:val="0"/>
          <w:bCs w:val="0"/>
          <w:i w:val="0"/>
          <w:iCs w:val="0"/>
          <w:caps w:val="0"/>
          <w:color w:val="auto"/>
          <w:spacing w:val="0"/>
          <w:kern w:val="0"/>
          <w:sz w:val="32"/>
          <w:szCs w:val="32"/>
          <w:highlight w:val="none"/>
          <w:lang w:val="en-US" w:eastAsia="zh" w:bidi="ar"/>
        </w:rPr>
        <w:t>支持楼宇落实“</w:t>
      </w:r>
      <w:r>
        <w:rPr>
          <w:rFonts w:hint="eastAsia" w:ascii="黑体" w:hAnsi="黑体" w:eastAsia="黑体" w:cs="黑体"/>
          <w:b w:val="0"/>
          <w:bCs w:val="0"/>
          <w:i w:val="0"/>
          <w:iCs w:val="0"/>
          <w:caps w:val="0"/>
          <w:color w:val="auto"/>
          <w:spacing w:val="0"/>
          <w:kern w:val="0"/>
          <w:sz w:val="32"/>
          <w:szCs w:val="32"/>
          <w:highlight w:val="none"/>
          <w:lang w:val="en-US" w:eastAsia="zh-CN" w:bidi="ar"/>
        </w:rPr>
        <w:t>一楼一业</w:t>
      </w:r>
      <w:r>
        <w:rPr>
          <w:rFonts w:hint="eastAsia" w:ascii="黑体" w:hAnsi="黑体" w:eastAsia="黑体" w:cs="黑体"/>
          <w:b w:val="0"/>
          <w:bCs w:val="0"/>
          <w:i w:val="0"/>
          <w:iCs w:val="0"/>
          <w:caps w:val="0"/>
          <w:color w:val="auto"/>
          <w:spacing w:val="0"/>
          <w:kern w:val="0"/>
          <w:sz w:val="32"/>
          <w:szCs w:val="32"/>
          <w:highlight w:val="none"/>
          <w:lang w:val="en-US" w:eastAsia="zh" w:bidi="ar"/>
        </w:rPr>
        <w:t>”聚产业</w:t>
      </w:r>
      <w:r>
        <w:rPr>
          <w:rFonts w:hint="eastAsia" w:ascii="黑体" w:hAnsi="黑体" w:eastAsia="黑体" w:cs="黑体"/>
          <w:b w:val="0"/>
          <w:bCs w:val="0"/>
          <w:i w:val="0"/>
          <w:iCs w:val="0"/>
          <w:caps w:val="0"/>
          <w:color w:val="auto"/>
          <w:spacing w:val="0"/>
          <w:kern w:val="0"/>
          <w:sz w:val="32"/>
          <w:szCs w:val="32"/>
          <w:highlight w:val="none"/>
          <w:lang w:val="en-US" w:eastAsia="zh-CN" w:bidi="ar"/>
        </w:rPr>
        <w:t>。</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加快打造</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一楼一产业、一楼一特色</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的楼宇经济。对招引主导产业企业入驻面积占</w:t>
      </w:r>
      <w:r>
        <w:rPr>
          <w:rFonts w:hint="eastAsia" w:ascii="仿宋_GB2312" w:eastAsia="仿宋_GB2312" w:cs="仿宋_GB2312"/>
          <w:b w:val="0"/>
          <w:bCs w:val="0"/>
          <w:i w:val="0"/>
          <w:iCs w:val="0"/>
          <w:caps w:val="0"/>
          <w:color w:val="auto"/>
          <w:spacing w:val="0"/>
          <w:kern w:val="0"/>
          <w:sz w:val="32"/>
          <w:szCs w:val="32"/>
          <w:highlight w:val="none"/>
          <w:lang w:val="en-US" w:eastAsia="zh" w:bidi="ar"/>
        </w:rPr>
        <w:t>可对外租售</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办公面积达50%以上的楼宇方，根据其产业集聚度，最高给予150万元一次性支持。</w:t>
      </w:r>
    </w:p>
    <w:p w14:paraId="0448F8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 xml:space="preserve">第四条 </w:t>
      </w:r>
      <w:r>
        <w:rPr>
          <w:rFonts w:hint="eastAsia" w:ascii="黑体" w:hAnsi="黑体" w:eastAsia="黑体" w:cs="黑体"/>
          <w:b w:val="0"/>
          <w:bCs w:val="0"/>
          <w:i w:val="0"/>
          <w:iCs w:val="0"/>
          <w:caps w:val="0"/>
          <w:color w:val="auto"/>
          <w:spacing w:val="0"/>
          <w:kern w:val="0"/>
          <w:sz w:val="32"/>
          <w:szCs w:val="32"/>
          <w:highlight w:val="none"/>
          <w:lang w:val="en-US" w:eastAsia="zh" w:bidi="ar"/>
        </w:rPr>
        <w:t>鼓励楼宇招大引强</w:t>
      </w:r>
      <w:r>
        <w:rPr>
          <w:rFonts w:hint="eastAsia" w:ascii="黑体" w:hAnsi="黑体" w:eastAsia="黑体" w:cs="黑体"/>
          <w:b w:val="0"/>
          <w:bCs w:val="0"/>
          <w:i w:val="0"/>
          <w:iCs w:val="0"/>
          <w:caps w:val="0"/>
          <w:color w:val="auto"/>
          <w:spacing w:val="0"/>
          <w:kern w:val="0"/>
          <w:sz w:val="32"/>
          <w:szCs w:val="32"/>
          <w:highlight w:val="none"/>
          <w:lang w:val="en-US" w:eastAsia="zh-CN" w:bidi="ar"/>
        </w:rPr>
        <w:t>。</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楼宇方对外招</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引</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符合条件</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的企业，包括</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世界500强、中国500强、民营500强、非500强上市企业以及上述企业设立的三级及以上全资及控股子公司</w:t>
      </w:r>
      <w:r>
        <w:rPr>
          <w:rFonts w:hint="eastAsia" w:ascii="仿宋_GB2312" w:eastAsia="仿宋_GB2312" w:cs="仿宋_GB2312"/>
          <w:i w:val="0"/>
          <w:iCs w:val="0"/>
          <w:caps w:val="0"/>
          <w:color w:val="auto"/>
          <w:spacing w:val="0"/>
          <w:kern w:val="0"/>
          <w:sz w:val="32"/>
          <w:szCs w:val="32"/>
          <w:highlight w:val="none"/>
          <w:vertAlign w:val="baseline"/>
          <w:lang w:val="en-US" w:eastAsia="zh" w:bidi="ar"/>
        </w:rPr>
        <w:t>且已在江东新区开展实质性运营，</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以及符合条件的外资企业，根据</w:t>
      </w:r>
      <w:r>
        <w:rPr>
          <w:rFonts w:hint="eastAsia" w:ascii="仿宋_GB2312" w:eastAsia="仿宋_GB2312" w:cs="仿宋_GB2312"/>
          <w:i w:val="0"/>
          <w:iCs w:val="0"/>
          <w:caps w:val="0"/>
          <w:color w:val="auto"/>
          <w:spacing w:val="0"/>
          <w:kern w:val="0"/>
          <w:sz w:val="32"/>
          <w:szCs w:val="32"/>
          <w:highlight w:val="none"/>
          <w:vertAlign w:val="baseline"/>
          <w:lang w:val="en-US" w:eastAsia="zh" w:bidi="ar"/>
        </w:rPr>
        <w:t>楼宇方</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招引</w:t>
      </w:r>
      <w:r>
        <w:rPr>
          <w:rFonts w:hint="eastAsia" w:ascii="仿宋_GB2312" w:eastAsia="仿宋_GB2312" w:cs="仿宋_GB2312"/>
          <w:i w:val="0"/>
          <w:iCs w:val="0"/>
          <w:caps w:val="0"/>
          <w:color w:val="auto"/>
          <w:spacing w:val="0"/>
          <w:kern w:val="0"/>
          <w:sz w:val="32"/>
          <w:szCs w:val="32"/>
          <w:highlight w:val="none"/>
          <w:vertAlign w:val="baseline"/>
          <w:lang w:val="en-US" w:eastAsia="zh" w:bidi="ar"/>
        </w:rPr>
        <w:t>的</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入驻企业类型，每年最高给予400万元支持。</w:t>
      </w:r>
    </w:p>
    <w:p w14:paraId="725A94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 xml:space="preserve">第五条 </w:t>
      </w:r>
      <w:r>
        <w:rPr>
          <w:rFonts w:hint="eastAsia" w:ascii="黑体" w:hAnsi="黑体" w:eastAsia="黑体" w:cs="黑体"/>
          <w:b w:val="0"/>
          <w:bCs w:val="0"/>
          <w:i w:val="0"/>
          <w:iCs w:val="0"/>
          <w:caps w:val="0"/>
          <w:color w:val="auto"/>
          <w:spacing w:val="0"/>
          <w:kern w:val="0"/>
          <w:sz w:val="32"/>
          <w:szCs w:val="32"/>
          <w:highlight w:val="none"/>
          <w:lang w:val="en-US" w:eastAsia="zh" w:bidi="ar"/>
        </w:rPr>
        <w:t>支持楼宇举办</w:t>
      </w:r>
      <w:r>
        <w:rPr>
          <w:rFonts w:hint="eastAsia" w:ascii="黑体" w:hAnsi="黑体" w:eastAsia="黑体" w:cs="黑体"/>
          <w:b w:val="0"/>
          <w:bCs w:val="0"/>
          <w:i w:val="0"/>
          <w:iCs w:val="0"/>
          <w:caps w:val="0"/>
          <w:color w:val="auto"/>
          <w:spacing w:val="0"/>
          <w:kern w:val="0"/>
          <w:sz w:val="32"/>
          <w:szCs w:val="32"/>
          <w:highlight w:val="none"/>
          <w:lang w:val="en-US" w:eastAsia="zh-CN" w:bidi="ar"/>
        </w:rPr>
        <w:t>招商活动。</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支持楼宇方通过举办</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招商推介会、行业峰会、企业沙龙等商务活动，拓市场、寻商机、促招引，畅通资源、信息、业务互联渠道。对举办经备案商务活动的楼宇方，根据活动实际发生金额的50%，最高给予每年</w:t>
      </w:r>
      <w:r>
        <w:rPr>
          <w:rFonts w:hint="eastAsia" w:ascii="仿宋_GB2312" w:eastAsia="仿宋_GB2312" w:cs="仿宋_GB2312"/>
          <w:i w:val="0"/>
          <w:iCs w:val="0"/>
          <w:caps w:val="0"/>
          <w:color w:val="auto"/>
          <w:spacing w:val="0"/>
          <w:kern w:val="0"/>
          <w:sz w:val="32"/>
          <w:szCs w:val="32"/>
          <w:highlight w:val="none"/>
          <w:vertAlign w:val="baseline"/>
          <w:lang w:val="en-US" w:eastAsia="zh" w:bidi="ar"/>
        </w:rPr>
        <w:t>80</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万元招商活动支持。</w:t>
      </w:r>
    </w:p>
    <w:p w14:paraId="04AD56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第六条 支持</w:t>
      </w:r>
      <w:r>
        <w:rPr>
          <w:rFonts w:hint="eastAsia" w:ascii="黑体" w:hAnsi="黑体" w:eastAsia="黑体" w:cs="黑体"/>
          <w:b w:val="0"/>
          <w:bCs w:val="0"/>
          <w:i w:val="0"/>
          <w:iCs w:val="0"/>
          <w:caps w:val="0"/>
          <w:color w:val="auto"/>
          <w:spacing w:val="0"/>
          <w:kern w:val="0"/>
          <w:sz w:val="32"/>
          <w:szCs w:val="32"/>
          <w:highlight w:val="none"/>
          <w:lang w:val="en-US" w:eastAsia="zh" w:bidi="ar"/>
        </w:rPr>
        <w:t>楼宇</w:t>
      </w:r>
      <w:r>
        <w:rPr>
          <w:rFonts w:hint="eastAsia" w:ascii="黑体" w:hAnsi="黑体" w:eastAsia="黑体" w:cs="黑体"/>
          <w:b w:val="0"/>
          <w:bCs w:val="0"/>
          <w:i w:val="0"/>
          <w:iCs w:val="0"/>
          <w:caps w:val="0"/>
          <w:color w:val="auto"/>
          <w:spacing w:val="0"/>
          <w:kern w:val="0"/>
          <w:sz w:val="32"/>
          <w:szCs w:val="32"/>
          <w:highlight w:val="none"/>
          <w:lang w:val="en-US" w:eastAsia="zh-CN" w:bidi="ar"/>
        </w:rPr>
        <w:t>引才聚气。</w:t>
      </w:r>
      <w:r>
        <w:rPr>
          <w:rFonts w:ascii="Arial" w:hAnsi="Arial" w:eastAsia="仿宋_GB2312" w:cs="Arial"/>
          <w:b w:val="0"/>
          <w:bCs w:val="0"/>
          <w:i w:val="0"/>
          <w:iCs w:val="0"/>
          <w:caps w:val="0"/>
          <w:color w:val="auto"/>
          <w:spacing w:val="0"/>
          <w:kern w:val="0"/>
          <w:sz w:val="32"/>
          <w:szCs w:val="32"/>
          <w:highlight w:val="none"/>
          <w:vertAlign w:val="baseline"/>
          <w:lang w:val="en-US" w:eastAsia="zh-CN" w:bidi="ar"/>
        </w:rPr>
        <w:t>支持楼宇方</w:t>
      </w:r>
      <w:r>
        <w:rPr>
          <w:rFonts w:ascii="Arial" w:hAnsi="Arial" w:eastAsia="仿宋_GB2312" w:cs="Arial"/>
          <w:i w:val="0"/>
          <w:iCs w:val="0"/>
          <w:caps w:val="0"/>
          <w:color w:val="auto"/>
          <w:spacing w:val="0"/>
          <w:kern w:val="0"/>
          <w:sz w:val="32"/>
          <w:szCs w:val="32"/>
          <w:highlight w:val="none"/>
          <w:vertAlign w:val="baseline"/>
          <w:lang w:val="en-US" w:eastAsia="zh-CN" w:bidi="ar"/>
        </w:rPr>
        <w:t>多措并举引才聚</w:t>
      </w:r>
      <w:r>
        <w:rPr>
          <w:rStyle w:val="5"/>
          <w:rFonts w:ascii="Arial" w:hAnsi="Arial" w:eastAsia="仿宋_GB2312" w:cs="Arial"/>
          <w:i w:val="0"/>
          <w:iCs w:val="0"/>
          <w:caps w:val="0"/>
          <w:color w:val="auto"/>
          <w:spacing w:val="0"/>
          <w:kern w:val="0"/>
          <w:sz w:val="32"/>
          <w:szCs w:val="32"/>
          <w:highlight w:val="none"/>
          <w:vertAlign w:val="baseline"/>
          <w:lang w:val="en-US" w:eastAsia="zh-CN" w:bidi="ar"/>
        </w:rPr>
        <w:t>才</w:t>
      </w:r>
      <w:r>
        <w:rPr>
          <w:rFonts w:ascii="Arial" w:hAnsi="Arial" w:eastAsia="仿宋_GB2312" w:cs="Arial"/>
          <w:b w:val="0"/>
          <w:bCs w:val="0"/>
          <w:i w:val="0"/>
          <w:iCs w:val="0"/>
          <w:caps w:val="0"/>
          <w:color w:val="auto"/>
          <w:spacing w:val="0"/>
          <w:kern w:val="0"/>
          <w:sz w:val="32"/>
          <w:szCs w:val="32"/>
          <w:highlight w:val="none"/>
          <w:vertAlign w:val="baseline"/>
          <w:lang w:val="en-US" w:eastAsia="zh-CN" w:bidi="ar"/>
        </w:rPr>
        <w:t>，赋能</w:t>
      </w:r>
      <w:r>
        <w:rPr>
          <w:rFonts w:hint="default" w:ascii="Arial" w:hAnsi="Arial" w:eastAsia="仿宋_GB2312" w:cs="Arial"/>
          <w:b w:val="0"/>
          <w:bCs w:val="0"/>
          <w:i w:val="0"/>
          <w:iCs w:val="0"/>
          <w:caps w:val="0"/>
          <w:color w:val="auto"/>
          <w:spacing w:val="0"/>
          <w:kern w:val="0"/>
          <w:sz w:val="32"/>
          <w:szCs w:val="32"/>
          <w:highlight w:val="none"/>
          <w:vertAlign w:val="baseline"/>
          <w:lang w:val="en-US" w:eastAsia="zh" w:bidi="ar"/>
        </w:rPr>
        <w:t>“</w:t>
      </w:r>
      <w:r>
        <w:rPr>
          <w:rFonts w:ascii="Arial" w:hAnsi="Arial" w:eastAsia="仿宋_GB2312" w:cs="Arial"/>
          <w:b w:val="0"/>
          <w:bCs w:val="0"/>
          <w:i w:val="0"/>
          <w:iCs w:val="0"/>
          <w:caps w:val="0"/>
          <w:color w:val="auto"/>
          <w:spacing w:val="0"/>
          <w:kern w:val="0"/>
          <w:sz w:val="32"/>
          <w:szCs w:val="32"/>
          <w:highlight w:val="none"/>
          <w:vertAlign w:val="baseline"/>
          <w:lang w:val="en-US" w:eastAsia="zh-CN" w:bidi="ar"/>
        </w:rPr>
        <w:t>一楼一业</w:t>
      </w:r>
      <w:r>
        <w:rPr>
          <w:rFonts w:hint="default" w:ascii="Arial" w:hAnsi="Arial" w:eastAsia="仿宋_GB2312" w:cs="Arial"/>
          <w:b w:val="0"/>
          <w:bCs w:val="0"/>
          <w:i w:val="0"/>
          <w:iCs w:val="0"/>
          <w:caps w:val="0"/>
          <w:color w:val="auto"/>
          <w:spacing w:val="0"/>
          <w:kern w:val="0"/>
          <w:sz w:val="32"/>
          <w:szCs w:val="32"/>
          <w:highlight w:val="none"/>
          <w:vertAlign w:val="baseline"/>
          <w:lang w:val="en-US" w:eastAsia="zh" w:bidi="ar"/>
        </w:rPr>
        <w:t>”</w:t>
      </w:r>
      <w:r>
        <w:rPr>
          <w:rFonts w:ascii="Arial" w:hAnsi="Arial" w:eastAsia="仿宋_GB2312" w:cs="Arial"/>
          <w:b w:val="0"/>
          <w:bCs w:val="0"/>
          <w:i w:val="0"/>
          <w:iCs w:val="0"/>
          <w:caps w:val="0"/>
          <w:color w:val="auto"/>
          <w:spacing w:val="0"/>
          <w:kern w:val="0"/>
          <w:sz w:val="32"/>
          <w:szCs w:val="32"/>
          <w:highlight w:val="none"/>
          <w:vertAlign w:val="baseline"/>
          <w:lang w:val="en-US" w:eastAsia="zh-CN" w:bidi="ar"/>
        </w:rPr>
        <w:t>高质量发展。根据</w:t>
      </w:r>
      <w:r>
        <w:rPr>
          <w:rFonts w:hint="eastAsia" w:ascii="Arial" w:hAnsi="Arial" w:eastAsia="仿宋_GB2312" w:cs="Arial"/>
          <w:b w:val="0"/>
          <w:bCs w:val="0"/>
          <w:i w:val="0"/>
          <w:iCs w:val="0"/>
          <w:caps w:val="0"/>
          <w:color w:val="auto"/>
          <w:spacing w:val="0"/>
          <w:kern w:val="0"/>
          <w:sz w:val="32"/>
          <w:szCs w:val="32"/>
          <w:highlight w:val="none"/>
          <w:vertAlign w:val="baseline"/>
          <w:lang w:val="en-US" w:eastAsia="zh" w:bidi="ar"/>
        </w:rPr>
        <w:t>其</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对外招</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引</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符合条件</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的</w:t>
      </w:r>
      <w:r>
        <w:rPr>
          <w:rFonts w:hint="eastAsia" w:ascii="Arial" w:hAnsi="Arial" w:eastAsia="仿宋_GB2312" w:cs="Arial"/>
          <w:b w:val="0"/>
          <w:bCs w:val="0"/>
          <w:i w:val="0"/>
          <w:iCs w:val="0"/>
          <w:caps w:val="0"/>
          <w:color w:val="auto"/>
          <w:spacing w:val="0"/>
          <w:kern w:val="0"/>
          <w:sz w:val="32"/>
          <w:szCs w:val="32"/>
          <w:highlight w:val="none"/>
          <w:vertAlign w:val="baseline"/>
          <w:lang w:val="en-US" w:eastAsia="zh" w:bidi="ar"/>
        </w:rPr>
        <w:t>企业</w:t>
      </w:r>
      <w:r>
        <w:rPr>
          <w:rFonts w:hint="default" w:ascii="Arial" w:hAnsi="Arial" w:eastAsia="仿宋_GB2312" w:cs="Arial"/>
          <w:b w:val="0"/>
          <w:bCs w:val="0"/>
          <w:i w:val="0"/>
          <w:iCs w:val="0"/>
          <w:caps w:val="0"/>
          <w:color w:val="auto"/>
          <w:spacing w:val="0"/>
          <w:kern w:val="0"/>
          <w:sz w:val="32"/>
          <w:szCs w:val="32"/>
          <w:highlight w:val="none"/>
          <w:vertAlign w:val="baseline"/>
          <w:lang w:val="en-US" w:eastAsia="zh" w:bidi="ar"/>
        </w:rPr>
        <w:t>实际进驻的</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人员</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数量，最高给予楼宇方每年100万元人气集聚支持。</w:t>
      </w:r>
    </w:p>
    <w:p w14:paraId="77DDD2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第七条 鼓励楼宇</w:t>
      </w:r>
      <w:r>
        <w:rPr>
          <w:rFonts w:hint="eastAsia" w:ascii="黑体" w:hAnsi="黑体" w:eastAsia="黑体" w:cs="黑体"/>
          <w:b w:val="0"/>
          <w:bCs w:val="0"/>
          <w:i w:val="0"/>
          <w:iCs w:val="0"/>
          <w:caps w:val="0"/>
          <w:color w:val="auto"/>
          <w:spacing w:val="0"/>
          <w:kern w:val="0"/>
          <w:sz w:val="32"/>
          <w:szCs w:val="32"/>
          <w:highlight w:val="none"/>
          <w:lang w:val="en-US" w:eastAsia="zh" w:bidi="ar"/>
        </w:rPr>
        <w:t>提升</w:t>
      </w:r>
      <w:r>
        <w:rPr>
          <w:rFonts w:hint="eastAsia" w:ascii="黑体" w:hAnsi="黑体" w:eastAsia="黑体" w:cs="黑体"/>
          <w:b w:val="0"/>
          <w:bCs w:val="0"/>
          <w:i w:val="0"/>
          <w:iCs w:val="0"/>
          <w:caps w:val="0"/>
          <w:color w:val="auto"/>
          <w:spacing w:val="0"/>
          <w:kern w:val="0"/>
          <w:sz w:val="32"/>
          <w:szCs w:val="32"/>
          <w:highlight w:val="none"/>
          <w:lang w:val="en-US" w:eastAsia="zh-CN" w:bidi="ar"/>
        </w:rPr>
        <w:t>物业管理服务水平。</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对聘请</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国际知名物业管理企业进行物业管理服务的楼宇方，根据其楼宇总建筑面积，最高给予每年50万元运营支持。</w:t>
      </w:r>
    </w:p>
    <w:p w14:paraId="5DC180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hint="eastAsia" w:ascii="Calibri" w:hAnsi="Calibri" w:eastAsia="仿宋_GB2312" w:cs="Calibri"/>
          <w:i w:val="0"/>
          <w:iCs w:val="0"/>
          <w:caps w:val="0"/>
          <w:spacing w:val="0"/>
          <w:kern w:val="2"/>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第八条 支持</w:t>
      </w:r>
      <w:r>
        <w:rPr>
          <w:rFonts w:hint="eastAsia" w:ascii="黑体" w:hAnsi="黑体" w:eastAsia="黑体"/>
          <w:color w:val="auto"/>
          <w:kern w:val="0"/>
          <w:sz w:val="32"/>
          <w:szCs w:val="32"/>
          <w:highlight w:val="none"/>
          <w:lang w:eastAsia="zh" w:bidi="ar"/>
        </w:rPr>
        <w:t>楼宇</w:t>
      </w:r>
      <w:r>
        <w:rPr>
          <w:rFonts w:hint="eastAsia" w:ascii="黑体" w:hAnsi="黑体" w:eastAsia="黑体"/>
          <w:color w:val="auto"/>
          <w:kern w:val="0"/>
          <w:sz w:val="32"/>
          <w:szCs w:val="32"/>
          <w:highlight w:val="none"/>
          <w:lang w:val="en-US" w:eastAsia="zh-CN" w:bidi="ar"/>
        </w:rPr>
        <w:t>提升商业功能配套</w:t>
      </w:r>
      <w:r>
        <w:rPr>
          <w:rFonts w:hint="eastAsia" w:ascii="黑体" w:hAnsi="黑体" w:eastAsia="黑体" w:cs="黑体"/>
          <w:b w:val="0"/>
          <w:bCs w:val="0"/>
          <w:i w:val="0"/>
          <w:iCs w:val="0"/>
          <w:caps w:val="0"/>
          <w:color w:val="auto"/>
          <w:spacing w:val="0"/>
          <w:kern w:val="0"/>
          <w:sz w:val="32"/>
          <w:szCs w:val="32"/>
          <w:highlight w:val="none"/>
          <w:lang w:val="en-US" w:eastAsia="zh-CN" w:bidi="ar"/>
        </w:rPr>
        <w:t>。</w:t>
      </w:r>
      <w:r>
        <w:rPr>
          <w:rFonts w:hint="eastAsia" w:ascii="仿宋_GB2312" w:hAnsi="Calibri" w:eastAsia="仿宋_GB2312" w:cs="仿宋_GB2312"/>
          <w:b w:val="0"/>
          <w:bCs w:val="0"/>
          <w:i w:val="0"/>
          <w:iCs w:val="0"/>
          <w:caps w:val="0"/>
          <w:spacing w:val="0"/>
          <w:kern w:val="0"/>
          <w:sz w:val="32"/>
          <w:szCs w:val="32"/>
          <w:highlight w:val="none"/>
          <w:lang w:val="en-US" w:eastAsia="zh-CN" w:bidi="ar"/>
        </w:rPr>
        <w:t>对楼宇商业配套开业面积达70%（含）以上的楼宇方，根据其商业总面积，最高给予</w:t>
      </w:r>
      <w:r>
        <w:rPr>
          <w:rFonts w:hint="eastAsia" w:ascii="仿宋_GB2312" w:eastAsia="仿宋_GB2312" w:cs="仿宋_GB2312"/>
          <w:b w:val="0"/>
          <w:bCs w:val="0"/>
          <w:i w:val="0"/>
          <w:iCs w:val="0"/>
          <w:caps w:val="0"/>
          <w:spacing w:val="0"/>
          <w:kern w:val="0"/>
          <w:sz w:val="32"/>
          <w:szCs w:val="32"/>
          <w:highlight w:val="none"/>
          <w:lang w:val="en-US" w:eastAsia="zh" w:bidi="ar"/>
        </w:rPr>
        <w:t>3</w:t>
      </w:r>
      <w:r>
        <w:rPr>
          <w:rFonts w:hint="eastAsia" w:ascii="仿宋_GB2312" w:hAnsi="Calibri" w:eastAsia="仿宋_GB2312" w:cs="仿宋_GB2312"/>
          <w:b w:val="0"/>
          <w:bCs w:val="0"/>
          <w:i w:val="0"/>
          <w:iCs w:val="0"/>
          <w:caps w:val="0"/>
          <w:spacing w:val="0"/>
          <w:kern w:val="0"/>
          <w:sz w:val="32"/>
          <w:szCs w:val="32"/>
          <w:highlight w:val="none"/>
          <w:lang w:val="en-US" w:eastAsia="zh-CN" w:bidi="ar"/>
        </w:rPr>
        <w:t>00万元一次性支持。</w:t>
      </w:r>
    </w:p>
    <w:p w14:paraId="159F0B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hint="eastAsia" w:ascii="仿宋_GB2312" w:hAnsi="Calibri" w:eastAsia="仿宋_GB2312" w:cs="仿宋_GB2312"/>
          <w:b w:val="0"/>
          <w:bCs w:val="0"/>
          <w:i w:val="0"/>
          <w:iCs w:val="0"/>
          <w:caps w:val="0"/>
          <w:spacing w:val="0"/>
          <w:kern w:val="0"/>
          <w:sz w:val="32"/>
          <w:szCs w:val="32"/>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 xml:space="preserve">第九条 </w:t>
      </w:r>
      <w:r>
        <w:rPr>
          <w:rFonts w:hint="eastAsia" w:ascii="黑体" w:hAnsi="黑体" w:eastAsia="黑体" w:cs="黑体"/>
          <w:b w:val="0"/>
          <w:bCs w:val="0"/>
          <w:i w:val="0"/>
          <w:iCs w:val="0"/>
          <w:caps w:val="0"/>
          <w:color w:val="auto"/>
          <w:spacing w:val="0"/>
          <w:kern w:val="0"/>
          <w:sz w:val="32"/>
          <w:szCs w:val="32"/>
          <w:highlight w:val="none"/>
          <w:lang w:val="en-US" w:eastAsia="zh" w:bidi="ar"/>
        </w:rPr>
        <w:t>支持楼宇</w:t>
      </w:r>
      <w:r>
        <w:rPr>
          <w:rFonts w:hint="eastAsia" w:ascii="黑体" w:hAnsi="黑体" w:eastAsia="黑体" w:cs="黑体"/>
          <w:b w:val="0"/>
          <w:bCs w:val="0"/>
          <w:i w:val="0"/>
          <w:iCs w:val="0"/>
          <w:caps w:val="0"/>
          <w:color w:val="auto"/>
          <w:spacing w:val="0"/>
          <w:kern w:val="0"/>
          <w:sz w:val="32"/>
          <w:szCs w:val="32"/>
          <w:highlight w:val="none"/>
          <w:lang w:val="en-US" w:eastAsia="zh-CN" w:bidi="ar"/>
        </w:rPr>
        <w:t>加大</w:t>
      </w:r>
      <w:r>
        <w:rPr>
          <w:rFonts w:hint="eastAsia" w:ascii="黑体" w:hAnsi="黑体" w:eastAsia="黑体" w:cs="黑体"/>
          <w:b w:val="0"/>
          <w:bCs w:val="0"/>
          <w:i w:val="0"/>
          <w:iCs w:val="0"/>
          <w:caps w:val="0"/>
          <w:color w:val="auto"/>
          <w:spacing w:val="0"/>
          <w:kern w:val="0"/>
          <w:sz w:val="32"/>
          <w:szCs w:val="32"/>
          <w:highlight w:val="none"/>
          <w:lang w:val="en-US" w:eastAsia="zh" w:bidi="ar"/>
        </w:rPr>
        <w:t>“</w:t>
      </w:r>
      <w:r>
        <w:rPr>
          <w:rFonts w:hint="eastAsia" w:ascii="黑体" w:hAnsi="黑体" w:eastAsia="黑体" w:cs="黑体"/>
          <w:b w:val="0"/>
          <w:bCs w:val="0"/>
          <w:i w:val="0"/>
          <w:iCs w:val="0"/>
          <w:caps w:val="0"/>
          <w:color w:val="auto"/>
          <w:spacing w:val="0"/>
          <w:kern w:val="0"/>
          <w:sz w:val="32"/>
          <w:szCs w:val="32"/>
          <w:highlight w:val="none"/>
          <w:lang w:val="en-US" w:eastAsia="zh-CN" w:bidi="ar"/>
        </w:rPr>
        <w:t>首店</w:t>
      </w:r>
      <w:r>
        <w:rPr>
          <w:rFonts w:hint="eastAsia" w:ascii="黑体" w:hAnsi="黑体" w:eastAsia="黑体" w:cs="黑体"/>
          <w:b w:val="0"/>
          <w:bCs w:val="0"/>
          <w:i w:val="0"/>
          <w:iCs w:val="0"/>
          <w:caps w:val="0"/>
          <w:color w:val="auto"/>
          <w:spacing w:val="0"/>
          <w:kern w:val="0"/>
          <w:sz w:val="32"/>
          <w:szCs w:val="32"/>
          <w:highlight w:val="none"/>
          <w:lang w:val="en-US" w:eastAsia="zh" w:bidi="ar"/>
        </w:rPr>
        <w:t>”</w:t>
      </w:r>
      <w:r>
        <w:rPr>
          <w:rFonts w:hint="eastAsia" w:ascii="黑体" w:hAnsi="黑体" w:eastAsia="黑体" w:cs="黑体"/>
          <w:b w:val="0"/>
          <w:bCs w:val="0"/>
          <w:i w:val="0"/>
          <w:iCs w:val="0"/>
          <w:caps w:val="0"/>
          <w:color w:val="auto"/>
          <w:spacing w:val="0"/>
          <w:kern w:val="0"/>
          <w:sz w:val="32"/>
          <w:szCs w:val="32"/>
          <w:highlight w:val="none"/>
          <w:lang w:val="en-US" w:eastAsia="zh-CN" w:bidi="ar"/>
        </w:rPr>
        <w:t>引进力度。</w:t>
      </w:r>
      <w:r>
        <w:rPr>
          <w:rFonts w:hint="eastAsia" w:ascii="仿宋_GB2312" w:hAnsi="Calibri" w:eastAsia="仿宋_GB2312" w:cs="仿宋_GB2312"/>
          <w:i w:val="0"/>
          <w:iCs w:val="0"/>
          <w:caps w:val="0"/>
          <w:spacing w:val="0"/>
          <w:kern w:val="0"/>
          <w:sz w:val="32"/>
          <w:szCs w:val="32"/>
          <w:highlight w:val="none"/>
          <w:lang w:val="en-US" w:eastAsia="zh-CN" w:bidi="ar"/>
        </w:rPr>
        <w:t>对引进</w:t>
      </w:r>
      <w:r>
        <w:rPr>
          <w:rFonts w:hint="eastAsia" w:ascii="仿宋_GB2312" w:hAnsi="Calibri" w:eastAsia="仿宋_GB2312" w:cs="仿宋_GB2312"/>
          <w:b w:val="0"/>
          <w:bCs w:val="0"/>
          <w:i w:val="0"/>
          <w:iCs w:val="0"/>
          <w:caps w:val="0"/>
          <w:spacing w:val="0"/>
          <w:kern w:val="0"/>
          <w:sz w:val="32"/>
          <w:szCs w:val="32"/>
          <w:highlight w:val="none"/>
          <w:lang w:val="en-US" w:eastAsia="zh-CN" w:bidi="ar"/>
        </w:rPr>
        <w:t>开设中国、海南、海口、江东首店的国内外知名品牌的楼宇方，根据其引进的品牌首店能级和营业面积，单店最高给予楼宇方150万元一次性支持。对楼宇方商业总面积3</w:t>
      </w:r>
      <w:r>
        <w:rPr>
          <w:rFonts w:hint="eastAsia" w:ascii="仿宋_GB2312" w:eastAsia="仿宋_GB2312" w:cs="仿宋_GB2312"/>
          <w:b w:val="0"/>
          <w:bCs w:val="0"/>
          <w:i w:val="0"/>
          <w:iCs w:val="0"/>
          <w:caps w:val="0"/>
          <w:spacing w:val="0"/>
          <w:kern w:val="0"/>
          <w:sz w:val="32"/>
          <w:szCs w:val="32"/>
          <w:highlight w:val="none"/>
          <w:lang w:val="en-US" w:eastAsia="zh" w:bidi="ar"/>
        </w:rPr>
        <w:t>万</w:t>
      </w:r>
      <w:r>
        <w:rPr>
          <w:rFonts w:hint="eastAsia" w:ascii="仿宋_GB2312" w:hAnsi="Calibri" w:eastAsia="仿宋_GB2312" w:cs="仿宋_GB2312"/>
          <w:b w:val="0"/>
          <w:bCs w:val="0"/>
          <w:i w:val="0"/>
          <w:iCs w:val="0"/>
          <w:caps w:val="0"/>
          <w:spacing w:val="0"/>
          <w:kern w:val="0"/>
          <w:sz w:val="32"/>
          <w:szCs w:val="32"/>
          <w:highlight w:val="none"/>
          <w:lang w:val="en-US" w:eastAsia="zh-CN" w:bidi="ar"/>
        </w:rPr>
        <w:t>㎡（含）以上的，</w:t>
      </w:r>
      <w:r>
        <w:rPr>
          <w:rFonts w:hint="eastAsia" w:ascii="仿宋_GB2312" w:eastAsia="仿宋_GB2312" w:cs="仿宋_GB2312"/>
          <w:b w:val="0"/>
          <w:bCs w:val="0"/>
          <w:i w:val="0"/>
          <w:iCs w:val="0"/>
          <w:caps w:val="0"/>
          <w:spacing w:val="0"/>
          <w:kern w:val="0"/>
          <w:sz w:val="32"/>
          <w:szCs w:val="32"/>
          <w:highlight w:val="none"/>
          <w:lang w:val="en-US" w:eastAsia="zh" w:bidi="ar"/>
        </w:rPr>
        <w:t>单店</w:t>
      </w:r>
      <w:r>
        <w:rPr>
          <w:rFonts w:hint="eastAsia" w:ascii="仿宋_GB2312" w:hAnsi="Calibri" w:eastAsia="仿宋_GB2312" w:cs="仿宋_GB2312"/>
          <w:b w:val="0"/>
          <w:bCs w:val="0"/>
          <w:i w:val="0"/>
          <w:iCs w:val="0"/>
          <w:caps w:val="0"/>
          <w:spacing w:val="0"/>
          <w:kern w:val="0"/>
          <w:sz w:val="32"/>
          <w:szCs w:val="32"/>
          <w:highlight w:val="none"/>
          <w:lang w:val="en-US" w:eastAsia="zh-CN" w:bidi="ar"/>
        </w:rPr>
        <w:t>支持标准均上浮20%</w:t>
      </w:r>
      <w:r>
        <w:rPr>
          <w:rFonts w:hint="eastAsia" w:ascii="仿宋_GB2312" w:eastAsia="仿宋_GB2312" w:cs="仿宋_GB2312"/>
          <w:b w:val="0"/>
          <w:bCs w:val="0"/>
          <w:i w:val="0"/>
          <w:iCs w:val="0"/>
          <w:caps w:val="0"/>
          <w:spacing w:val="0"/>
          <w:kern w:val="0"/>
          <w:sz w:val="32"/>
          <w:szCs w:val="32"/>
          <w:highlight w:val="none"/>
          <w:lang w:val="en-US" w:eastAsia="zh" w:bidi="ar"/>
        </w:rPr>
        <w:t>。</w:t>
      </w:r>
      <w:r>
        <w:rPr>
          <w:rFonts w:hint="eastAsia" w:ascii="仿宋_GB2312" w:hAnsi="Calibri" w:eastAsia="仿宋_GB2312" w:cs="仿宋_GB2312"/>
          <w:b w:val="0"/>
          <w:bCs w:val="0"/>
          <w:i w:val="0"/>
          <w:iCs w:val="0"/>
          <w:caps w:val="0"/>
          <w:spacing w:val="0"/>
          <w:kern w:val="0"/>
          <w:sz w:val="32"/>
          <w:szCs w:val="32"/>
          <w:highlight w:val="none"/>
          <w:lang w:val="en-US" w:eastAsia="zh-CN" w:bidi="ar"/>
        </w:rPr>
        <w:t>本条款可与海口市颁布相关首店政策叠加享受。</w:t>
      </w:r>
    </w:p>
    <w:p w14:paraId="46FB54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hint="eastAsia" w:ascii="仿宋_GB2312" w:eastAsia="仿宋_GB2312" w:cs="仿宋_GB2312"/>
          <w:b w:val="0"/>
          <w:bCs w:val="0"/>
          <w:i w:val="0"/>
          <w:iCs w:val="0"/>
          <w:caps w:val="0"/>
          <w:spacing w:val="0"/>
          <w:kern w:val="0"/>
          <w:sz w:val="32"/>
          <w:szCs w:val="32"/>
          <w:highlight w:val="none"/>
          <w:lang w:val="en-US" w:eastAsia="zh"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w:t>
      </w:r>
      <w:r>
        <w:rPr>
          <w:rFonts w:hint="eastAsia" w:ascii="黑体" w:hAnsi="黑体" w:eastAsia="黑体" w:cs="黑体"/>
          <w:b w:val="0"/>
          <w:bCs w:val="0"/>
          <w:i w:val="0"/>
          <w:iCs w:val="0"/>
          <w:caps w:val="0"/>
          <w:color w:val="auto"/>
          <w:spacing w:val="0"/>
          <w:kern w:val="0"/>
          <w:sz w:val="32"/>
          <w:szCs w:val="32"/>
          <w:highlight w:val="none"/>
          <w:lang w:val="en-US" w:eastAsia="zh" w:bidi="ar"/>
        </w:rPr>
        <w:t>十</w:t>
      </w:r>
      <w:r>
        <w:rPr>
          <w:rFonts w:hint="eastAsia" w:ascii="黑体" w:hAnsi="黑体" w:eastAsia="黑体" w:cs="黑体"/>
          <w:b w:val="0"/>
          <w:bCs w:val="0"/>
          <w:i w:val="0"/>
          <w:iCs w:val="0"/>
          <w:caps w:val="0"/>
          <w:color w:val="auto"/>
          <w:spacing w:val="0"/>
          <w:kern w:val="0"/>
          <w:sz w:val="32"/>
          <w:szCs w:val="32"/>
          <w:highlight w:val="none"/>
          <w:lang w:val="en-US" w:eastAsia="zh-CN" w:bidi="ar"/>
        </w:rPr>
        <w:t xml:space="preserve">条 </w:t>
      </w:r>
      <w:r>
        <w:rPr>
          <w:rFonts w:hint="eastAsia" w:ascii="黑体" w:hAnsi="黑体" w:eastAsia="黑体" w:cs="黑体"/>
          <w:b w:val="0"/>
          <w:bCs w:val="0"/>
          <w:i w:val="0"/>
          <w:iCs w:val="0"/>
          <w:caps w:val="0"/>
          <w:color w:val="auto"/>
          <w:spacing w:val="0"/>
          <w:kern w:val="0"/>
          <w:sz w:val="32"/>
          <w:szCs w:val="32"/>
          <w:highlight w:val="none"/>
          <w:lang w:val="en-US" w:eastAsia="zh" w:bidi="ar"/>
        </w:rPr>
        <w:t>知名咖啡品牌引进支持。</w:t>
      </w:r>
      <w:r>
        <w:rPr>
          <w:rFonts w:hint="eastAsia" w:ascii="仿宋_GB2312" w:eastAsia="仿宋_GB2312" w:cs="仿宋_GB2312"/>
          <w:b w:val="0"/>
          <w:bCs w:val="0"/>
          <w:i w:val="0"/>
          <w:iCs w:val="0"/>
          <w:caps w:val="0"/>
          <w:spacing w:val="0"/>
          <w:kern w:val="0"/>
          <w:sz w:val="32"/>
          <w:szCs w:val="32"/>
          <w:highlight w:val="none"/>
          <w:lang w:val="en-US" w:eastAsia="zh" w:bidi="ar"/>
        </w:rPr>
        <w:t>对成功引入经江东管理局认定的知名连锁咖啡品牌的楼宇方，自引入并经营1年后，给予一次性品牌引进支持10万元。</w:t>
      </w:r>
    </w:p>
    <w:p w14:paraId="493772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hint="eastAsia" w:ascii="仿宋_GB2312" w:eastAsia="仿宋_GB2312" w:cs="仿宋_GB2312"/>
          <w:b w:val="0"/>
          <w:bCs w:val="0"/>
          <w:i w:val="0"/>
          <w:iCs w:val="0"/>
          <w:caps w:val="0"/>
          <w:spacing w:val="0"/>
          <w:kern w:val="0"/>
          <w:sz w:val="32"/>
          <w:szCs w:val="32"/>
          <w:highlight w:val="none"/>
          <w:lang w:val="en-US" w:eastAsia="zh" w:bidi="ar"/>
        </w:rPr>
      </w:pPr>
      <w:r>
        <w:rPr>
          <w:rFonts w:hint="eastAsia" w:ascii="仿宋_GB2312" w:eastAsia="仿宋_GB2312" w:cs="仿宋_GB2312"/>
          <w:b w:val="0"/>
          <w:bCs w:val="0"/>
          <w:i w:val="0"/>
          <w:iCs w:val="0"/>
          <w:caps w:val="0"/>
          <w:spacing w:val="0"/>
          <w:kern w:val="0"/>
          <w:sz w:val="32"/>
          <w:szCs w:val="32"/>
          <w:highlight w:val="none"/>
          <w:lang w:val="en-US" w:eastAsia="zh" w:bidi="ar"/>
        </w:rPr>
        <w:t>对引入知名咖啡品牌连锁店、本土小众精品咖啡馆、咖啡系列产品销售、咖啡豆加工及贸易、咖啡器具制造及展示展销的楼宇方，经营满1年后，根据其营业面积分档给予一次性支持资金，单店最高给予楼宇方8万元一次性支持。</w:t>
      </w:r>
    </w:p>
    <w:p w14:paraId="6EF126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w:t>
      </w:r>
      <w:r>
        <w:rPr>
          <w:rFonts w:hint="eastAsia" w:ascii="黑体" w:hAnsi="黑体" w:eastAsia="黑体" w:cs="黑体"/>
          <w:b w:val="0"/>
          <w:bCs w:val="0"/>
          <w:i w:val="0"/>
          <w:iCs w:val="0"/>
          <w:caps w:val="0"/>
          <w:color w:val="auto"/>
          <w:spacing w:val="0"/>
          <w:kern w:val="0"/>
          <w:sz w:val="32"/>
          <w:szCs w:val="32"/>
          <w:highlight w:val="none"/>
          <w:lang w:val="en-US" w:eastAsia="zh" w:bidi="ar"/>
        </w:rPr>
        <w:t>十一</w:t>
      </w:r>
      <w:r>
        <w:rPr>
          <w:rFonts w:hint="eastAsia" w:ascii="黑体" w:hAnsi="黑体" w:eastAsia="黑体" w:cs="黑体"/>
          <w:b w:val="0"/>
          <w:bCs w:val="0"/>
          <w:i w:val="0"/>
          <w:iCs w:val="0"/>
          <w:caps w:val="0"/>
          <w:color w:val="auto"/>
          <w:spacing w:val="0"/>
          <w:kern w:val="0"/>
          <w:sz w:val="32"/>
          <w:szCs w:val="32"/>
          <w:highlight w:val="none"/>
          <w:lang w:val="en-US" w:eastAsia="zh-CN" w:bidi="ar"/>
        </w:rPr>
        <w:t>条 释义。</w:t>
      </w:r>
    </w:p>
    <w:p w14:paraId="413CCA6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CN" w:bidi="ar"/>
        </w:rPr>
        <w:t>1</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专业服务团队：</w:t>
      </w:r>
      <w:r>
        <w:rPr>
          <w:rFonts w:hint="eastAsia" w:ascii="仿宋_GB2312" w:eastAsia="仿宋_GB2312" w:cs="仿宋_GB2312"/>
          <w:i w:val="0"/>
          <w:iCs w:val="0"/>
          <w:caps w:val="0"/>
          <w:color w:val="auto"/>
          <w:spacing w:val="0"/>
          <w:kern w:val="0"/>
          <w:sz w:val="32"/>
          <w:szCs w:val="32"/>
          <w:highlight w:val="none"/>
          <w:vertAlign w:val="baseline"/>
          <w:lang w:val="en-US" w:eastAsia="zh" w:bidi="ar"/>
        </w:rPr>
        <w:t>包括不限于楼宇方、楼宇关联方、或其委托的第三方机构派驻的专业人员；服务团队应有明确的架构设置和分工，团队人员至少签订一年（含）以上的劳动合同并缴纳社保或个税。外籍员工以签订一年以上的劳动/劳务合同及外国人来华工作许可证明为准</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w:t>
      </w:r>
    </w:p>
    <w:p w14:paraId="7D3417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CN" w:bidi="ar"/>
        </w:rPr>
        <w:t>2</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.实际入驻企业：指注册在江东新区，与楼宇方/楼宇购买方/楼宇租赁方签订合同并实际使用办公场地的企业。</w:t>
      </w:r>
    </w:p>
    <w:p w14:paraId="6A521B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CN" w:bidi="ar"/>
        </w:rPr>
        <w:t>3</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办公面积：以第三方出具的测绘报告为准。</w:t>
      </w:r>
    </w:p>
    <w:p w14:paraId="55C501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仿宋_GB2312" w:hAnsi="Calibri" w:eastAsia="仿宋_GB2312" w:cs="仿宋_GB2312"/>
          <w:i w:val="0"/>
          <w:iCs w:val="0"/>
          <w:caps w:val="0"/>
          <w:color w:val="auto"/>
          <w:spacing w:val="0"/>
          <w:kern w:val="0"/>
          <w:sz w:val="32"/>
          <w:szCs w:val="32"/>
          <w:highlight w:val="none"/>
          <w:vertAlign w:val="baseline"/>
          <w:lang w:val="en-US" w:eastAsia="zh-CN" w:bidi="ar"/>
        </w:rPr>
      </w:pPr>
      <w:r>
        <w:rPr>
          <w:rFonts w:hint="eastAsia" w:ascii="仿宋_GB2312" w:eastAsia="仿宋_GB2312" w:cs="仿宋_GB2312"/>
          <w:i w:val="0"/>
          <w:iCs w:val="0"/>
          <w:caps w:val="0"/>
          <w:color w:val="auto"/>
          <w:spacing w:val="0"/>
          <w:kern w:val="0"/>
          <w:sz w:val="32"/>
          <w:szCs w:val="32"/>
          <w:highlight w:val="none"/>
          <w:vertAlign w:val="baseline"/>
          <w:lang w:val="en-US" w:eastAsia="zh-CN" w:bidi="ar"/>
        </w:rPr>
        <w:t>4</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.入驻办公人员：以当年度12月缴纳社保的花名册或缴纳个税的人员数量为准。</w:t>
      </w:r>
    </w:p>
    <w:p w14:paraId="214E0E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hint="eastAsia" w:ascii="仿宋_GB2312" w:hAnsi="Calibri" w:eastAsia="仿宋_GB2312" w:cs="仿宋_GB2312"/>
          <w:i w:val="0"/>
          <w:iCs w:val="0"/>
          <w:caps w:val="0"/>
          <w:color w:val="auto"/>
          <w:spacing w:val="0"/>
          <w:kern w:val="0"/>
          <w:sz w:val="32"/>
          <w:szCs w:val="32"/>
          <w:highlight w:val="none"/>
          <w:vertAlign w:val="baseline"/>
          <w:lang w:val="en-US" w:eastAsia="zh" w:bidi="ar"/>
        </w:rPr>
      </w:pPr>
      <w:r>
        <w:rPr>
          <w:rFonts w:hint="eastAsia" w:ascii="仿宋_GB2312" w:eastAsia="仿宋_GB2312" w:cs="仿宋_GB2312"/>
          <w:i w:val="0"/>
          <w:iCs w:val="0"/>
          <w:caps w:val="0"/>
          <w:color w:val="auto"/>
          <w:spacing w:val="0"/>
          <w:kern w:val="0"/>
          <w:sz w:val="32"/>
          <w:szCs w:val="32"/>
          <w:highlight w:val="none"/>
          <w:vertAlign w:val="baseline"/>
          <w:lang w:val="en-US" w:eastAsia="zh-CN" w:bidi="ar"/>
        </w:rPr>
        <w:t>5</w:t>
      </w:r>
      <w:r>
        <w:rPr>
          <w:rFonts w:hint="eastAsia" w:ascii="仿宋_GB2312" w:eastAsia="仿宋_GB2312" w:cs="仿宋_GB2312"/>
          <w:i w:val="0"/>
          <w:iCs w:val="0"/>
          <w:caps w:val="0"/>
          <w:color w:val="auto"/>
          <w:spacing w:val="0"/>
          <w:kern w:val="0"/>
          <w:sz w:val="32"/>
          <w:szCs w:val="32"/>
          <w:highlight w:val="none"/>
          <w:vertAlign w:val="baseline"/>
          <w:lang w:val="en-US" w:eastAsia="zh" w:bidi="ar"/>
        </w:rPr>
        <w:t>.可对外租售办公面积：楼宇方可用于对外公开租售的办公场地面积，签约时需根据测绘报告进行标注备案（不含14点列明情况）。</w:t>
      </w:r>
    </w:p>
    <w:p w14:paraId="54A914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仿宋_GB2312" w:hAnsi="Calibri" w:eastAsia="仿宋_GB2312" w:cs="仿宋_GB2312"/>
          <w:i w:val="0"/>
          <w:iCs w:val="0"/>
          <w:caps w:val="0"/>
          <w:color w:val="auto"/>
          <w:spacing w:val="0"/>
          <w:kern w:val="0"/>
          <w:sz w:val="32"/>
          <w:szCs w:val="32"/>
          <w:highlight w:val="none"/>
          <w:vertAlign w:val="baseline"/>
          <w:lang w:val="en-US" w:eastAsia="zh-CN" w:bidi="ar"/>
        </w:rPr>
      </w:pPr>
      <w:r>
        <w:rPr>
          <w:rFonts w:hint="eastAsia" w:ascii="仿宋_GB2312" w:eastAsia="仿宋_GB2312" w:cs="仿宋_GB2312"/>
          <w:i w:val="0"/>
          <w:iCs w:val="0"/>
          <w:caps w:val="0"/>
          <w:color w:val="auto"/>
          <w:spacing w:val="0"/>
          <w:kern w:val="0"/>
          <w:sz w:val="32"/>
          <w:szCs w:val="32"/>
          <w:highlight w:val="none"/>
          <w:vertAlign w:val="baseline"/>
          <w:lang w:val="en-US" w:eastAsia="zh-CN" w:bidi="ar"/>
        </w:rPr>
        <w:t>6</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.入驻率：</w:t>
      </w:r>
      <w:r>
        <w:rPr>
          <w:rFonts w:hint="eastAsia" w:ascii="仿宋_GB2312" w:hAnsi="Calibri" w:eastAsia="仿宋_GB2312" w:cs="仿宋_GB2312"/>
          <w:i w:val="0"/>
          <w:iCs w:val="0"/>
          <w:caps w:val="0"/>
          <w:color w:val="auto"/>
          <w:spacing w:val="0"/>
          <w:kern w:val="0"/>
          <w:sz w:val="32"/>
          <w:szCs w:val="32"/>
          <w:highlight w:val="none"/>
          <w:vertAlign w:val="baseline"/>
          <w:lang w:val="en-US" w:eastAsia="zh-CN" w:bidi="ar"/>
        </w:rPr>
        <w:t>已入驻使用的办公面积/第三方出具的测绘报告显示可用于办公的面积</w:t>
      </w:r>
      <w:r>
        <w:rPr>
          <w:rFonts w:hint="eastAsia" w:ascii="仿宋_GB2312" w:eastAsia="仿宋_GB2312" w:cs="仿宋_GB2312"/>
          <w:i w:val="0"/>
          <w:iCs w:val="0"/>
          <w:caps w:val="0"/>
          <w:color w:val="auto"/>
          <w:spacing w:val="0"/>
          <w:kern w:val="0"/>
          <w:sz w:val="32"/>
          <w:szCs w:val="32"/>
          <w:highlight w:val="none"/>
          <w:vertAlign w:val="baseline"/>
          <w:lang w:val="en-US" w:eastAsia="zh" w:bidi="ar"/>
        </w:rPr>
        <w:t>（不含1</w:t>
      </w:r>
      <w:r>
        <w:rPr>
          <w:rFonts w:hint="eastAsia" w:ascii="仿宋_GB2312" w:eastAsia="仿宋_GB2312" w:cs="仿宋_GB2312"/>
          <w:i w:val="0"/>
          <w:iCs w:val="0"/>
          <w:caps w:val="0"/>
          <w:color w:val="auto"/>
          <w:spacing w:val="0"/>
          <w:kern w:val="0"/>
          <w:sz w:val="32"/>
          <w:szCs w:val="32"/>
          <w:highlight w:val="none"/>
          <w:vertAlign w:val="baseline"/>
          <w:lang w:val="en-US" w:eastAsia="zh-CN" w:bidi="ar"/>
        </w:rPr>
        <w:t>4</w:t>
      </w:r>
      <w:r>
        <w:rPr>
          <w:rFonts w:hint="eastAsia" w:ascii="仿宋_GB2312" w:eastAsia="仿宋_GB2312" w:cs="仿宋_GB2312"/>
          <w:i w:val="0"/>
          <w:iCs w:val="0"/>
          <w:caps w:val="0"/>
          <w:color w:val="auto"/>
          <w:spacing w:val="0"/>
          <w:kern w:val="0"/>
          <w:sz w:val="32"/>
          <w:szCs w:val="32"/>
          <w:highlight w:val="none"/>
          <w:vertAlign w:val="baseline"/>
          <w:lang w:val="en-US" w:eastAsia="zh" w:bidi="ar"/>
        </w:rPr>
        <w:t>点列明情况）</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w:t>
      </w:r>
    </w:p>
    <w:p w14:paraId="516BFE1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eastAsia="仿宋_GB2312" w:cs="仿宋_GB2312"/>
          <w:i w:val="0"/>
          <w:iCs w:val="0"/>
          <w:caps w:val="0"/>
          <w:color w:val="auto"/>
          <w:spacing w:val="0"/>
          <w:kern w:val="0"/>
          <w:sz w:val="32"/>
          <w:szCs w:val="32"/>
          <w:highlight w:val="none"/>
          <w:vertAlign w:val="baseline"/>
          <w:lang w:val="en-US" w:eastAsia="zh-CN" w:bidi="ar"/>
        </w:rPr>
        <w:t>7</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楼宇主导产业：楼宇方可在表格中的产业类型中任意选择，行业判定重点参照《国民经济行业分类》及《现代服务业统计分类》，如有异议可由江东新区管理局招商部门按流程判定。</w:t>
      </w:r>
    </w:p>
    <w:p w14:paraId="1E2CD4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CN" w:bidi="ar"/>
        </w:rPr>
        <w:t>8</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.500强企业：世界500强、中国500强、中国民营500强等企业以申请当年（如当年未发布以上一年度为准）《财富》杂志、中国企业联合会或全国工商联公布的榜单为准。</w:t>
      </w:r>
    </w:p>
    <w:p w14:paraId="4BED7E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eastAsia="仿宋_GB2312" w:cs="仿宋_GB2312"/>
          <w:i w:val="0"/>
          <w:iCs w:val="0"/>
          <w:caps w:val="0"/>
          <w:color w:val="auto"/>
          <w:spacing w:val="0"/>
          <w:kern w:val="0"/>
          <w:sz w:val="32"/>
          <w:szCs w:val="32"/>
          <w:highlight w:val="none"/>
          <w:vertAlign w:val="baseline"/>
          <w:lang w:val="en-US" w:eastAsia="zh-CN" w:bidi="ar"/>
        </w:rPr>
        <w:t>9</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.法人企业：三级及以上的全资及控股子公司。全资及控股子公司是指直接或间接控股比例达到50%以上的子公司。</w:t>
      </w:r>
    </w:p>
    <w:p w14:paraId="5155B5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eastAsia="仿宋_GB2312" w:cs="仿宋_GB2312"/>
          <w:i w:val="0"/>
          <w:iCs w:val="0"/>
          <w:caps w:val="0"/>
          <w:color w:val="auto"/>
          <w:spacing w:val="0"/>
          <w:kern w:val="0"/>
          <w:sz w:val="32"/>
          <w:szCs w:val="32"/>
          <w:highlight w:val="none"/>
          <w:vertAlign w:val="baseline"/>
          <w:lang w:val="en-US" w:eastAsia="zh-CN" w:bidi="ar"/>
        </w:rPr>
        <w:t>10</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楼宇商业总面积：以楼宇中用作商业、商务服务配套业态的建筑面积为准，包括但不限于餐厅、咖啡店、便利店、图文印刷、银行、健身中心、酒店等。</w:t>
      </w:r>
    </w:p>
    <w:p w14:paraId="0B942F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CN" w:bidi="ar"/>
        </w:rPr>
        <w:t>11</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国际知名物业管理企业：包括但不限于世界物管五大行，即第一太平戴维斯、仲量联行、世邦魏理仕、戴德梁行、高力国际和北京中指信息技术研究院当年发布的中国物业服务百强企业名单（以每年发布的最新名称为准）前50名。</w:t>
      </w:r>
    </w:p>
    <w:p w14:paraId="3B581C7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ascii="仿宋_GB2312" w:hAnsi="Calibri" w:eastAsia="仿宋_GB2312" w:cs="仿宋_GB2312"/>
          <w:b w:val="0"/>
          <w:bCs w:val="0"/>
          <w:i w:val="0"/>
          <w:iCs w:val="0"/>
          <w:caps w:val="0"/>
          <w:color w:val="auto"/>
          <w:spacing w:val="0"/>
          <w:kern w:val="0"/>
          <w:sz w:val="32"/>
          <w:szCs w:val="32"/>
          <w:highlight w:val="none"/>
          <w:lang w:val="en-US" w:eastAsia="zh-CN" w:bidi="ar"/>
        </w:rPr>
      </w:pPr>
      <w:r>
        <w:rPr>
          <w:rFonts w:hint="eastAsia" w:ascii="仿宋_GB2312" w:eastAsia="仿宋_GB2312" w:cs="仿宋_GB2312"/>
          <w:b w:val="0"/>
          <w:bCs w:val="0"/>
          <w:i w:val="0"/>
          <w:iCs w:val="0"/>
          <w:caps w:val="0"/>
          <w:color w:val="auto"/>
          <w:spacing w:val="0"/>
          <w:kern w:val="0"/>
          <w:sz w:val="32"/>
          <w:szCs w:val="32"/>
          <w:highlight w:val="none"/>
          <w:lang w:val="en-US" w:eastAsia="zh-CN" w:bidi="ar"/>
        </w:rPr>
        <w:t>12</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.国内外知名品牌：原则上该品牌须入选以下榜单之一：世界品牌实验室发布的《世界品牌500强榜单》；世界品牌实验室发布的《中国500最具价值品牌排行榜》；</w:t>
      </w:r>
      <w:r>
        <w:rPr>
          <w:rFonts w:hint="eastAsia" w:ascii="仿宋_GB2312" w:eastAsia="仿宋_GB2312" w:cs="仿宋_GB2312"/>
          <w:b w:val="0"/>
          <w:bCs w:val="0"/>
          <w:i w:val="0"/>
          <w:iCs w:val="0"/>
          <w:caps w:val="0"/>
          <w:color w:val="auto"/>
          <w:spacing w:val="0"/>
          <w:kern w:val="0"/>
          <w:sz w:val="32"/>
          <w:szCs w:val="32"/>
          <w:highlight w:val="none"/>
          <w:lang w:val="en-US" w:eastAsia="zh" w:bidi="ar"/>
        </w:rPr>
        <w:t>赢商网发布的《年度中国领军品牌TOP100》；</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品牌联盟发布的《中国品牌500强》；德勤发布的《全球奢侈品力量排行榜》；品牌金融发布的《全球最有价值零售品牌榜》《全球餐饮品牌价值排行榜》；米其林餐厅榜单；美团发布的《黑珍珠餐厅指南》；商务部《中华老字号名单》，各省发布的省级老字号名单；以申请当年（如当年未发布以上一年度）榜单为准。</w:t>
      </w:r>
    </w:p>
    <w:p w14:paraId="4CEE41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hint="eastAsia" w:ascii="仿宋_GB2312" w:eastAsia="仿宋_GB2312" w:cs="仿宋_GB2312"/>
          <w:i w:val="0"/>
          <w:iCs w:val="0"/>
          <w:caps w:val="0"/>
          <w:color w:val="auto"/>
          <w:spacing w:val="0"/>
          <w:kern w:val="0"/>
          <w:sz w:val="32"/>
          <w:szCs w:val="32"/>
          <w:highlight w:val="none"/>
          <w:lang w:eastAsia="zh" w:bidi="ar"/>
        </w:rPr>
      </w:pPr>
      <w:r>
        <w:rPr>
          <w:rFonts w:hint="eastAsia" w:ascii="仿宋_GB2312" w:eastAsia="仿宋_GB2312" w:cs="仿宋_GB2312"/>
          <w:i w:val="0"/>
          <w:iCs w:val="0"/>
          <w:caps w:val="0"/>
          <w:color w:val="auto"/>
          <w:spacing w:val="0"/>
          <w:kern w:val="0"/>
          <w:sz w:val="32"/>
          <w:szCs w:val="32"/>
          <w:highlight w:val="none"/>
          <w:lang w:val="en-US" w:eastAsia="zh-CN" w:bidi="ar"/>
        </w:rPr>
        <w:t>13</w:t>
      </w:r>
      <w:r>
        <w:rPr>
          <w:rFonts w:hint="eastAsia" w:ascii="仿宋_GB2312" w:eastAsia="仿宋_GB2312" w:cs="仿宋_GB2312"/>
          <w:i w:val="0"/>
          <w:iCs w:val="0"/>
          <w:caps w:val="0"/>
          <w:color w:val="auto"/>
          <w:spacing w:val="0"/>
          <w:kern w:val="0"/>
          <w:sz w:val="32"/>
          <w:szCs w:val="32"/>
          <w:highlight w:val="none"/>
          <w:lang w:eastAsia="zh" w:bidi="ar"/>
        </w:rPr>
        <w:t>.知名连锁咖啡品牌：参照咖啡中国网（www.coffeecn.cn）咖啡榜单、咖啡品牌排行榜；品牌网（www.chinapp.com）咖啡十大品牌排行榜，包括但不限于星巴克Starbucks、瑞幸咖啡Luckin coffee、COSTA COFFEE咖世家、太平洋咖啡Pacific、Tim Hortons、Lavazza拉瓦萨、illy意利、Peets Coffee皮爷咖啡、Seesaw Coffee、Manner Coffee、M Stand Coffee、Pull-Tab拉环咖啡、蓝山咖啡、库迪咖啡等；以及在海南开设不低于10家连锁店的咖啡品牌。知名连锁咖啡品牌认定标准将参考国内外知名咖啡品牌榜单、市场影响力等因素，由江东管理局评审确定。</w:t>
      </w:r>
    </w:p>
    <w:p w14:paraId="694287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0"/>
        <w:jc w:val="both"/>
        <w:textAlignment w:val="auto"/>
        <w:rPr>
          <w:rFonts w:hint="eastAsia" w:ascii="仿宋_GB2312" w:eastAsia="仿宋_GB2312" w:cs="仿宋_GB2312"/>
          <w:i w:val="0"/>
          <w:iCs w:val="0"/>
          <w:caps w:val="0"/>
          <w:color w:val="auto"/>
          <w:spacing w:val="0"/>
          <w:kern w:val="0"/>
          <w:sz w:val="32"/>
          <w:szCs w:val="32"/>
          <w:highlight w:val="none"/>
          <w:lang w:eastAsia="zh" w:bidi="ar"/>
        </w:rPr>
      </w:pPr>
      <w:r>
        <w:rPr>
          <w:rFonts w:hint="eastAsia" w:ascii="仿宋_GB2312" w:eastAsia="仿宋_GB2312" w:cs="仿宋_GB2312"/>
          <w:b w:val="0"/>
          <w:bCs w:val="0"/>
          <w:i w:val="0"/>
          <w:iCs w:val="0"/>
          <w:caps w:val="0"/>
          <w:color w:val="auto"/>
          <w:spacing w:val="0"/>
          <w:kern w:val="0"/>
          <w:sz w:val="32"/>
          <w:szCs w:val="32"/>
          <w:highlight w:val="none"/>
          <w:lang w:val="en-US" w:eastAsia="zh-CN" w:bidi="ar"/>
        </w:rPr>
        <w:t>14</w:t>
      </w:r>
      <w:r>
        <w:rPr>
          <w:rFonts w:hint="eastAsia" w:ascii="仿宋_GB2312" w:eastAsia="仿宋_GB2312" w:cs="仿宋_GB2312"/>
          <w:b w:val="0"/>
          <w:bCs w:val="0"/>
          <w:i w:val="0"/>
          <w:iCs w:val="0"/>
          <w:caps w:val="0"/>
          <w:color w:val="auto"/>
          <w:spacing w:val="0"/>
          <w:kern w:val="0"/>
          <w:sz w:val="32"/>
          <w:szCs w:val="32"/>
          <w:highlight w:val="none"/>
          <w:lang w:val="en-US" w:eastAsia="zh" w:bidi="ar"/>
        </w:rPr>
        <w:t>.本支持措施第二、三条提及的“可对外租售办公面积”，以及第四、六条提及“</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对外招</w:t>
      </w:r>
      <w:r>
        <w:rPr>
          <w:rFonts w:ascii="仿宋_GB2312" w:hAnsi="Calibri" w:eastAsia="仿宋_GB2312" w:cs="仿宋_GB2312"/>
          <w:b w:val="0"/>
          <w:bCs w:val="0"/>
          <w:i w:val="0"/>
          <w:iCs w:val="0"/>
          <w:caps w:val="0"/>
          <w:color w:val="auto"/>
          <w:spacing w:val="0"/>
          <w:kern w:val="0"/>
          <w:sz w:val="32"/>
          <w:szCs w:val="32"/>
          <w:highlight w:val="none"/>
          <w:vertAlign w:val="baseline"/>
          <w:lang w:val="en-US" w:eastAsia="zh-CN" w:bidi="ar"/>
        </w:rPr>
        <w:t>引</w:t>
      </w:r>
      <w:r>
        <w:rPr>
          <w:rFonts w:ascii="仿宋_GB2312" w:hAnsi="Calibri" w:eastAsia="仿宋_GB2312" w:cs="仿宋_GB2312"/>
          <w:i w:val="0"/>
          <w:iCs w:val="0"/>
          <w:caps w:val="0"/>
          <w:color w:val="auto"/>
          <w:spacing w:val="0"/>
          <w:kern w:val="0"/>
          <w:sz w:val="32"/>
          <w:szCs w:val="32"/>
          <w:highlight w:val="none"/>
          <w:vertAlign w:val="baseline"/>
          <w:lang w:val="en-US" w:eastAsia="zh-CN" w:bidi="ar"/>
        </w:rPr>
        <w:t>符合条件</w:t>
      </w:r>
      <w:r>
        <w:rPr>
          <w:rFonts w:hint="eastAsia" w:ascii="仿宋_GB2312" w:eastAsia="仿宋_GB2312" w:cs="仿宋_GB2312"/>
          <w:b w:val="0"/>
          <w:bCs w:val="0"/>
          <w:i w:val="0"/>
          <w:iCs w:val="0"/>
          <w:caps w:val="0"/>
          <w:color w:val="auto"/>
          <w:spacing w:val="0"/>
          <w:kern w:val="0"/>
          <w:sz w:val="32"/>
          <w:szCs w:val="32"/>
          <w:highlight w:val="none"/>
          <w:vertAlign w:val="baseline"/>
          <w:lang w:val="en-US" w:eastAsia="zh" w:bidi="ar"/>
        </w:rPr>
        <w:t>的</w:t>
      </w:r>
      <w:r>
        <w:rPr>
          <w:rFonts w:hint="eastAsia" w:ascii="Arial" w:hAnsi="Arial" w:eastAsia="仿宋_GB2312" w:cs="Arial"/>
          <w:b w:val="0"/>
          <w:bCs w:val="0"/>
          <w:i w:val="0"/>
          <w:iCs w:val="0"/>
          <w:caps w:val="0"/>
          <w:color w:val="auto"/>
          <w:spacing w:val="0"/>
          <w:kern w:val="0"/>
          <w:sz w:val="32"/>
          <w:szCs w:val="32"/>
          <w:highlight w:val="none"/>
          <w:vertAlign w:val="baseline"/>
          <w:lang w:val="en-US" w:eastAsia="zh" w:bidi="ar"/>
        </w:rPr>
        <w:t>企业”，均不包括</w:t>
      </w:r>
      <w:r>
        <w:rPr>
          <w:rFonts w:hint="eastAsia" w:ascii="仿宋_GB2312" w:eastAsia="仿宋_GB2312" w:cs="仿宋_GB2312"/>
          <w:b w:val="0"/>
          <w:bCs w:val="0"/>
          <w:i w:val="0"/>
          <w:iCs w:val="0"/>
          <w:caps w:val="0"/>
          <w:color w:val="auto"/>
          <w:spacing w:val="0"/>
          <w:kern w:val="0"/>
          <w:sz w:val="32"/>
          <w:szCs w:val="32"/>
          <w:highlight w:val="none"/>
          <w:lang w:val="en-US" w:eastAsia="zh" w:bidi="ar"/>
        </w:rPr>
        <w:t>楼宇业主及楼宇方的关联企业，以及上述企业自用的部分。关联企业包括但不限于</w:t>
      </w:r>
      <w:r>
        <w:rPr>
          <w:rFonts w:hint="eastAsia" w:ascii="仿宋_GB2312" w:eastAsia="仿宋_GB2312" w:cs="仿宋_GB2312"/>
          <w:i w:val="0"/>
          <w:iCs w:val="0"/>
          <w:caps w:val="0"/>
          <w:color w:val="auto"/>
          <w:spacing w:val="0"/>
          <w:kern w:val="0"/>
          <w:sz w:val="32"/>
          <w:szCs w:val="32"/>
          <w:highlight w:val="none"/>
          <w:lang w:eastAsia="zh" w:bidi="ar"/>
        </w:rPr>
        <w:t>业主方及楼宇方的母公司、分子公司，或与该企业受同一母公司控制（最大股东或直接持股＞50%）的其他企业。</w:t>
      </w:r>
    </w:p>
    <w:p w14:paraId="306B40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left"/>
        <w:textAlignment w:val="auto"/>
        <w:rPr>
          <w:rFonts w:hint="eastAsia" w:ascii="仿宋_GB2312" w:eastAsia="仿宋_GB2312" w:cs="仿宋_GB2312"/>
          <w:b w:val="0"/>
          <w:bCs w:val="0"/>
          <w:i w:val="0"/>
          <w:iCs w:val="0"/>
          <w:caps w:val="0"/>
          <w:color w:val="auto"/>
          <w:spacing w:val="0"/>
          <w:kern w:val="0"/>
          <w:sz w:val="32"/>
          <w:szCs w:val="32"/>
          <w:highlight w:val="none"/>
          <w:lang w:val="en-US" w:eastAsia="zh"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第十</w:t>
      </w:r>
      <w:r>
        <w:rPr>
          <w:rFonts w:hint="eastAsia" w:ascii="黑体" w:hAnsi="黑体" w:eastAsia="黑体" w:cs="黑体"/>
          <w:b w:val="0"/>
          <w:bCs w:val="0"/>
          <w:i w:val="0"/>
          <w:iCs w:val="0"/>
          <w:caps w:val="0"/>
          <w:color w:val="auto"/>
          <w:spacing w:val="0"/>
          <w:kern w:val="0"/>
          <w:sz w:val="32"/>
          <w:szCs w:val="32"/>
          <w:highlight w:val="none"/>
          <w:lang w:val="en-US" w:eastAsia="zh" w:bidi="ar"/>
        </w:rPr>
        <w:t>二</w:t>
      </w:r>
      <w:r>
        <w:rPr>
          <w:rFonts w:hint="eastAsia" w:ascii="黑体" w:hAnsi="黑体" w:eastAsia="黑体" w:cs="黑体"/>
          <w:b w:val="0"/>
          <w:bCs w:val="0"/>
          <w:i w:val="0"/>
          <w:iCs w:val="0"/>
          <w:caps w:val="0"/>
          <w:color w:val="auto"/>
          <w:spacing w:val="0"/>
          <w:kern w:val="0"/>
          <w:sz w:val="32"/>
          <w:szCs w:val="32"/>
          <w:highlight w:val="none"/>
          <w:lang w:val="en-US" w:eastAsia="zh-CN" w:bidi="ar"/>
        </w:rPr>
        <w:t>条 附则。</w:t>
      </w:r>
      <w:r>
        <w:rPr>
          <w:rFonts w:ascii="仿宋_GB2312" w:hAnsi="Calibri" w:eastAsia="仿宋_GB2312" w:cs="仿宋_GB2312"/>
          <w:b w:val="0"/>
          <w:bCs w:val="0"/>
          <w:i w:val="0"/>
          <w:iCs w:val="0"/>
          <w:caps w:val="0"/>
          <w:color w:val="auto"/>
          <w:spacing w:val="0"/>
          <w:kern w:val="0"/>
          <w:sz w:val="32"/>
          <w:szCs w:val="32"/>
          <w:highlight w:val="none"/>
          <w:lang w:val="en-US" w:eastAsia="zh-CN" w:bidi="ar"/>
        </w:rPr>
        <w:t>上述支持措施若与国家、海南省、海口市及江东新区管理局等各级各类企业支持措施或</w:t>
      </w:r>
      <w:r>
        <w:rPr>
          <w:rFonts w:hint="eastAsia" w:ascii="仿宋_GB2312" w:eastAsia="仿宋_GB2312" w:cs="仿宋_GB2312"/>
          <w:b w:val="0"/>
          <w:bCs w:val="0"/>
          <w:i w:val="0"/>
          <w:iCs w:val="0"/>
          <w:caps w:val="0"/>
          <w:color w:val="auto"/>
          <w:spacing w:val="0"/>
          <w:kern w:val="0"/>
          <w:sz w:val="32"/>
          <w:szCs w:val="32"/>
          <w:highlight w:val="none"/>
          <w:lang w:val="en-US" w:eastAsia="zh-CN" w:bidi="ar"/>
        </w:rPr>
        <w:t>与</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本措施出现重叠或交叉的，</w:t>
      </w:r>
      <w:r>
        <w:rPr>
          <w:rFonts w:hint="eastAsia" w:ascii="仿宋_GB2312" w:eastAsia="仿宋_GB2312" w:cs="仿宋_GB2312"/>
          <w:b w:val="0"/>
          <w:bCs w:val="0"/>
          <w:i w:val="0"/>
          <w:iCs w:val="0"/>
          <w:caps w:val="0"/>
          <w:color w:val="auto"/>
          <w:spacing w:val="0"/>
          <w:kern w:val="0"/>
          <w:sz w:val="32"/>
          <w:szCs w:val="32"/>
          <w:highlight w:val="none"/>
          <w:lang w:val="en-US" w:eastAsia="zh" w:bidi="ar"/>
        </w:rPr>
        <w:t>除特别明确外，</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同个申报主体申请享受支持措施均按</w:t>
      </w:r>
      <w:r>
        <w:rPr>
          <w:rFonts w:hint="eastAsia" w:ascii="仿宋_GB2312" w:eastAsia="仿宋_GB2312" w:cs="仿宋_GB2312"/>
          <w:b w:val="0"/>
          <w:bCs w:val="0"/>
          <w:i w:val="0"/>
          <w:iCs w:val="0"/>
          <w:caps w:val="0"/>
          <w:color w:val="auto"/>
          <w:spacing w:val="0"/>
          <w:kern w:val="0"/>
          <w:sz w:val="32"/>
          <w:szCs w:val="32"/>
          <w:highlight w:val="none"/>
          <w:lang w:val="en-US" w:eastAsia="zh" w:bidi="ar"/>
        </w:rPr>
        <w:t>“</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就高不就低、不重复支持</w:t>
      </w:r>
      <w:r>
        <w:rPr>
          <w:rFonts w:hint="eastAsia" w:ascii="仿宋_GB2312" w:eastAsia="仿宋_GB2312" w:cs="仿宋_GB2312"/>
          <w:b w:val="0"/>
          <w:bCs w:val="0"/>
          <w:i w:val="0"/>
          <w:iCs w:val="0"/>
          <w:caps w:val="0"/>
          <w:color w:val="auto"/>
          <w:spacing w:val="0"/>
          <w:kern w:val="0"/>
          <w:sz w:val="32"/>
          <w:szCs w:val="32"/>
          <w:highlight w:val="none"/>
          <w:lang w:val="en-US" w:eastAsia="zh" w:bidi="ar"/>
        </w:rPr>
        <w:t>”</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原则执行。</w:t>
      </w:r>
      <w:r>
        <w:rPr>
          <w:rFonts w:hint="eastAsia" w:ascii="仿宋_GB2312" w:eastAsia="仿宋_GB2312" w:cs="仿宋_GB2312"/>
          <w:b w:val="0"/>
          <w:bCs w:val="0"/>
          <w:i w:val="0"/>
          <w:iCs w:val="0"/>
          <w:caps w:val="0"/>
          <w:color w:val="auto"/>
          <w:spacing w:val="0"/>
          <w:kern w:val="0"/>
          <w:sz w:val="32"/>
          <w:szCs w:val="32"/>
          <w:highlight w:val="none"/>
          <w:lang w:val="en-US" w:eastAsia="zh" w:bidi="ar"/>
        </w:rPr>
        <w:t>上述支持措施除第六、七、八条按年度申请外，其余支持措施在满足申请条件下可按季度申请。</w:t>
      </w:r>
    </w:p>
    <w:p w14:paraId="2A3B84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left"/>
        <w:textAlignment w:val="auto"/>
        <w:rPr>
          <w:rFonts w:hint="eastAsia" w:ascii="Calibri" w:hAnsi="Calibri" w:eastAsia="仿宋_GB2312" w:cs="Calibri"/>
          <w:i w:val="0"/>
          <w:iCs w:val="0"/>
          <w:caps w:val="0"/>
          <w:color w:val="auto"/>
          <w:spacing w:val="0"/>
          <w:sz w:val="21"/>
          <w:szCs w:val="21"/>
          <w:highlight w:val="none"/>
          <w:lang w:eastAsia="zh"/>
        </w:rPr>
      </w:pPr>
      <w:r>
        <w:rPr>
          <w:rFonts w:ascii="仿宋_GB2312" w:hAnsi="Calibri" w:eastAsia="仿宋_GB2312" w:cs="仿宋_GB2312"/>
          <w:b w:val="0"/>
          <w:bCs w:val="0"/>
          <w:i w:val="0"/>
          <w:iCs w:val="0"/>
          <w:caps w:val="0"/>
          <w:color w:val="auto"/>
          <w:spacing w:val="0"/>
          <w:kern w:val="0"/>
          <w:sz w:val="32"/>
          <w:szCs w:val="32"/>
          <w:highlight w:val="none"/>
          <w:lang w:val="en-US" w:eastAsia="zh-CN" w:bidi="ar"/>
        </w:rPr>
        <w:t>本措施中支持资金，由符合条件的机构向江东新区管理局申请，江东新区管理局经对申报材料审查无误后，依法依规拨付相应支持资金。针对本措施的具体条款实施，海口江东新区管理局将另行制定实施细则并予以明确。</w:t>
      </w:r>
    </w:p>
    <w:p w14:paraId="71E3FC6C">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0"/>
        <w:jc w:val="both"/>
        <w:textAlignment w:val="auto"/>
        <w:rPr>
          <w:rFonts w:hint="eastAsia" w:ascii="黑体" w:hAnsi="黑体" w:eastAsia="黑体" w:cs="黑体"/>
          <w:b w:val="0"/>
          <w:bCs w:val="0"/>
          <w:color w:val="auto"/>
          <w:kern w:val="2"/>
          <w:sz w:val="32"/>
          <w:szCs w:val="32"/>
          <w:highlight w:val="none"/>
          <w:lang w:val="en-US" w:eastAsia="zh-CN" w:bidi="ar"/>
        </w:rPr>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仿宋_GB2312" w:eastAsia="仿宋_GB2312" w:cs="仿宋_GB2312"/>
          <w:i w:val="0"/>
          <w:iCs w:val="0"/>
          <w:caps w:val="0"/>
          <w:color w:val="auto"/>
          <w:spacing w:val="0"/>
          <w:kern w:val="0"/>
          <w:sz w:val="32"/>
          <w:szCs w:val="32"/>
          <w:highlight w:val="none"/>
          <w:lang w:val="en-US" w:eastAsia="zh" w:bidi="ar"/>
        </w:rPr>
        <w:t>本措施自2025年1月1日起正式施行</w:t>
      </w:r>
      <w:r>
        <w:rPr>
          <w:rFonts w:hint="eastAsia" w:ascii="仿宋_GB2312" w:hAnsi="Calibri" w:eastAsia="仿宋_GB2312" w:cs="仿宋_GB2312"/>
          <w:i w:val="0"/>
          <w:iCs w:val="0"/>
          <w:caps w:val="0"/>
          <w:color w:val="auto"/>
          <w:spacing w:val="0"/>
          <w:kern w:val="0"/>
          <w:sz w:val="32"/>
          <w:szCs w:val="32"/>
          <w:highlight w:val="none"/>
          <w:lang w:val="en-US" w:eastAsia="zh" w:bidi="ar"/>
        </w:rPr>
        <w:t>，有效期</w:t>
      </w:r>
      <w:r>
        <w:rPr>
          <w:rFonts w:hint="eastAsia" w:ascii="仿宋_GB2312" w:eastAsia="仿宋_GB2312" w:cs="仿宋_GB2312"/>
          <w:i w:val="0"/>
          <w:iCs w:val="0"/>
          <w:caps w:val="0"/>
          <w:color w:val="auto"/>
          <w:spacing w:val="0"/>
          <w:kern w:val="0"/>
          <w:sz w:val="32"/>
          <w:szCs w:val="32"/>
          <w:highlight w:val="none"/>
          <w:lang w:val="en-US" w:eastAsia="zh" w:bidi="ar"/>
        </w:rPr>
        <w:t>五年。在2025年1月1日前与江东新区管理局签约并申报相关楼宇支持的，不与本政策规定相冲突。</w:t>
      </w:r>
      <w:r>
        <w:rPr>
          <w:rFonts w:ascii="仿宋_GB2312" w:hAnsi="Calibri" w:eastAsia="仿宋_GB2312" w:cs="仿宋_GB2312"/>
          <w:i w:val="0"/>
          <w:iCs w:val="0"/>
          <w:caps w:val="0"/>
          <w:color w:val="auto"/>
          <w:spacing w:val="0"/>
          <w:kern w:val="0"/>
          <w:sz w:val="32"/>
          <w:szCs w:val="32"/>
          <w:highlight w:val="none"/>
          <w:shd w:val="clear"/>
          <w:lang w:bidi="ar"/>
        </w:rPr>
        <w:t>施行期间如遇国家和</w:t>
      </w:r>
      <w:r>
        <w:rPr>
          <w:rFonts w:hint="eastAsia" w:ascii="仿宋_GB2312" w:eastAsia="仿宋_GB2312" w:cs="仿宋_GB2312"/>
          <w:i w:val="0"/>
          <w:iCs w:val="0"/>
          <w:caps w:val="0"/>
          <w:color w:val="auto"/>
          <w:spacing w:val="0"/>
          <w:kern w:val="0"/>
          <w:sz w:val="32"/>
          <w:szCs w:val="32"/>
          <w:highlight w:val="none"/>
          <w:shd w:val="clear"/>
          <w:lang w:eastAsia="zh" w:bidi="ar"/>
        </w:rPr>
        <w:t>海南省、海口市</w:t>
      </w:r>
      <w:r>
        <w:rPr>
          <w:rFonts w:ascii="仿宋_GB2312" w:hAnsi="Calibri" w:eastAsia="仿宋_GB2312" w:cs="仿宋_GB2312"/>
          <w:i w:val="0"/>
          <w:iCs w:val="0"/>
          <w:caps w:val="0"/>
          <w:color w:val="auto"/>
          <w:spacing w:val="0"/>
          <w:kern w:val="0"/>
          <w:sz w:val="32"/>
          <w:szCs w:val="32"/>
          <w:highlight w:val="none"/>
          <w:shd w:val="clear"/>
          <w:lang w:bidi="ar"/>
        </w:rPr>
        <w:t>相关政策调整，本政策同步调整。</w:t>
      </w:r>
      <w:r>
        <w:rPr>
          <w:rFonts w:ascii="仿宋_GB2312" w:hAnsi="Calibri" w:eastAsia="仿宋_GB2312" w:cs="仿宋_GB2312"/>
          <w:i w:val="0"/>
          <w:iCs w:val="0"/>
          <w:caps w:val="0"/>
          <w:color w:val="auto"/>
          <w:spacing w:val="0"/>
          <w:kern w:val="0"/>
          <w:sz w:val="32"/>
          <w:szCs w:val="32"/>
          <w:highlight w:val="none"/>
          <w:lang w:val="en-US" w:eastAsia="zh-CN" w:bidi="ar"/>
        </w:rPr>
        <w:t>执行期间由江东新区管理局负责解释。执行期间因政策变动、情势变更等原因导致部分条款无法执行的，不影响其他条款的执行。</w:t>
      </w:r>
      <w:bookmarkStart w:id="0" w:name="_GoBack"/>
      <w:bookmarkEnd w:id="0"/>
    </w:p>
    <w:p w14:paraId="37B9FF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433B">
    <w:pPr>
      <w:pStyle w:val="2"/>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ABACE">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4ABACE">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51C20"/>
    <w:rsid w:val="2C25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rPr>
  </w:style>
  <w:style w:type="character" w:customStyle="1" w:styleId="5">
    <w:name w:val="10"/>
    <w:basedOn w:val="4"/>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2025-05-14T07:17:00Z</dcterms:created>
  <dc:creator>阳光一生</dc:creator>
  <cp:lastModifiedBy>阳光一生</cp:lastModifiedBy>
  <dcterms:modified xsi:type="dcterms:W3CDTF">2025-05-14T07:17:25Z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A48BFFBA05BD42FD8400B43979260A09_11</vt:lpwstr>
  </property>
  <property fmtid="{D5CDD505-2E9C-101B-9397-08002B2CF9AE}" pid="4" name="KSOTemplateDocerSaveRecord">
    <vt:lpwstr>eyJoZGlkIjoiMWNmNzcwMGNlMmU0NTYwMTdkOTdmNzg0YTQ3YWJmYjYiLCJ1c2VySWQiOiIzMDgyMjgzOTQifQ==</vt:lpwstr>
  </property>
</Properties>
</file>