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F96C7">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both"/>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附件一</w:t>
      </w:r>
    </w:p>
    <w:p w14:paraId="294BE1D6">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center"/>
        <w:textAlignment w:val="auto"/>
        <w:rPr>
          <w:rFonts w:ascii="方正小标宋简体" w:hAnsi="方正小标宋简体" w:eastAsia="方正小标宋简体" w:cs="方正小标宋简体"/>
          <w:b w:val="0"/>
          <w:bCs w:val="0"/>
          <w:i w:val="0"/>
          <w:iCs w:val="0"/>
          <w:caps w:val="0"/>
          <w:color w:val="auto"/>
          <w:spacing w:val="0"/>
          <w:kern w:val="0"/>
          <w:sz w:val="44"/>
          <w:szCs w:val="44"/>
          <w:highlight w:val="none"/>
          <w:lang w:val="en-US" w:eastAsia="zh-CN" w:bidi="ar"/>
        </w:rPr>
      </w:pPr>
    </w:p>
    <w:p w14:paraId="50FE82AF">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center"/>
        <w:textAlignment w:val="auto"/>
        <w:rPr>
          <w:rFonts w:ascii="方正小标宋简体" w:hAnsi="方正小标宋简体" w:eastAsia="方正小标宋简体" w:cs="方正小标宋简体"/>
          <w:b w:val="0"/>
          <w:bCs w:val="0"/>
          <w:i w:val="0"/>
          <w:iCs w:val="0"/>
          <w:caps w:val="0"/>
          <w:color w:val="auto"/>
          <w:spacing w:val="0"/>
          <w:kern w:val="0"/>
          <w:sz w:val="44"/>
          <w:szCs w:val="44"/>
          <w:highlight w:val="none"/>
          <w:lang w:val="en-US" w:eastAsia="zh-CN" w:bidi="ar"/>
        </w:rPr>
      </w:pPr>
      <w:r>
        <w:rPr>
          <w:rFonts w:ascii="方正小标宋简体" w:hAnsi="方正小标宋简体" w:eastAsia="方正小标宋简体" w:cs="方正小标宋简体"/>
          <w:b w:val="0"/>
          <w:bCs w:val="0"/>
          <w:i w:val="0"/>
          <w:iCs w:val="0"/>
          <w:caps w:val="0"/>
          <w:color w:val="auto"/>
          <w:spacing w:val="0"/>
          <w:kern w:val="0"/>
          <w:sz w:val="44"/>
          <w:szCs w:val="44"/>
          <w:highlight w:val="none"/>
          <w:lang w:val="en-US" w:eastAsia="zh-CN" w:bidi="ar"/>
        </w:rPr>
        <w:t>海口江东新区关于支持打造</w:t>
      </w:r>
    </w:p>
    <w:p w14:paraId="1A30A8B6">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center"/>
        <w:textAlignment w:val="auto"/>
        <w:rPr>
          <w:rFonts w:ascii="Calibri" w:hAnsi="Calibri" w:cs="Calibri"/>
          <w:i w:val="0"/>
          <w:iCs w:val="0"/>
          <w:caps w:val="0"/>
          <w:color w:val="auto"/>
          <w:spacing w:val="0"/>
          <w:sz w:val="21"/>
          <w:szCs w:val="21"/>
          <w:highlight w:val="none"/>
        </w:rPr>
      </w:pPr>
      <w:r>
        <w:rPr>
          <w:rFonts w:ascii="方正小标宋简体" w:hAnsi="方正小标宋简体" w:eastAsia="方正小标宋简体" w:cs="方正小标宋简体"/>
          <w:b w:val="0"/>
          <w:bCs w:val="0"/>
          <w:i w:val="0"/>
          <w:iCs w:val="0"/>
          <w:caps w:val="0"/>
          <w:color w:val="auto"/>
          <w:spacing w:val="0"/>
          <w:kern w:val="0"/>
          <w:sz w:val="44"/>
          <w:szCs w:val="44"/>
          <w:highlight w:val="none"/>
          <w:lang w:val="en-US" w:eastAsia="zh-CN" w:bidi="ar"/>
        </w:rPr>
        <w:t>区域创新型国际贸易中心的若干措施</w:t>
      </w:r>
    </w:p>
    <w:p w14:paraId="5DD25A56">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both"/>
        <w:textAlignment w:val="auto"/>
        <w:rPr>
          <w:rFonts w:ascii="Calibri" w:hAnsi="Calibri" w:cs="Calibri"/>
          <w:i w:val="0"/>
          <w:iCs w:val="0"/>
          <w:caps w:val="0"/>
          <w:color w:val="auto"/>
          <w:spacing w:val="0"/>
          <w:sz w:val="21"/>
          <w:szCs w:val="21"/>
          <w:highlight w:val="none"/>
        </w:rPr>
      </w:pPr>
    </w:p>
    <w:p w14:paraId="7D28930B">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0"/>
        <w:jc w:val="both"/>
        <w:textAlignment w:val="auto"/>
        <w:rPr>
          <w:rFonts w:ascii="Calibri" w:hAnsi="Calibri" w:cs="Calibri"/>
          <w:i w:val="0"/>
          <w:iCs w:val="0"/>
          <w:caps w:val="0"/>
          <w:color w:val="auto"/>
          <w:spacing w:val="0"/>
          <w:sz w:val="21"/>
          <w:szCs w:val="21"/>
          <w:highlight w:val="none"/>
        </w:rPr>
      </w:pPr>
      <w:r>
        <w:rPr>
          <w:rFonts w:ascii="仿宋_GB2312" w:hAnsi="Calibri" w:eastAsia="仿宋_GB2312" w:cs="仿宋_GB2312"/>
          <w:i w:val="0"/>
          <w:iCs w:val="0"/>
          <w:caps w:val="0"/>
          <w:color w:val="auto"/>
          <w:spacing w:val="0"/>
          <w:kern w:val="0"/>
          <w:sz w:val="32"/>
          <w:szCs w:val="32"/>
          <w:highlight w:val="none"/>
          <w:lang w:val="en-US" w:eastAsia="zh-CN" w:bidi="ar"/>
        </w:rPr>
        <w:t>为</w:t>
      </w:r>
      <w:r>
        <w:rPr>
          <w:rFonts w:hint="eastAsia" w:ascii="仿宋_GB2312" w:eastAsia="仿宋_GB2312" w:cs="仿宋_GB2312"/>
          <w:i w:val="0"/>
          <w:iCs w:val="0"/>
          <w:caps w:val="0"/>
          <w:color w:val="auto"/>
          <w:spacing w:val="0"/>
          <w:kern w:val="0"/>
          <w:sz w:val="32"/>
          <w:szCs w:val="32"/>
          <w:highlight w:val="none"/>
          <w:lang w:val="en-US" w:eastAsia="zh-CN" w:bidi="ar"/>
        </w:rPr>
        <w:t>促进</w:t>
      </w:r>
      <w:r>
        <w:rPr>
          <w:rFonts w:hint="eastAsia" w:ascii="仿宋_GB2312" w:hAnsi="Calibri" w:eastAsia="仿宋_GB2312" w:cs="仿宋_GB2312"/>
          <w:i w:val="0"/>
          <w:iCs w:val="0"/>
          <w:caps w:val="0"/>
          <w:color w:val="auto"/>
          <w:spacing w:val="0"/>
          <w:kern w:val="0"/>
          <w:sz w:val="32"/>
          <w:szCs w:val="32"/>
          <w:highlight w:val="none"/>
          <w:lang w:val="en-US" w:eastAsia="zh-CN" w:bidi="ar"/>
        </w:rPr>
        <w:t>海口江东新区（以下简称：江东新区）</w:t>
      </w:r>
      <w:r>
        <w:rPr>
          <w:rFonts w:hint="eastAsia" w:ascii="仿宋_GB2312" w:eastAsia="仿宋_GB2312" w:cs="仿宋_GB2312"/>
          <w:i w:val="0"/>
          <w:iCs w:val="0"/>
          <w:caps w:val="0"/>
          <w:color w:val="auto"/>
          <w:spacing w:val="0"/>
          <w:kern w:val="0"/>
          <w:sz w:val="32"/>
          <w:szCs w:val="32"/>
          <w:highlight w:val="none"/>
          <w:lang w:val="en-US" w:eastAsia="zh" w:bidi="ar"/>
        </w:rPr>
        <w:t>贸易</w:t>
      </w:r>
      <w:r>
        <w:rPr>
          <w:rFonts w:hint="eastAsia" w:ascii="仿宋_GB2312" w:hAnsi="Calibri" w:eastAsia="仿宋_GB2312" w:cs="仿宋_GB2312"/>
          <w:i w:val="0"/>
          <w:iCs w:val="0"/>
          <w:caps w:val="0"/>
          <w:color w:val="auto"/>
          <w:spacing w:val="0"/>
          <w:kern w:val="0"/>
          <w:sz w:val="32"/>
          <w:szCs w:val="32"/>
          <w:highlight w:val="none"/>
          <w:lang w:val="en-US" w:eastAsia="zh-CN" w:bidi="ar"/>
        </w:rPr>
        <w:t>产业高质量发展，</w:t>
      </w:r>
      <w:r>
        <w:rPr>
          <w:rFonts w:hint="eastAsia" w:ascii="仿宋_GB2312" w:eastAsia="仿宋_GB2312" w:cs="仿宋_GB2312"/>
          <w:i w:val="0"/>
          <w:iCs w:val="0"/>
          <w:caps w:val="0"/>
          <w:color w:val="auto"/>
          <w:spacing w:val="0"/>
          <w:kern w:val="0"/>
          <w:sz w:val="32"/>
          <w:szCs w:val="32"/>
          <w:highlight w:val="none"/>
          <w:lang w:val="en-US" w:eastAsia="zh-CN" w:bidi="ar"/>
        </w:rPr>
        <w:t>加大力度培育</w:t>
      </w:r>
      <w:r>
        <w:rPr>
          <w:rFonts w:hint="eastAsia" w:ascii="仿宋_GB2312" w:eastAsia="仿宋_GB2312" w:cs="仿宋_GB2312"/>
          <w:i w:val="0"/>
          <w:iCs w:val="0"/>
          <w:caps w:val="0"/>
          <w:color w:val="auto"/>
          <w:spacing w:val="0"/>
          <w:kern w:val="0"/>
          <w:sz w:val="32"/>
          <w:szCs w:val="32"/>
          <w:highlight w:val="none"/>
          <w:lang w:val="en-US" w:eastAsia="zh" w:bidi="ar"/>
        </w:rPr>
        <w:t>发展</w:t>
      </w:r>
      <w:r>
        <w:rPr>
          <w:rFonts w:ascii="仿宋_GB2312" w:hAnsi="Calibri" w:eastAsia="仿宋_GB2312" w:cs="仿宋_GB2312"/>
          <w:i w:val="0"/>
          <w:iCs w:val="0"/>
          <w:caps w:val="0"/>
          <w:color w:val="auto"/>
          <w:spacing w:val="0"/>
          <w:kern w:val="0"/>
          <w:sz w:val="32"/>
          <w:szCs w:val="32"/>
          <w:highlight w:val="none"/>
          <w:lang w:val="en-US" w:eastAsia="zh-CN" w:bidi="ar"/>
        </w:rPr>
        <w:t>大宗商品贸易、</w:t>
      </w:r>
      <w:r>
        <w:rPr>
          <w:rFonts w:hint="eastAsia" w:ascii="仿宋_GB2312" w:eastAsia="仿宋_GB2312" w:cs="仿宋_GB2312"/>
          <w:i w:val="0"/>
          <w:iCs w:val="0"/>
          <w:caps w:val="0"/>
          <w:color w:val="auto"/>
          <w:spacing w:val="0"/>
          <w:kern w:val="0"/>
          <w:sz w:val="32"/>
          <w:szCs w:val="32"/>
          <w:highlight w:val="none"/>
          <w:lang w:val="en-US" w:eastAsia="zh" w:bidi="ar"/>
        </w:rPr>
        <w:t>新型</w:t>
      </w:r>
      <w:r>
        <w:rPr>
          <w:rFonts w:ascii="仿宋_GB2312" w:hAnsi="Calibri" w:eastAsia="仿宋_GB2312" w:cs="仿宋_GB2312"/>
          <w:i w:val="0"/>
          <w:iCs w:val="0"/>
          <w:caps w:val="0"/>
          <w:color w:val="auto"/>
          <w:spacing w:val="0"/>
          <w:kern w:val="0"/>
          <w:sz w:val="32"/>
          <w:szCs w:val="32"/>
          <w:highlight w:val="none"/>
          <w:lang w:val="en-US" w:eastAsia="zh-CN" w:bidi="ar"/>
        </w:rPr>
        <w:t>离岸</w:t>
      </w:r>
      <w:r>
        <w:rPr>
          <w:rFonts w:hint="eastAsia" w:ascii="仿宋_GB2312" w:eastAsia="仿宋_GB2312" w:cs="仿宋_GB2312"/>
          <w:i w:val="0"/>
          <w:iCs w:val="0"/>
          <w:caps w:val="0"/>
          <w:color w:val="auto"/>
          <w:spacing w:val="0"/>
          <w:kern w:val="0"/>
          <w:sz w:val="32"/>
          <w:szCs w:val="32"/>
          <w:highlight w:val="none"/>
          <w:lang w:val="en-US" w:eastAsia="zh" w:bidi="ar"/>
        </w:rPr>
        <w:t>国际</w:t>
      </w:r>
      <w:r>
        <w:rPr>
          <w:rFonts w:ascii="仿宋_GB2312" w:hAnsi="Calibri" w:eastAsia="仿宋_GB2312" w:cs="仿宋_GB2312"/>
          <w:i w:val="0"/>
          <w:iCs w:val="0"/>
          <w:caps w:val="0"/>
          <w:color w:val="auto"/>
          <w:spacing w:val="0"/>
          <w:kern w:val="0"/>
          <w:sz w:val="32"/>
          <w:szCs w:val="32"/>
          <w:highlight w:val="none"/>
          <w:lang w:val="en-US" w:eastAsia="zh-CN" w:bidi="ar"/>
        </w:rPr>
        <w:t>贸易、中间品贸易、绿色贸易等新业态新模式，加快集聚高能级国际贸易主体和平台，提升资源配置能力效率，打造区域创新型国际贸易中心，结合园区实际，特制定本措施。</w:t>
      </w:r>
    </w:p>
    <w:p w14:paraId="27394659">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hint="eastAsia" w:ascii="仿宋_GB2312" w:eastAsia="仿宋_GB2312" w:cs="仿宋_GB2312"/>
          <w:i w:val="0"/>
          <w:iCs w:val="0"/>
          <w:caps w:val="0"/>
          <w:color w:val="auto"/>
          <w:spacing w:val="0"/>
          <w:kern w:val="0"/>
          <w:sz w:val="32"/>
          <w:szCs w:val="32"/>
          <w:highlight w:val="none"/>
          <w:lang w:val="en-US" w:eastAsia="zh"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第一条 支持对象。</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本措施主要适用于注册和实质</w:t>
      </w:r>
      <w:r>
        <w:rPr>
          <w:rFonts w:hint="eastAsia" w:ascii="仿宋_GB2312" w:eastAsia="仿宋_GB2312" w:cs="仿宋_GB2312"/>
          <w:b w:val="0"/>
          <w:bCs w:val="0"/>
          <w:i w:val="0"/>
          <w:iCs w:val="0"/>
          <w:caps w:val="0"/>
          <w:color w:val="auto"/>
          <w:spacing w:val="0"/>
          <w:kern w:val="0"/>
          <w:sz w:val="32"/>
          <w:szCs w:val="32"/>
          <w:highlight w:val="none"/>
          <w:lang w:val="en-US" w:eastAsia="zh" w:bidi="ar"/>
        </w:rPr>
        <w:t>性运营</w:t>
      </w:r>
      <w:r>
        <w:rPr>
          <w:rFonts w:ascii="仿宋_GB2312" w:hAnsi="Calibri" w:eastAsia="仿宋_GB2312" w:cs="仿宋_GB2312"/>
          <w:b w:val="0"/>
          <w:bCs w:val="0"/>
          <w:i w:val="0"/>
          <w:iCs w:val="0"/>
          <w:caps w:val="0"/>
          <w:color w:val="auto"/>
          <w:spacing w:val="0"/>
          <w:kern w:val="0"/>
          <w:sz w:val="32"/>
          <w:szCs w:val="32"/>
          <w:highlight w:val="none"/>
          <w:lang w:val="en-US" w:eastAsia="zh-CN" w:bidi="ar"/>
        </w:rPr>
        <w:t>在江东新区，并以</w:t>
      </w:r>
      <w:r>
        <w:rPr>
          <w:rFonts w:ascii="仿宋_GB2312" w:hAnsi="Calibri" w:eastAsia="仿宋_GB2312" w:cs="仿宋_GB2312"/>
          <w:i w:val="0"/>
          <w:iCs w:val="0"/>
          <w:caps w:val="0"/>
          <w:color w:val="auto"/>
          <w:spacing w:val="0"/>
          <w:kern w:val="0"/>
          <w:sz w:val="32"/>
          <w:szCs w:val="32"/>
          <w:highlight w:val="none"/>
          <w:lang w:val="en-US" w:eastAsia="zh-CN" w:bidi="ar"/>
        </w:rPr>
        <w:t>货物或服务的进出口贸易、转口贸易、离岸贸易、企业间的贸易及贸易代理等为主营业务</w:t>
      </w:r>
      <w:r>
        <w:rPr>
          <w:rFonts w:hint="eastAsia" w:ascii="仿宋_GB2312" w:hAnsi="Calibri" w:eastAsia="仿宋_GB2312" w:cs="仿宋_GB2312"/>
          <w:i w:val="0"/>
          <w:iCs w:val="0"/>
          <w:caps w:val="0"/>
          <w:color w:val="auto"/>
          <w:spacing w:val="0"/>
          <w:kern w:val="0"/>
          <w:sz w:val="32"/>
          <w:szCs w:val="32"/>
          <w:highlight w:val="none"/>
          <w:lang w:val="en-US" w:eastAsia="zh-CN" w:bidi="ar"/>
        </w:rPr>
        <w:t>，且与省、市政府或江东管理局签订协议（包括合作协议、框架协议、用地准入协议等）的企业。</w:t>
      </w:r>
    </w:p>
    <w:p w14:paraId="00C8EF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6" w:lineRule="exact"/>
        <w:ind w:left="0" w:right="0" w:firstLine="643"/>
        <w:jc w:val="both"/>
        <w:textAlignment w:val="auto"/>
        <w:rPr>
          <w:rFonts w:hint="eastAsia" w:ascii="仿宋_GB2312" w:hAnsi="Calibri" w:eastAsia="仿宋_GB2312" w:cs="仿宋_GB2312"/>
          <w:b/>
          <w:bCs/>
          <w:i w:val="0"/>
          <w:iCs w:val="0"/>
          <w:caps w:val="0"/>
          <w:color w:val="0000FF"/>
          <w:spacing w:val="0"/>
          <w:kern w:val="0"/>
          <w:sz w:val="32"/>
          <w:szCs w:val="32"/>
          <w:highlight w:val="none"/>
          <w:lang w:eastAsia="zh"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第二条 加快推进离岸贸易</w:t>
      </w:r>
      <w:r>
        <w:rPr>
          <w:rFonts w:hint="eastAsia" w:ascii="黑体" w:hAnsi="黑体" w:eastAsia="黑体" w:cs="黑体"/>
          <w:b w:val="0"/>
          <w:bCs w:val="0"/>
          <w:i w:val="0"/>
          <w:iCs w:val="0"/>
          <w:caps w:val="0"/>
          <w:color w:val="auto"/>
          <w:spacing w:val="0"/>
          <w:kern w:val="0"/>
          <w:sz w:val="32"/>
          <w:szCs w:val="32"/>
          <w:highlight w:val="none"/>
          <w:lang w:val="en-US" w:eastAsia="zh" w:bidi="ar"/>
        </w:rPr>
        <w:t>业务</w:t>
      </w:r>
      <w:r>
        <w:rPr>
          <w:rFonts w:hint="eastAsia" w:ascii="黑体" w:hAnsi="黑体" w:eastAsia="黑体" w:cs="黑体"/>
          <w:b w:val="0"/>
          <w:bCs w:val="0"/>
          <w:i w:val="0"/>
          <w:iCs w:val="0"/>
          <w:caps w:val="0"/>
          <w:color w:val="auto"/>
          <w:spacing w:val="0"/>
          <w:kern w:val="0"/>
          <w:sz w:val="32"/>
          <w:szCs w:val="32"/>
          <w:highlight w:val="none"/>
          <w:lang w:val="en-US" w:eastAsia="zh-CN" w:bidi="ar"/>
        </w:rPr>
        <w:t>发展。</w:t>
      </w:r>
      <w:r>
        <w:rPr>
          <w:rFonts w:ascii="仿宋_GB2312" w:hAnsi="Calibri" w:eastAsia="仿宋_GB2312" w:cs="仿宋_GB2312"/>
          <w:i w:val="0"/>
          <w:iCs w:val="0"/>
          <w:caps w:val="0"/>
          <w:color w:val="auto"/>
          <w:spacing w:val="0"/>
          <w:kern w:val="0"/>
          <w:sz w:val="32"/>
          <w:szCs w:val="32"/>
          <w:highlight w:val="none"/>
          <w:lang w:val="en-US" w:eastAsia="zh-CN" w:bidi="ar"/>
        </w:rPr>
        <w:t>完善离岸贸易产业生态，</w:t>
      </w:r>
      <w:r>
        <w:rPr>
          <w:rFonts w:hint="eastAsia" w:ascii="仿宋_GB2312" w:eastAsia="仿宋_GB2312" w:cs="仿宋_GB2312"/>
          <w:i w:val="0"/>
          <w:iCs w:val="0"/>
          <w:caps w:val="0"/>
          <w:color w:val="auto"/>
          <w:spacing w:val="0"/>
          <w:kern w:val="0"/>
          <w:sz w:val="32"/>
          <w:szCs w:val="32"/>
          <w:highlight w:val="none"/>
          <w:lang w:val="en-US" w:eastAsia="zh-CN" w:bidi="ar"/>
        </w:rPr>
        <w:t>优化</w:t>
      </w:r>
      <w:r>
        <w:rPr>
          <w:rFonts w:ascii="仿宋_GB2312" w:hAnsi="Calibri" w:eastAsia="仿宋_GB2312" w:cs="仿宋_GB2312"/>
          <w:i w:val="0"/>
          <w:iCs w:val="0"/>
          <w:caps w:val="0"/>
          <w:color w:val="auto"/>
          <w:spacing w:val="0"/>
          <w:kern w:val="0"/>
          <w:sz w:val="32"/>
          <w:szCs w:val="32"/>
          <w:highlight w:val="none"/>
          <w:lang w:val="en-US" w:eastAsia="zh-CN" w:bidi="ar"/>
        </w:rPr>
        <w:t>“</w:t>
      </w:r>
      <w:r>
        <w:rPr>
          <w:rFonts w:hint="eastAsia" w:ascii="仿宋_GB2312" w:eastAsia="仿宋_GB2312" w:cs="仿宋_GB2312"/>
          <w:i w:val="0"/>
          <w:iCs w:val="0"/>
          <w:caps w:val="0"/>
          <w:color w:val="auto"/>
          <w:spacing w:val="0"/>
          <w:kern w:val="0"/>
          <w:sz w:val="32"/>
          <w:szCs w:val="32"/>
          <w:highlight w:val="none"/>
          <w:lang w:val="en-US" w:eastAsia="zh-CN" w:bidi="ar"/>
        </w:rPr>
        <w:t>离岸贸易综合服务平台</w:t>
      </w:r>
      <w:r>
        <w:rPr>
          <w:rFonts w:ascii="仿宋_GB2312" w:hAnsi="Calibri" w:eastAsia="仿宋_GB2312" w:cs="仿宋_GB2312"/>
          <w:i w:val="0"/>
          <w:iCs w:val="0"/>
          <w:caps w:val="0"/>
          <w:color w:val="auto"/>
          <w:spacing w:val="0"/>
          <w:kern w:val="0"/>
          <w:sz w:val="32"/>
          <w:szCs w:val="32"/>
          <w:highlight w:val="none"/>
          <w:lang w:val="en-US" w:eastAsia="zh-CN" w:bidi="ar"/>
        </w:rPr>
        <w:t>”</w:t>
      </w:r>
      <w:r>
        <w:rPr>
          <w:rFonts w:hint="eastAsia" w:ascii="仿宋_GB2312" w:eastAsia="仿宋_GB2312" w:cs="仿宋_GB2312"/>
          <w:i w:val="0"/>
          <w:iCs w:val="0"/>
          <w:caps w:val="0"/>
          <w:color w:val="auto"/>
          <w:spacing w:val="0"/>
          <w:kern w:val="0"/>
          <w:sz w:val="32"/>
          <w:szCs w:val="32"/>
          <w:highlight w:val="none"/>
          <w:lang w:val="en-US" w:eastAsia="zh-CN" w:bidi="ar"/>
        </w:rPr>
        <w:t>功能</w:t>
      </w:r>
      <w:r>
        <w:rPr>
          <w:rFonts w:ascii="仿宋_GB2312" w:hAnsi="Calibri" w:eastAsia="仿宋_GB2312" w:cs="仿宋_GB2312"/>
          <w:i w:val="0"/>
          <w:iCs w:val="0"/>
          <w:caps w:val="0"/>
          <w:color w:val="auto"/>
          <w:spacing w:val="0"/>
          <w:kern w:val="0"/>
          <w:sz w:val="32"/>
          <w:szCs w:val="32"/>
          <w:highlight w:val="none"/>
          <w:lang w:val="en-US" w:eastAsia="zh-CN" w:bidi="ar"/>
        </w:rPr>
        <w:t>，为离岸贸易企业提供物流信息查询、信用信息查询、风险管理等一站式服务。支持金融机构对离岸贸易企业提供丰富融资产品，保障跨境资金结算便利。服务贸易企业开通多功能自由贸易账户</w:t>
      </w:r>
      <w:r>
        <w:rPr>
          <w:rFonts w:hint="eastAsia" w:ascii="仿宋_GB2312" w:eastAsia="仿宋_GB2312" w:cs="仿宋_GB2312"/>
          <w:i w:val="0"/>
          <w:iCs w:val="0"/>
          <w:caps w:val="0"/>
          <w:color w:val="auto"/>
          <w:spacing w:val="0"/>
          <w:kern w:val="0"/>
          <w:sz w:val="32"/>
          <w:szCs w:val="32"/>
          <w:highlight w:val="none"/>
          <w:lang w:val="en-US" w:eastAsia="zh" w:bidi="ar"/>
        </w:rPr>
        <w:t>（EF账户</w:t>
      </w:r>
      <w:r>
        <w:rPr>
          <w:rFonts w:hint="default" w:ascii="Calibri" w:eastAsia="仿宋_GB2312" w:cs="Calibri"/>
          <w:i w:val="0"/>
          <w:iCs w:val="0"/>
          <w:caps w:val="0"/>
          <w:color w:val="auto"/>
          <w:spacing w:val="0"/>
          <w:kern w:val="0"/>
          <w:sz w:val="32"/>
          <w:szCs w:val="32"/>
          <w:highlight w:val="none"/>
          <w:lang w:val="en-US" w:eastAsia="zh" w:bidi="ar"/>
        </w:rPr>
        <w:t>）</w:t>
      </w:r>
      <w:r>
        <w:rPr>
          <w:rFonts w:ascii="Calibri" w:hAnsi="Calibri" w:eastAsia="仿宋_GB2312" w:cs="Calibri"/>
          <w:i w:val="0"/>
          <w:iCs w:val="0"/>
          <w:caps w:val="0"/>
          <w:color w:val="auto"/>
          <w:spacing w:val="0"/>
          <w:kern w:val="0"/>
          <w:sz w:val="32"/>
          <w:szCs w:val="32"/>
          <w:highlight w:val="none"/>
          <w:lang w:val="en-US" w:eastAsia="zh-CN" w:bidi="ar"/>
        </w:rPr>
        <w:t>，为贸易企业资金进出自由、汇兑便利提供便捷服务</w:t>
      </w:r>
      <w:r>
        <w:rPr>
          <w:rFonts w:ascii="仿宋_GB2312" w:hAnsi="Calibri" w:eastAsia="仿宋_GB2312" w:cs="仿宋_GB2312"/>
          <w:i w:val="0"/>
          <w:iCs w:val="0"/>
          <w:caps w:val="0"/>
          <w:color w:val="auto"/>
          <w:spacing w:val="0"/>
          <w:kern w:val="0"/>
          <w:sz w:val="32"/>
          <w:szCs w:val="32"/>
          <w:highlight w:val="none"/>
          <w:lang w:val="en-US" w:eastAsia="zh-CN" w:bidi="ar"/>
        </w:rPr>
        <w:t>。持续优化国际贸易业务事后审核流程，提升贸易企业</w:t>
      </w:r>
      <w:r>
        <w:rPr>
          <w:rFonts w:ascii="仿宋_GB2312" w:hAnsi="Calibri" w:eastAsia="仿宋_GB2312" w:cs="仿宋_GB2312"/>
          <w:b w:val="0"/>
          <w:bCs w:val="0"/>
          <w:i w:val="0"/>
          <w:iCs w:val="0"/>
          <w:caps w:val="0"/>
          <w:color w:val="auto"/>
          <w:spacing w:val="0"/>
          <w:kern w:val="0"/>
          <w:sz w:val="32"/>
          <w:szCs w:val="32"/>
          <w:highlight w:val="none"/>
          <w:lang w:val="en-US" w:eastAsia="zh-CN" w:bidi="ar"/>
        </w:rPr>
        <w:t>跨境结算便利化和融资便利化水平。</w:t>
      </w:r>
      <w:r>
        <w:rPr>
          <w:rFonts w:hint="default" w:ascii="仿宋_GB2312" w:hAnsi="Calibri" w:eastAsia="仿宋_GB2312" w:cs="仿宋_GB2312"/>
          <w:b w:val="0"/>
          <w:bCs w:val="0"/>
          <w:color w:val="auto"/>
          <w:kern w:val="0"/>
          <w:sz w:val="32"/>
          <w:szCs w:val="32"/>
          <w:highlight w:val="none"/>
          <w:u w:val="none"/>
          <w:lang w:val="en-US" w:eastAsia="zh-CN" w:bidi="ar"/>
        </w:rPr>
        <w:t>对企业开展离岸转手买卖业务书立的买卖合同，按政策享受免征印花税支持。</w:t>
      </w:r>
      <w:r>
        <w:rPr>
          <w:rFonts w:hint="eastAsia" w:ascii="仿宋_GB2312" w:hAnsi="Calibri" w:eastAsia="仿宋_GB2312" w:cs="仿宋_GB2312"/>
          <w:b/>
          <w:bCs/>
          <w:color w:val="0000FF"/>
          <w:kern w:val="0"/>
          <w:sz w:val="32"/>
          <w:szCs w:val="32"/>
          <w:highlight w:val="none"/>
          <w:u w:val="none"/>
          <w:lang w:val="en-US" w:eastAsia="zh" w:bidi="ar"/>
        </w:rPr>
        <w:t xml:space="preserve"> </w:t>
      </w:r>
    </w:p>
    <w:p w14:paraId="4B4C663D">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76" w:lineRule="exact"/>
        <w:ind w:left="0" w:leftChars="0" w:right="0" w:firstLine="640" w:firstLineChars="200"/>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 w:bidi="ar"/>
        </w:rPr>
        <w:t>第</w:t>
      </w:r>
      <w:r>
        <w:rPr>
          <w:rFonts w:hint="eastAsia" w:ascii="黑体" w:hAnsi="黑体" w:eastAsia="黑体" w:cs="黑体"/>
          <w:b w:val="0"/>
          <w:bCs w:val="0"/>
          <w:i w:val="0"/>
          <w:iCs w:val="0"/>
          <w:caps w:val="0"/>
          <w:color w:val="auto"/>
          <w:spacing w:val="0"/>
          <w:kern w:val="0"/>
          <w:sz w:val="32"/>
          <w:szCs w:val="32"/>
          <w:highlight w:val="none"/>
          <w:lang w:val="en-US" w:eastAsia="zh-CN" w:bidi="ar"/>
        </w:rPr>
        <w:t>三</w:t>
      </w:r>
      <w:r>
        <w:rPr>
          <w:rFonts w:hint="eastAsia" w:ascii="黑体" w:hAnsi="黑体" w:eastAsia="黑体" w:cs="黑体"/>
          <w:b w:val="0"/>
          <w:bCs w:val="0"/>
          <w:i w:val="0"/>
          <w:iCs w:val="0"/>
          <w:caps w:val="0"/>
          <w:color w:val="auto"/>
          <w:spacing w:val="0"/>
          <w:kern w:val="0"/>
          <w:sz w:val="32"/>
          <w:szCs w:val="32"/>
          <w:highlight w:val="none"/>
          <w:lang w:val="en-US" w:eastAsia="zh" w:bidi="ar"/>
        </w:rPr>
        <w:t xml:space="preserve">条 </w:t>
      </w:r>
      <w:r>
        <w:rPr>
          <w:rFonts w:hint="eastAsia" w:ascii="黑体" w:hAnsi="黑体" w:eastAsia="黑体" w:cs="黑体"/>
          <w:b w:val="0"/>
          <w:bCs w:val="0"/>
          <w:i w:val="0"/>
          <w:iCs w:val="0"/>
          <w:caps w:val="0"/>
          <w:color w:val="auto"/>
          <w:spacing w:val="0"/>
          <w:kern w:val="0"/>
          <w:sz w:val="32"/>
          <w:szCs w:val="32"/>
          <w:highlight w:val="none"/>
          <w:lang w:val="en-US" w:eastAsia="zh-CN" w:bidi="ar"/>
        </w:rPr>
        <w:t>打造大宗商品贸易产业高地。</w:t>
      </w:r>
      <w:r>
        <w:rPr>
          <w:rFonts w:ascii="仿宋_GB2312" w:hAnsi="Calibri" w:eastAsia="仿宋_GB2312" w:cs="仿宋_GB2312"/>
          <w:i w:val="0"/>
          <w:iCs w:val="0"/>
          <w:caps w:val="0"/>
          <w:color w:val="auto"/>
          <w:spacing w:val="0"/>
          <w:kern w:val="0"/>
          <w:sz w:val="32"/>
          <w:szCs w:val="32"/>
          <w:highlight w:val="none"/>
          <w:lang w:val="en-US" w:eastAsia="zh-CN" w:bidi="ar"/>
        </w:rPr>
        <w:t>依托海南国际能源交易中心，拓展农产品、有色金属、黑色金属、能源化工等大宗商品</w:t>
      </w:r>
      <w:r>
        <w:rPr>
          <w:rFonts w:hint="eastAsia" w:ascii="仿宋_GB2312" w:eastAsia="仿宋_GB2312" w:cs="仿宋_GB2312"/>
          <w:i w:val="0"/>
          <w:iCs w:val="0"/>
          <w:caps w:val="0"/>
          <w:color w:val="auto"/>
          <w:spacing w:val="0"/>
          <w:kern w:val="0"/>
          <w:sz w:val="32"/>
          <w:szCs w:val="32"/>
          <w:highlight w:val="none"/>
          <w:lang w:val="en-US" w:eastAsia="zh-CN" w:bidi="ar"/>
        </w:rPr>
        <w:t>交易</w:t>
      </w:r>
      <w:r>
        <w:rPr>
          <w:rFonts w:ascii="仿宋_GB2312" w:hAnsi="Calibri" w:eastAsia="仿宋_GB2312" w:cs="仿宋_GB2312"/>
          <w:i w:val="0"/>
          <w:iCs w:val="0"/>
          <w:caps w:val="0"/>
          <w:color w:val="auto"/>
          <w:spacing w:val="0"/>
          <w:kern w:val="0"/>
          <w:sz w:val="32"/>
          <w:szCs w:val="32"/>
          <w:highlight w:val="none"/>
          <w:lang w:val="en-US" w:eastAsia="zh-CN" w:bidi="ar"/>
        </w:rPr>
        <w:t>品类。优化大宗商品贸易供应链服务，拓展数字化大宗商品非居民交易和电子提单在大宗商品交易中的应用。指导贸易企业申请“经认证的经营者”（AEO认证），为贸易企业提供政策解读、企业注册、办公选址、通关申请等综合服务。</w:t>
      </w:r>
    </w:p>
    <w:p w14:paraId="614DDECD">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第四条 拓展中间品贸易发展空间。</w:t>
      </w:r>
      <w:r>
        <w:rPr>
          <w:rFonts w:ascii="仿宋_GB2312" w:hAnsi="Calibri" w:eastAsia="仿宋_GB2312" w:cs="仿宋_GB2312"/>
          <w:i w:val="0"/>
          <w:iCs w:val="0"/>
          <w:caps w:val="0"/>
          <w:color w:val="auto"/>
          <w:spacing w:val="0"/>
          <w:kern w:val="0"/>
          <w:sz w:val="32"/>
          <w:szCs w:val="32"/>
          <w:highlight w:val="none"/>
          <w:lang w:val="en-US" w:eastAsia="zh-CN" w:bidi="ar"/>
        </w:rPr>
        <w:t>完善中间品贸易统计，加快中间品识别工作。扩大与RCEP成员国和“一带一路”沿线国家的区域性中间品贸易合作。支持先进技术设备、关键零部件以及资源性产品等优质中间品进口，推动优势中间品出口，提升区域供应链核心把控能力。</w:t>
      </w:r>
    </w:p>
    <w:p w14:paraId="7382871C">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1"/>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第五条 打造特色服务贸易发展体系。</w:t>
      </w:r>
      <w:r>
        <w:rPr>
          <w:rFonts w:hint="eastAsia" w:ascii="仿宋_GB2312" w:eastAsia="仿宋_GB2312" w:cs="仿宋_GB2312"/>
          <w:b w:val="0"/>
          <w:bCs w:val="0"/>
          <w:i w:val="0"/>
          <w:iCs w:val="0"/>
          <w:caps w:val="0"/>
          <w:color w:val="auto"/>
          <w:spacing w:val="0"/>
          <w:kern w:val="0"/>
          <w:sz w:val="32"/>
          <w:szCs w:val="32"/>
          <w:highlight w:val="none"/>
          <w:lang w:val="en-US" w:eastAsia="zh" w:bidi="ar"/>
        </w:rPr>
        <w:t>推动</w:t>
      </w:r>
      <w:r>
        <w:rPr>
          <w:rFonts w:ascii="仿宋_GB2312" w:hAnsi="Calibri" w:eastAsia="仿宋_GB2312" w:cs="仿宋_GB2312"/>
          <w:i w:val="0"/>
          <w:iCs w:val="0"/>
          <w:caps w:val="0"/>
          <w:color w:val="auto"/>
          <w:spacing w:val="0"/>
          <w:kern w:val="0"/>
          <w:sz w:val="32"/>
          <w:szCs w:val="32"/>
          <w:highlight w:val="none"/>
          <w:lang w:val="en-US" w:eastAsia="zh-CN" w:bidi="ar"/>
        </w:rPr>
        <w:t>“两洋”航空枢纽建设，提升航空运输国际化服务水平，建设与航空产业相配套的服务贸易体系。依托海口江东法务区，促进法律、金融、咨询、调解、仲裁、会计等专业化国际商事服务贸易发展。推动商贸、健康、养老、托育、文化、旅游、体育、家政、餐饮等生活性服务业向高品质和多样化升级，创新发展体验服务、共享服务、智慧服务等新业态新模式。</w:t>
      </w:r>
    </w:p>
    <w:p w14:paraId="153DEE49">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hint="eastAsia" w:ascii="仿宋_GB2312" w:eastAsia="仿宋_GB2312" w:cs="仿宋_GB2312"/>
          <w:i w:val="0"/>
          <w:iCs w:val="0"/>
          <w:caps w:val="0"/>
          <w:color w:val="auto"/>
          <w:spacing w:val="0"/>
          <w:kern w:val="0"/>
          <w:sz w:val="32"/>
          <w:szCs w:val="32"/>
          <w:highlight w:val="none"/>
          <w:lang w:val="en-US" w:eastAsia="zh"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第六条 积极发展绿色贸易。</w:t>
      </w:r>
      <w:r>
        <w:rPr>
          <w:rFonts w:ascii="仿宋_GB2312" w:hAnsi="Calibri" w:eastAsia="仿宋_GB2312" w:cs="仿宋_GB2312"/>
          <w:i w:val="0"/>
          <w:iCs w:val="0"/>
          <w:caps w:val="0"/>
          <w:color w:val="auto"/>
          <w:spacing w:val="0"/>
          <w:kern w:val="0"/>
          <w:sz w:val="32"/>
          <w:szCs w:val="32"/>
          <w:highlight w:val="none"/>
          <w:lang w:val="en-US" w:eastAsia="zh-CN" w:bidi="ar"/>
        </w:rPr>
        <w:t>招引和培育一批绿色贸易龙头企业</w:t>
      </w:r>
      <w:r>
        <w:rPr>
          <w:rFonts w:hint="eastAsia" w:ascii="仿宋_GB2312" w:eastAsia="仿宋_GB2312" w:cs="仿宋_GB2312"/>
          <w:i w:val="0"/>
          <w:iCs w:val="0"/>
          <w:caps w:val="0"/>
          <w:color w:val="auto"/>
          <w:spacing w:val="0"/>
          <w:kern w:val="0"/>
          <w:sz w:val="32"/>
          <w:szCs w:val="32"/>
          <w:highlight w:val="none"/>
          <w:lang w:val="en-US" w:eastAsia="zh-CN" w:bidi="ar"/>
        </w:rPr>
        <w:t>，支持发展绿色技术和绿色贸易，扩大绿色节能技术和服务出口</w:t>
      </w:r>
      <w:r>
        <w:rPr>
          <w:rFonts w:ascii="仿宋_GB2312" w:hAnsi="Calibri" w:eastAsia="仿宋_GB2312" w:cs="仿宋_GB2312"/>
          <w:i w:val="0"/>
          <w:iCs w:val="0"/>
          <w:caps w:val="0"/>
          <w:color w:val="auto"/>
          <w:spacing w:val="0"/>
          <w:kern w:val="0"/>
          <w:sz w:val="32"/>
          <w:szCs w:val="32"/>
          <w:highlight w:val="none"/>
          <w:lang w:val="en-US" w:eastAsia="zh-CN" w:bidi="ar"/>
        </w:rPr>
        <w:t>。积极引导外贸供应链绿色低碳协同转型，支持第三方碳服务机构</w:t>
      </w:r>
      <w:r>
        <w:rPr>
          <w:rFonts w:hint="eastAsia" w:ascii="仿宋_GB2312" w:eastAsia="仿宋_GB2312" w:cs="仿宋_GB2312"/>
          <w:i w:val="0"/>
          <w:iCs w:val="0"/>
          <w:caps w:val="0"/>
          <w:color w:val="auto"/>
          <w:spacing w:val="0"/>
          <w:kern w:val="0"/>
          <w:sz w:val="32"/>
          <w:szCs w:val="32"/>
          <w:highlight w:val="none"/>
          <w:lang w:val="en-US" w:eastAsia="zh-CN" w:bidi="ar"/>
        </w:rPr>
        <w:t>与外贸企业对接</w:t>
      </w:r>
      <w:r>
        <w:rPr>
          <w:rFonts w:ascii="仿宋_GB2312" w:hAnsi="Calibri" w:eastAsia="仿宋_GB2312" w:cs="仿宋_GB2312"/>
          <w:i w:val="0"/>
          <w:iCs w:val="0"/>
          <w:caps w:val="0"/>
          <w:color w:val="auto"/>
          <w:spacing w:val="0"/>
          <w:kern w:val="0"/>
          <w:sz w:val="32"/>
          <w:szCs w:val="32"/>
          <w:highlight w:val="none"/>
          <w:lang w:val="en-US" w:eastAsia="zh-CN" w:bidi="ar"/>
        </w:rPr>
        <w:t>。支持将碳标准与计量方法分析师、碳交易员、绿色建筑（LEED）认证专家证书等绿色低碳研究领域国际资格证书列入江东新区人才认定“正面清单”项目。</w:t>
      </w:r>
      <w:r>
        <w:rPr>
          <w:rFonts w:hint="eastAsia" w:ascii="仿宋_GB2312" w:eastAsia="仿宋_GB2312" w:cs="仿宋_GB2312"/>
          <w:i w:val="0"/>
          <w:iCs w:val="0"/>
          <w:caps w:val="0"/>
          <w:color w:val="auto"/>
          <w:spacing w:val="0"/>
          <w:kern w:val="0"/>
          <w:sz w:val="32"/>
          <w:szCs w:val="32"/>
          <w:highlight w:val="none"/>
          <w:lang w:val="en-US" w:eastAsia="zh" w:bidi="ar"/>
        </w:rPr>
        <w:t>支持企业提升环境、社会和治理（ESG）水平，对于在国内外</w:t>
      </w:r>
      <w:r>
        <w:rPr>
          <w:rFonts w:hint="eastAsia" w:ascii="仿宋_GB2312" w:eastAsia="仿宋_GB2312" w:cs="仿宋_GB2312"/>
          <w:i w:val="0"/>
          <w:iCs w:val="0"/>
          <w:caps w:val="0"/>
          <w:color w:val="auto"/>
          <w:spacing w:val="0"/>
          <w:kern w:val="0"/>
          <w:sz w:val="32"/>
          <w:szCs w:val="32"/>
          <w:highlight w:val="none"/>
          <w:lang w:val="en-US" w:eastAsia="zh-CN" w:bidi="ar"/>
        </w:rPr>
        <w:t>权威</w:t>
      </w:r>
      <w:r>
        <w:rPr>
          <w:rFonts w:hint="eastAsia" w:ascii="仿宋_GB2312" w:eastAsia="仿宋_GB2312" w:cs="仿宋_GB2312"/>
          <w:i w:val="0"/>
          <w:iCs w:val="0"/>
          <w:caps w:val="0"/>
          <w:color w:val="auto"/>
          <w:spacing w:val="0"/>
          <w:kern w:val="0"/>
          <w:sz w:val="32"/>
          <w:szCs w:val="32"/>
          <w:highlight w:val="none"/>
          <w:lang w:val="en-US" w:eastAsia="zh" w:bidi="ar"/>
        </w:rPr>
        <w:t>ESG评级中获得A级及以上或同等水平级别的企业，给予5万元奖励。</w:t>
      </w:r>
    </w:p>
    <w:p w14:paraId="0F199EF3">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第七条 创新发展数字贸易。</w:t>
      </w:r>
      <w:r>
        <w:rPr>
          <w:rFonts w:ascii="仿宋_GB2312" w:hAnsi="Calibri" w:eastAsia="仿宋_GB2312" w:cs="仿宋_GB2312"/>
          <w:b w:val="0"/>
          <w:bCs w:val="0"/>
          <w:i w:val="0"/>
          <w:iCs w:val="0"/>
          <w:caps w:val="0"/>
          <w:color w:val="auto"/>
          <w:spacing w:val="0"/>
          <w:kern w:val="0"/>
          <w:sz w:val="32"/>
          <w:szCs w:val="32"/>
          <w:highlight w:val="none"/>
          <w:lang w:val="en-US" w:eastAsia="zh-CN" w:bidi="ar"/>
        </w:rPr>
        <w:t>促进数字产品贸易，</w:t>
      </w:r>
      <w:r>
        <w:rPr>
          <w:rFonts w:ascii="仿宋_GB2312" w:hAnsi="Calibri" w:eastAsia="仿宋_GB2312" w:cs="仿宋_GB2312"/>
          <w:i w:val="0"/>
          <w:iCs w:val="0"/>
          <w:caps w:val="0"/>
          <w:color w:val="auto"/>
          <w:spacing w:val="0"/>
          <w:kern w:val="0"/>
          <w:sz w:val="32"/>
          <w:szCs w:val="32"/>
          <w:highlight w:val="none"/>
          <w:lang w:val="en-US" w:eastAsia="zh-CN" w:bidi="ar"/>
        </w:rPr>
        <w:t>积极推动数字产业应用场景和模式创新在江东新区落地应用，支持提升数字内容制作质量和水平。促进数字技术贸易，加快发展通信、物联网、云计算、人工智能、区块链、卫星导航等领域对外贸易。促进数字服务贸易，支持企业参与数字服务贸易国际标准制定和推广。</w:t>
      </w:r>
    </w:p>
    <w:p w14:paraId="211A96C3">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第八条 培育对外文化贸易发展。</w:t>
      </w:r>
      <w:r>
        <w:rPr>
          <w:rFonts w:ascii="仿宋_GB2312" w:hAnsi="Calibri" w:eastAsia="仿宋_GB2312" w:cs="仿宋_GB2312"/>
          <w:i w:val="0"/>
          <w:iCs w:val="0"/>
          <w:caps w:val="0"/>
          <w:color w:val="auto"/>
          <w:spacing w:val="0"/>
          <w:kern w:val="0"/>
          <w:sz w:val="32"/>
          <w:szCs w:val="32"/>
          <w:highlight w:val="none"/>
          <w:lang w:val="en-US" w:eastAsia="zh-CN" w:bidi="ar"/>
        </w:rPr>
        <w:t>加快对外文化贸易企业集聚，支持演艺娱乐、动漫游戏、广播影视、创意设计等文化企业落地江东新区。支持文化贸易企业在江东新区举办、引入境内外国际性</w:t>
      </w:r>
      <w:r>
        <w:rPr>
          <w:rFonts w:hint="eastAsia" w:ascii="仿宋_GB2312" w:eastAsia="仿宋_GB2312" w:cs="仿宋_GB2312"/>
          <w:i w:val="0"/>
          <w:iCs w:val="0"/>
          <w:caps w:val="0"/>
          <w:color w:val="auto"/>
          <w:spacing w:val="0"/>
          <w:kern w:val="0"/>
          <w:sz w:val="32"/>
          <w:szCs w:val="32"/>
          <w:highlight w:val="none"/>
          <w:lang w:val="en-US" w:eastAsia="zh-CN" w:bidi="ar"/>
        </w:rPr>
        <w:t>活动</w:t>
      </w:r>
      <w:r>
        <w:rPr>
          <w:rFonts w:ascii="仿宋_GB2312" w:hAnsi="Calibri" w:eastAsia="仿宋_GB2312" w:cs="仿宋_GB2312"/>
          <w:i w:val="0"/>
          <w:iCs w:val="0"/>
          <w:caps w:val="0"/>
          <w:color w:val="auto"/>
          <w:spacing w:val="0"/>
          <w:kern w:val="0"/>
          <w:sz w:val="32"/>
          <w:szCs w:val="32"/>
          <w:highlight w:val="none"/>
          <w:lang w:val="en-US" w:eastAsia="zh-CN" w:bidi="ar"/>
        </w:rPr>
        <w:t>、对接洽谈活动、国际性文化创意类活动等。对举办经备案活动的文化贸易企业，</w:t>
      </w:r>
      <w:r>
        <w:rPr>
          <w:rFonts w:hint="eastAsia" w:ascii="仿宋_GB2312" w:hAnsi="Calibri" w:eastAsia="仿宋_GB2312" w:cs="仿宋_GB2312"/>
          <w:i w:val="0"/>
          <w:iCs w:val="0"/>
          <w:caps w:val="0"/>
          <w:color w:val="auto"/>
          <w:spacing w:val="0"/>
          <w:kern w:val="0"/>
          <w:sz w:val="32"/>
          <w:szCs w:val="32"/>
          <w:highlight w:val="none"/>
          <w:lang w:val="en-US" w:eastAsia="zh-CN" w:bidi="ar"/>
        </w:rPr>
        <w:t>按照活动场租的50%给予实际出资的主办或承办单位支持，每届活动的补助金额最高不超过10万元。上述活动如在境内外具有较强影响力，且参加人数</w:t>
      </w:r>
      <w:r>
        <w:rPr>
          <w:rFonts w:hint="eastAsia" w:ascii="仿宋_GB2312" w:eastAsia="仿宋_GB2312" w:cs="仿宋_GB2312"/>
          <w:i w:val="0"/>
          <w:iCs w:val="0"/>
          <w:caps w:val="0"/>
          <w:color w:val="auto"/>
          <w:spacing w:val="0"/>
          <w:kern w:val="0"/>
          <w:sz w:val="32"/>
          <w:szCs w:val="32"/>
          <w:highlight w:val="none"/>
          <w:lang w:val="en-US" w:eastAsia="zh" w:bidi="ar"/>
        </w:rPr>
        <w:t>2</w:t>
      </w:r>
      <w:r>
        <w:rPr>
          <w:rFonts w:hint="eastAsia" w:ascii="仿宋_GB2312" w:hAnsi="Calibri" w:eastAsia="仿宋_GB2312" w:cs="仿宋_GB2312"/>
          <w:i w:val="0"/>
          <w:iCs w:val="0"/>
          <w:caps w:val="0"/>
          <w:color w:val="auto"/>
          <w:spacing w:val="0"/>
          <w:kern w:val="0"/>
          <w:sz w:val="32"/>
          <w:szCs w:val="32"/>
          <w:highlight w:val="none"/>
          <w:lang w:val="en-US" w:eastAsia="zh-CN" w:bidi="ar"/>
        </w:rPr>
        <w:t>00人（含）以上的，奖励比例可上浮。单家企业/主体每年获得此项支持总额最高不超过</w:t>
      </w:r>
      <w:r>
        <w:rPr>
          <w:rFonts w:hint="eastAsia" w:ascii="仿宋_GB2312" w:eastAsia="仿宋_GB2312" w:cs="仿宋_GB2312"/>
          <w:i w:val="0"/>
          <w:iCs w:val="0"/>
          <w:caps w:val="0"/>
          <w:color w:val="auto"/>
          <w:spacing w:val="0"/>
          <w:kern w:val="0"/>
          <w:sz w:val="32"/>
          <w:szCs w:val="32"/>
          <w:highlight w:val="none"/>
          <w:lang w:val="en-US" w:eastAsia="zh" w:bidi="ar"/>
        </w:rPr>
        <w:t>150</w:t>
      </w:r>
      <w:r>
        <w:rPr>
          <w:rFonts w:hint="eastAsia" w:ascii="仿宋_GB2312" w:hAnsi="Calibri" w:eastAsia="仿宋_GB2312" w:cs="仿宋_GB2312"/>
          <w:i w:val="0"/>
          <w:iCs w:val="0"/>
          <w:caps w:val="0"/>
          <w:color w:val="auto"/>
          <w:spacing w:val="0"/>
          <w:kern w:val="0"/>
          <w:sz w:val="32"/>
          <w:szCs w:val="32"/>
          <w:highlight w:val="none"/>
          <w:lang w:val="en-US" w:eastAsia="zh-CN" w:bidi="ar"/>
        </w:rPr>
        <w:t>万元。</w:t>
      </w:r>
      <w:r>
        <w:rPr>
          <w:rFonts w:ascii="仿宋_GB2312" w:hAnsi="Calibri" w:eastAsia="仿宋_GB2312" w:cs="仿宋_GB2312"/>
          <w:i w:val="0"/>
          <w:iCs w:val="0"/>
          <w:caps w:val="0"/>
          <w:color w:val="auto"/>
          <w:spacing w:val="0"/>
          <w:kern w:val="0"/>
          <w:sz w:val="32"/>
          <w:szCs w:val="32"/>
          <w:highlight w:val="none"/>
          <w:lang w:val="en-US" w:eastAsia="zh-CN" w:bidi="ar"/>
        </w:rPr>
        <w:t>支持文化企业投资兴办海外文化贸易基地，促进与RCEP成员国和一带一路沿线国家的文化贸易合作。</w:t>
      </w:r>
    </w:p>
    <w:p w14:paraId="6D3D970E">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第九条 促进贸易数字化发展。</w:t>
      </w:r>
      <w:r>
        <w:rPr>
          <w:rFonts w:ascii="仿宋_GB2312" w:hAnsi="Calibri" w:eastAsia="仿宋_GB2312" w:cs="仿宋_GB2312"/>
          <w:b w:val="0"/>
          <w:bCs w:val="0"/>
          <w:i w:val="0"/>
          <w:iCs w:val="0"/>
          <w:caps w:val="0"/>
          <w:color w:val="auto"/>
          <w:spacing w:val="0"/>
          <w:kern w:val="0"/>
          <w:sz w:val="32"/>
          <w:szCs w:val="32"/>
          <w:highlight w:val="none"/>
          <w:lang w:val="en-US" w:eastAsia="zh-CN" w:bidi="ar"/>
        </w:rPr>
        <w:t>支持运用数字技术、人工智能等创新服务供给。</w:t>
      </w:r>
      <w:r>
        <w:rPr>
          <w:rFonts w:ascii="仿宋_GB2312" w:hAnsi="Calibri" w:eastAsia="仿宋_GB2312" w:cs="仿宋_GB2312"/>
          <w:i w:val="0"/>
          <w:iCs w:val="0"/>
          <w:caps w:val="0"/>
          <w:color w:val="auto"/>
          <w:spacing w:val="0"/>
          <w:kern w:val="0"/>
          <w:sz w:val="32"/>
          <w:szCs w:val="32"/>
          <w:highlight w:val="none"/>
          <w:lang w:val="en-US" w:eastAsia="zh-CN" w:bidi="ar"/>
        </w:rPr>
        <w:t>支持商贸企业、交易场所及供应链企业建设数字化服务系统，提升贸易企业采购、销售、物流、交易、结算、融资等环节数字化水平。对新建单个数字化系统开发费用在100万元</w:t>
      </w:r>
      <w:r>
        <w:rPr>
          <w:rFonts w:hint="eastAsia" w:ascii="仿宋_GB2312" w:eastAsia="仿宋_GB2312" w:cs="仿宋_GB2312"/>
          <w:i w:val="0"/>
          <w:iCs w:val="0"/>
          <w:caps w:val="0"/>
          <w:color w:val="auto"/>
          <w:spacing w:val="0"/>
          <w:kern w:val="0"/>
          <w:sz w:val="32"/>
          <w:szCs w:val="32"/>
          <w:highlight w:val="none"/>
          <w:lang w:val="en-US" w:eastAsia="zh" w:bidi="ar"/>
        </w:rPr>
        <w:t>（含）</w:t>
      </w:r>
      <w:r>
        <w:rPr>
          <w:rFonts w:ascii="仿宋_GB2312" w:hAnsi="Calibri" w:eastAsia="仿宋_GB2312" w:cs="仿宋_GB2312"/>
          <w:i w:val="0"/>
          <w:iCs w:val="0"/>
          <w:caps w:val="0"/>
          <w:color w:val="auto"/>
          <w:spacing w:val="0"/>
          <w:kern w:val="0"/>
          <w:sz w:val="32"/>
          <w:szCs w:val="32"/>
          <w:highlight w:val="none"/>
          <w:lang w:val="en-US" w:eastAsia="zh-CN" w:bidi="ar"/>
        </w:rPr>
        <w:t>以上的贸易企业，根据其系统开发费用的20%，最高给予300万元一次性支持。</w:t>
      </w:r>
    </w:p>
    <w:p w14:paraId="066A7A45">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仿宋_GB2312" w:hAnsi="Calibri" w:eastAsia="仿宋_GB2312" w:cs="仿宋_GB2312"/>
          <w:i w:val="0"/>
          <w:iCs w:val="0"/>
          <w:caps w:val="0"/>
          <w:color w:val="auto"/>
          <w:spacing w:val="0"/>
          <w:kern w:val="0"/>
          <w:sz w:val="32"/>
          <w:szCs w:val="32"/>
          <w:highlight w:val="none"/>
          <w:lang w:val="en-US" w:eastAsia="zh-CN"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 xml:space="preserve">第十条 </w:t>
      </w:r>
      <w:r>
        <w:rPr>
          <w:rFonts w:hint="eastAsia" w:ascii="黑体" w:hAnsi="黑体" w:eastAsia="黑体" w:cs="黑体"/>
          <w:b w:val="0"/>
          <w:bCs w:val="0"/>
          <w:i w:val="0"/>
          <w:iCs w:val="0"/>
          <w:caps w:val="0"/>
          <w:color w:val="auto"/>
          <w:spacing w:val="0"/>
          <w:kern w:val="0"/>
          <w:sz w:val="32"/>
          <w:szCs w:val="32"/>
          <w:highlight w:val="none"/>
          <w:lang w:val="en-US" w:eastAsia="zh" w:bidi="ar"/>
        </w:rPr>
        <w:t>支持</w:t>
      </w:r>
      <w:r>
        <w:rPr>
          <w:rFonts w:hint="eastAsia" w:ascii="黑体" w:hAnsi="黑体" w:eastAsia="黑体" w:cs="黑体"/>
          <w:b w:val="0"/>
          <w:bCs w:val="0"/>
          <w:i w:val="0"/>
          <w:iCs w:val="0"/>
          <w:caps w:val="0"/>
          <w:color w:val="auto"/>
          <w:spacing w:val="0"/>
          <w:kern w:val="0"/>
          <w:sz w:val="32"/>
          <w:szCs w:val="32"/>
          <w:highlight w:val="none"/>
          <w:lang w:val="en-US" w:eastAsia="zh-CN" w:bidi="ar"/>
        </w:rPr>
        <w:t>贸易企业就业。</w:t>
      </w:r>
      <w:r>
        <w:rPr>
          <w:rFonts w:hint="eastAsia" w:ascii="仿宋_GB2312" w:eastAsia="仿宋_GB2312" w:cs="仿宋_GB2312"/>
          <w:i w:val="0"/>
          <w:iCs w:val="0"/>
          <w:caps w:val="0"/>
          <w:color w:val="auto"/>
          <w:spacing w:val="0"/>
          <w:kern w:val="0"/>
          <w:sz w:val="32"/>
          <w:szCs w:val="32"/>
          <w:highlight w:val="none"/>
          <w:lang w:val="en-US" w:eastAsia="zh-CN" w:bidi="ar"/>
        </w:rPr>
        <w:t>鼓励</w:t>
      </w:r>
      <w:r>
        <w:rPr>
          <w:rFonts w:ascii="仿宋_GB2312" w:hAnsi="Calibri" w:eastAsia="仿宋_GB2312" w:cs="仿宋_GB2312"/>
          <w:i w:val="0"/>
          <w:iCs w:val="0"/>
          <w:caps w:val="0"/>
          <w:color w:val="auto"/>
          <w:spacing w:val="0"/>
          <w:kern w:val="0"/>
          <w:sz w:val="32"/>
          <w:szCs w:val="32"/>
          <w:highlight w:val="none"/>
          <w:lang w:val="en-US" w:eastAsia="zh-CN" w:bidi="ar"/>
        </w:rPr>
        <w:t>贸易</w:t>
      </w:r>
      <w:r>
        <w:rPr>
          <w:rFonts w:hint="eastAsia" w:ascii="仿宋_GB2312" w:eastAsia="仿宋_GB2312" w:cs="仿宋_GB2312"/>
          <w:i w:val="0"/>
          <w:iCs w:val="0"/>
          <w:caps w:val="0"/>
          <w:color w:val="auto"/>
          <w:spacing w:val="0"/>
          <w:kern w:val="0"/>
          <w:sz w:val="32"/>
          <w:szCs w:val="32"/>
          <w:highlight w:val="none"/>
          <w:lang w:val="en-US" w:eastAsia="zh-CN" w:bidi="ar"/>
        </w:rPr>
        <w:t>企业加大人才招引力度</w:t>
      </w:r>
      <w:r>
        <w:rPr>
          <w:rFonts w:ascii="仿宋_GB2312" w:hAnsi="Calibri" w:eastAsia="仿宋_GB2312" w:cs="仿宋_GB2312"/>
          <w:i w:val="0"/>
          <w:iCs w:val="0"/>
          <w:caps w:val="0"/>
          <w:color w:val="auto"/>
          <w:spacing w:val="0"/>
          <w:kern w:val="0"/>
          <w:sz w:val="32"/>
          <w:szCs w:val="32"/>
          <w:highlight w:val="none"/>
          <w:lang w:val="en-US" w:eastAsia="zh-CN" w:bidi="ar"/>
        </w:rPr>
        <w:t>，根据贸易企业</w:t>
      </w:r>
      <w:r>
        <w:rPr>
          <w:rFonts w:hint="eastAsia" w:ascii="仿宋_GB2312" w:eastAsia="仿宋_GB2312" w:cs="仿宋_GB2312"/>
          <w:i w:val="0"/>
          <w:iCs w:val="0"/>
          <w:caps w:val="0"/>
          <w:color w:val="auto"/>
          <w:spacing w:val="0"/>
          <w:kern w:val="0"/>
          <w:sz w:val="32"/>
          <w:szCs w:val="32"/>
          <w:highlight w:val="none"/>
          <w:lang w:val="en-US" w:eastAsia="zh-CN" w:bidi="ar"/>
        </w:rPr>
        <w:t>就业</w:t>
      </w:r>
      <w:r>
        <w:rPr>
          <w:rFonts w:ascii="仿宋_GB2312" w:hAnsi="Calibri" w:eastAsia="仿宋_GB2312" w:cs="仿宋_GB2312"/>
          <w:i w:val="0"/>
          <w:iCs w:val="0"/>
          <w:caps w:val="0"/>
          <w:color w:val="auto"/>
          <w:spacing w:val="0"/>
          <w:kern w:val="0"/>
          <w:sz w:val="32"/>
          <w:szCs w:val="32"/>
          <w:highlight w:val="none"/>
          <w:lang w:val="en-US" w:eastAsia="zh-CN" w:bidi="ar"/>
        </w:rPr>
        <w:t>人员数量（以当年度12月缴纳社保的花名册或缴纳个税的人员数量为准）给予每人每月最高600元就业支持，给予每人每月最高600元交通支持。</w:t>
      </w:r>
    </w:p>
    <w:p w14:paraId="3195F807">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hint="eastAsia" w:ascii="仿宋_GB2312" w:eastAsia="仿宋_GB2312" w:cs="仿宋_GB2312"/>
          <w:color w:val="auto"/>
          <w:kern w:val="0"/>
          <w:sz w:val="32"/>
          <w:szCs w:val="32"/>
          <w:highlight w:val="none"/>
          <w:lang w:eastAsia="zh" w:bidi="ar"/>
        </w:rPr>
      </w:pPr>
      <w:r>
        <w:rPr>
          <w:rFonts w:hint="eastAsia" w:ascii="黑体" w:hAnsi="黑体" w:eastAsia="黑体" w:cs="黑体"/>
          <w:b w:val="0"/>
          <w:bCs w:val="0"/>
          <w:i w:val="0"/>
          <w:iCs w:val="0"/>
          <w:caps w:val="0"/>
          <w:color w:val="auto"/>
          <w:spacing w:val="0"/>
          <w:kern w:val="0"/>
          <w:sz w:val="32"/>
          <w:szCs w:val="32"/>
          <w:highlight w:val="none"/>
          <w:lang w:val="en-US" w:eastAsia="zh-CN" w:bidi="ar"/>
        </w:rPr>
        <w:t>释义</w:t>
      </w:r>
      <w:r>
        <w:rPr>
          <w:rFonts w:hint="eastAsia" w:ascii="仿宋_GB2312" w:eastAsia="仿宋_GB2312" w:cs="仿宋_GB2312"/>
          <w:color w:val="auto"/>
          <w:kern w:val="0"/>
          <w:sz w:val="32"/>
          <w:szCs w:val="32"/>
          <w:highlight w:val="none"/>
          <w:lang w:val="en-US" w:eastAsia="zh-CN" w:bidi="ar"/>
        </w:rPr>
        <w:t>。</w:t>
      </w:r>
      <w:r>
        <w:rPr>
          <w:rFonts w:hint="eastAsia" w:ascii="仿宋_GB2312" w:eastAsia="仿宋_GB2312" w:cs="仿宋_GB2312"/>
          <w:color w:val="auto"/>
          <w:kern w:val="0"/>
          <w:sz w:val="32"/>
          <w:szCs w:val="32"/>
          <w:highlight w:val="none"/>
          <w:lang w:eastAsia="zh" w:bidi="ar"/>
        </w:rPr>
        <w:t>本措施第六条企业ESG评级结果需以下机构出具的ESG评级报告为准。机构包括：摩根士丹利资本国际公司、道琼斯、富时罗素、恒生、晨星、知名华证、中证、商道融绿、嘉实。</w:t>
      </w:r>
    </w:p>
    <w:p w14:paraId="39F8A6B1">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3"/>
        <w:jc w:val="both"/>
        <w:textAlignment w:val="auto"/>
        <w:rPr>
          <w:rFonts w:ascii="Calibri" w:hAnsi="Calibri" w:cs="Calibri"/>
          <w:i w:val="0"/>
          <w:iCs w:val="0"/>
          <w:caps w:val="0"/>
          <w:color w:val="auto"/>
          <w:spacing w:val="0"/>
          <w:sz w:val="21"/>
          <w:szCs w:val="21"/>
          <w:highlight w:val="none"/>
        </w:rPr>
      </w:pPr>
      <w:r>
        <w:rPr>
          <w:rFonts w:hint="eastAsia" w:ascii="黑体" w:hAnsi="黑体" w:eastAsia="黑体" w:cs="黑体"/>
          <w:b w:val="0"/>
          <w:bCs w:val="0"/>
          <w:i w:val="0"/>
          <w:iCs w:val="0"/>
          <w:caps w:val="0"/>
          <w:color w:val="auto"/>
          <w:spacing w:val="0"/>
          <w:kern w:val="0"/>
          <w:sz w:val="32"/>
          <w:szCs w:val="32"/>
          <w:highlight w:val="none"/>
          <w:lang w:val="en-US" w:eastAsia="zh-CN" w:bidi="ar"/>
        </w:rPr>
        <w:t>第十</w:t>
      </w:r>
      <w:r>
        <w:rPr>
          <w:rFonts w:hint="eastAsia" w:ascii="黑体" w:hAnsi="黑体" w:eastAsia="黑体" w:cs="黑体"/>
          <w:b w:val="0"/>
          <w:bCs w:val="0"/>
          <w:i w:val="0"/>
          <w:iCs w:val="0"/>
          <w:caps w:val="0"/>
          <w:color w:val="auto"/>
          <w:spacing w:val="0"/>
          <w:kern w:val="0"/>
          <w:sz w:val="32"/>
          <w:szCs w:val="32"/>
          <w:highlight w:val="none"/>
          <w:lang w:val="en-US" w:eastAsia="zh" w:bidi="ar"/>
        </w:rPr>
        <w:t>二</w:t>
      </w:r>
      <w:r>
        <w:rPr>
          <w:rFonts w:hint="eastAsia" w:ascii="黑体" w:hAnsi="黑体" w:eastAsia="黑体" w:cs="黑体"/>
          <w:b w:val="0"/>
          <w:bCs w:val="0"/>
          <w:i w:val="0"/>
          <w:iCs w:val="0"/>
          <w:caps w:val="0"/>
          <w:color w:val="auto"/>
          <w:spacing w:val="0"/>
          <w:kern w:val="0"/>
          <w:sz w:val="32"/>
          <w:szCs w:val="32"/>
          <w:highlight w:val="none"/>
          <w:lang w:val="en-US" w:eastAsia="zh-CN" w:bidi="ar"/>
        </w:rPr>
        <w:t>条 附则。</w:t>
      </w:r>
      <w:r>
        <w:rPr>
          <w:rFonts w:ascii="仿宋_GB2312" w:hAnsi="Calibri" w:eastAsia="仿宋_GB2312" w:cs="仿宋_GB2312"/>
          <w:i w:val="0"/>
          <w:iCs w:val="0"/>
          <w:caps w:val="0"/>
          <w:color w:val="auto"/>
          <w:spacing w:val="0"/>
          <w:kern w:val="0"/>
          <w:sz w:val="32"/>
          <w:szCs w:val="32"/>
          <w:highlight w:val="none"/>
          <w:lang w:val="en-US" w:eastAsia="zh-CN" w:bidi="ar"/>
        </w:rPr>
        <w:t>上述支持措施若与海口市及江东新区管理局等各级各类企业支持措施或</w:t>
      </w:r>
      <w:r>
        <w:rPr>
          <w:rFonts w:hint="eastAsia" w:ascii="仿宋_GB2312" w:eastAsia="仿宋_GB2312" w:cs="仿宋_GB2312"/>
          <w:i w:val="0"/>
          <w:iCs w:val="0"/>
          <w:caps w:val="0"/>
          <w:color w:val="auto"/>
          <w:spacing w:val="0"/>
          <w:kern w:val="0"/>
          <w:sz w:val="32"/>
          <w:szCs w:val="32"/>
          <w:highlight w:val="none"/>
          <w:lang w:val="en-US" w:eastAsia="zh-CN" w:bidi="ar"/>
        </w:rPr>
        <w:t>与</w:t>
      </w:r>
      <w:r>
        <w:rPr>
          <w:rFonts w:ascii="仿宋_GB2312" w:hAnsi="Calibri" w:eastAsia="仿宋_GB2312" w:cs="仿宋_GB2312"/>
          <w:i w:val="0"/>
          <w:iCs w:val="0"/>
          <w:caps w:val="0"/>
          <w:color w:val="auto"/>
          <w:spacing w:val="0"/>
          <w:kern w:val="0"/>
          <w:sz w:val="32"/>
          <w:szCs w:val="32"/>
          <w:highlight w:val="none"/>
          <w:lang w:val="en-US" w:eastAsia="zh-CN" w:bidi="ar"/>
        </w:rPr>
        <w:t>本措施出现重叠或交叉的，同个申报主体申请享受支持措施均按“就高不就低、不重复支持”原则执行。本措施中支持资金，由符合条件的机构向江东新区管理局申请，江东新区管理局经对申报材料审查无误后，依法依规拨付相应支持资金。针对本措施的具体条款实施，海口江东新区管理局将另行制定实施细则并予以明确。</w:t>
      </w:r>
    </w:p>
    <w:p w14:paraId="18D6832E">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640"/>
        <w:jc w:val="both"/>
        <w:textAlignment w:val="auto"/>
        <w:rPr>
          <w:rFonts w:ascii="Calibri" w:hAnsi="Calibri" w:cs="Calibri"/>
          <w:i w:val="0"/>
          <w:iCs w:val="0"/>
          <w:caps w:val="0"/>
          <w:color w:val="auto"/>
          <w:spacing w:val="0"/>
          <w:sz w:val="21"/>
          <w:szCs w:val="21"/>
          <w:highlight w:val="none"/>
        </w:rPr>
      </w:pPr>
      <w:r>
        <w:rPr>
          <w:rFonts w:ascii="仿宋_GB2312" w:hAnsi="Calibri" w:eastAsia="仿宋_GB2312" w:cs="仿宋_GB2312"/>
          <w:i w:val="0"/>
          <w:iCs w:val="0"/>
          <w:caps w:val="0"/>
          <w:color w:val="auto"/>
          <w:spacing w:val="0"/>
          <w:kern w:val="0"/>
          <w:sz w:val="32"/>
          <w:szCs w:val="32"/>
          <w:highlight w:val="none"/>
          <w:lang w:val="en-US" w:eastAsia="zh-CN" w:bidi="ar"/>
        </w:rPr>
        <w:t>本措施自</w:t>
      </w:r>
      <w:r>
        <w:rPr>
          <w:rFonts w:hint="eastAsia" w:ascii="仿宋_GB2312" w:eastAsia="仿宋_GB2312" w:cs="仿宋_GB2312"/>
          <w:i w:val="0"/>
          <w:iCs w:val="0"/>
          <w:caps w:val="0"/>
          <w:color w:val="auto"/>
          <w:spacing w:val="0"/>
          <w:kern w:val="0"/>
          <w:sz w:val="32"/>
          <w:szCs w:val="32"/>
          <w:highlight w:val="none"/>
          <w:lang w:val="en-US" w:eastAsia="zh" w:bidi="ar"/>
        </w:rPr>
        <w:t>印发之日</w:t>
      </w:r>
      <w:r>
        <w:rPr>
          <w:rFonts w:ascii="仿宋_GB2312" w:hAnsi="Calibri" w:eastAsia="仿宋_GB2312" w:cs="仿宋_GB2312"/>
          <w:i w:val="0"/>
          <w:iCs w:val="0"/>
          <w:caps w:val="0"/>
          <w:color w:val="auto"/>
          <w:spacing w:val="0"/>
          <w:kern w:val="0"/>
          <w:sz w:val="32"/>
          <w:szCs w:val="32"/>
          <w:highlight w:val="none"/>
          <w:lang w:val="en-US" w:eastAsia="zh-CN" w:bidi="ar"/>
        </w:rPr>
        <w:t>起</w:t>
      </w:r>
      <w:r>
        <w:rPr>
          <w:rFonts w:hint="eastAsia" w:ascii="仿宋_GB2312" w:eastAsia="仿宋_GB2312" w:cs="仿宋_GB2312"/>
          <w:i w:val="0"/>
          <w:iCs w:val="0"/>
          <w:caps w:val="0"/>
          <w:color w:val="auto"/>
          <w:spacing w:val="0"/>
          <w:kern w:val="0"/>
          <w:sz w:val="32"/>
          <w:szCs w:val="32"/>
          <w:highlight w:val="none"/>
          <w:lang w:val="en-US" w:eastAsia="zh" w:bidi="ar"/>
        </w:rPr>
        <w:t>实施</w:t>
      </w:r>
      <w:r>
        <w:rPr>
          <w:rFonts w:ascii="仿宋_GB2312" w:hAnsi="Calibri" w:eastAsia="仿宋_GB2312" w:cs="仿宋_GB2312"/>
          <w:i w:val="0"/>
          <w:iCs w:val="0"/>
          <w:caps w:val="0"/>
          <w:color w:val="auto"/>
          <w:spacing w:val="0"/>
          <w:kern w:val="0"/>
          <w:sz w:val="32"/>
          <w:szCs w:val="32"/>
          <w:highlight w:val="none"/>
          <w:lang w:val="en-US" w:eastAsia="zh-CN" w:bidi="ar"/>
        </w:rPr>
        <w:t>，有效期</w:t>
      </w:r>
      <w:r>
        <w:rPr>
          <w:rFonts w:hint="eastAsia" w:ascii="仿宋_GB2312" w:eastAsia="仿宋_GB2312" w:cs="仿宋_GB2312"/>
          <w:i w:val="0"/>
          <w:iCs w:val="0"/>
          <w:caps w:val="0"/>
          <w:color w:val="auto"/>
          <w:spacing w:val="0"/>
          <w:kern w:val="0"/>
          <w:sz w:val="32"/>
          <w:szCs w:val="32"/>
          <w:highlight w:val="none"/>
          <w:lang w:val="en-US" w:eastAsia="zh" w:bidi="ar"/>
        </w:rPr>
        <w:t>五年。</w:t>
      </w:r>
      <w:r>
        <w:rPr>
          <w:rFonts w:ascii="仿宋_GB2312" w:hAnsi="Calibri" w:eastAsia="仿宋_GB2312" w:cs="仿宋_GB2312"/>
          <w:i w:val="0"/>
          <w:iCs w:val="0"/>
          <w:caps w:val="0"/>
          <w:color w:val="auto"/>
          <w:spacing w:val="0"/>
          <w:kern w:val="0"/>
          <w:sz w:val="32"/>
          <w:szCs w:val="32"/>
          <w:highlight w:val="none"/>
          <w:shd w:val="clear" w:fill="auto"/>
          <w:lang w:bidi="ar"/>
        </w:rPr>
        <w:t>施行期间如遇国家和</w:t>
      </w:r>
      <w:r>
        <w:rPr>
          <w:rFonts w:hint="eastAsia" w:ascii="仿宋_GB2312" w:eastAsia="仿宋_GB2312" w:cs="仿宋_GB2312"/>
          <w:i w:val="0"/>
          <w:iCs w:val="0"/>
          <w:caps w:val="0"/>
          <w:color w:val="auto"/>
          <w:spacing w:val="0"/>
          <w:kern w:val="0"/>
          <w:sz w:val="32"/>
          <w:szCs w:val="32"/>
          <w:highlight w:val="none"/>
          <w:shd w:val="clear"/>
          <w:lang w:eastAsia="zh" w:bidi="ar"/>
        </w:rPr>
        <w:t>海南省、海口市</w:t>
      </w:r>
      <w:r>
        <w:rPr>
          <w:rFonts w:ascii="仿宋_GB2312" w:hAnsi="Calibri" w:eastAsia="仿宋_GB2312" w:cs="仿宋_GB2312"/>
          <w:i w:val="0"/>
          <w:iCs w:val="0"/>
          <w:caps w:val="0"/>
          <w:color w:val="auto"/>
          <w:spacing w:val="0"/>
          <w:kern w:val="0"/>
          <w:sz w:val="32"/>
          <w:szCs w:val="32"/>
          <w:highlight w:val="none"/>
          <w:shd w:val="clear" w:fill="auto"/>
          <w:lang w:bidi="ar"/>
        </w:rPr>
        <w:t>相关政策调整，本政策同步调整。</w:t>
      </w:r>
      <w:r>
        <w:rPr>
          <w:rFonts w:ascii="仿宋_GB2312" w:hAnsi="Calibri" w:eastAsia="仿宋_GB2312" w:cs="仿宋_GB2312"/>
          <w:i w:val="0"/>
          <w:iCs w:val="0"/>
          <w:caps w:val="0"/>
          <w:color w:val="auto"/>
          <w:spacing w:val="0"/>
          <w:kern w:val="0"/>
          <w:sz w:val="32"/>
          <w:szCs w:val="32"/>
          <w:highlight w:val="none"/>
          <w:lang w:val="en-US" w:eastAsia="zh-CN" w:bidi="ar"/>
        </w:rPr>
        <w:t>执行期间由江东新区管理局负责解释。执行期间因政策变动、情势变更等原因导致部分条款无法执行的，不影响其他条款的执行。</w:t>
      </w:r>
    </w:p>
    <w:p w14:paraId="2DC95CBB">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firstLine="0"/>
        <w:jc w:val="both"/>
        <w:textAlignment w:val="auto"/>
        <w:rPr>
          <w:rFonts w:hint="eastAsia" w:ascii="黑体" w:hAnsi="黑体" w:eastAsia="黑体" w:cs="黑体"/>
          <w:b w:val="0"/>
          <w:bCs w:val="0"/>
          <w:i w:val="0"/>
          <w:iCs w:val="0"/>
          <w:caps w:val="0"/>
          <w:color w:val="auto"/>
          <w:spacing w:val="0"/>
          <w:kern w:val="0"/>
          <w:sz w:val="32"/>
          <w:szCs w:val="32"/>
          <w:highlight w:val="none"/>
          <w:lang w:val="en-US" w:eastAsia="zh-CN" w:bidi="ar"/>
        </w:rPr>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2F9BA3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E25E">
    <w:pPr>
      <w:pStyle w:val="2"/>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1F67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81F67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5EE5F"/>
    <w:multiLevelType w:val="singleLevel"/>
    <w:tmpl w:val="FB25EE5F"/>
    <w:lvl w:ilvl="0" w:tentative="0">
      <w:start w:val="11"/>
      <w:numFmt w:val="chineseCounting"/>
      <w:suff w:val="space"/>
      <w:lvlText w:val="第%1条"/>
      <w:lvlJc w:val="left"/>
      <w:rPr>
        <w:rFonts w:hint="eastAsia" w:ascii="黑体" w:hAnsi="黑体" w:eastAsia="黑体" w:cs="黑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1486B"/>
    <w:rsid w:val="7011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2025-05-14T07:14:00Z</dcterms:created>
  <dc:creator>阳光一生</dc:creator>
  <cp:lastModifiedBy>阳光一生</cp:lastModifiedBy>
  <dcterms:modified xsi:type="dcterms:W3CDTF">2025-05-14T07:14:34Z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0530C41CD471457F86B1EDDDA535582A_11</vt:lpwstr>
  </property>
  <property fmtid="{D5CDD505-2E9C-101B-9397-08002B2CF9AE}" pid="4" name="KSOTemplateDocerSaveRecord">
    <vt:lpwstr>eyJoZGlkIjoiMWNmNzcwMGNlMmU0NTYwMTdkOTdmNzg0YTQ3YWJmYjYiLCJ1c2VySWQiOiIzMDgyMjgzOTQifQ==</vt:lpwstr>
  </property>
</Properties>
</file>